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3901FB">
      <w:pPr>
        <w:keepNext w:val="0"/>
        <w:keepLines w:val="0"/>
        <w:pageBreakBefore w:val="0"/>
        <w:widowControl/>
        <w:kinsoku/>
        <w:wordWrap w:val="0"/>
        <w:overflowPunct/>
        <w:topLinePunct w:val="0"/>
        <w:autoSpaceDE/>
        <w:autoSpaceDN/>
        <w:bidi w:val="0"/>
        <w:adjustRightInd/>
        <w:snapToGrid/>
        <w:spacing w:before="0" w:after="0" w:line="360" w:lineRule="auto"/>
        <w:ind w:right="-34" w:rightChars="-16"/>
        <w:jc w:val="left"/>
        <w:textAlignment w:val="auto"/>
        <w:outlineLvl w:val="9"/>
        <w:rPr>
          <w:rFonts w:hint="eastAsia" w:ascii="宋体" w:hAnsi="宋体" w:eastAsia="宋体" w:cs="Times New Roman"/>
          <w:color w:val="auto"/>
          <w:kern w:val="0"/>
          <w:sz w:val="40"/>
          <w:szCs w:val="40"/>
          <w:highlight w:val="none"/>
          <w:lang w:val="en-US" w:eastAsia="zh-CN" w:bidi="ar-SA"/>
        </w:rPr>
      </w:pPr>
      <w:bookmarkStart w:id="0" w:name="_Toc221949901"/>
      <w:bookmarkStart w:id="1" w:name="_Toc221949902"/>
      <w:r>
        <w:rPr>
          <w:rFonts w:hint="eastAsia" w:ascii="宋体" w:hAnsi="宋体" w:eastAsia="宋体" w:cs="Times New Roman"/>
          <w:b/>
          <w:bCs/>
          <w:color w:val="auto"/>
          <w:kern w:val="0"/>
          <w:sz w:val="48"/>
          <w:szCs w:val="48"/>
          <w:highlight w:val="none"/>
          <w:lang w:val="en-US" w:eastAsia="zh-CN" w:bidi="ar-SA"/>
        </w:rPr>
        <w:t>驻马店市薄山水库除险加固工程（一期）</w:t>
      </w:r>
    </w:p>
    <w:p w14:paraId="245898C2">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b/>
          <w:bCs/>
          <w:color w:val="auto"/>
          <w:kern w:val="0"/>
          <w:sz w:val="40"/>
          <w:szCs w:val="40"/>
          <w:highlight w:val="none"/>
          <w:lang w:val="en-US" w:eastAsia="zh-CN" w:bidi="ar-SA"/>
        </w:rPr>
        <w:t>（第二标段：建筑工程及安装标段）</w:t>
      </w:r>
    </w:p>
    <w:p w14:paraId="401425B2">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p>
    <w:p w14:paraId="50FFE6C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color w:val="auto"/>
          <w:kern w:val="0"/>
          <w:sz w:val="72"/>
          <w:szCs w:val="72"/>
          <w:highlight w:val="none"/>
          <w:lang w:val="en-US" w:eastAsia="zh-CN" w:bidi="ar-SA"/>
        </w:rPr>
        <w:t>招标文件</w:t>
      </w:r>
    </w:p>
    <w:p w14:paraId="4A403E1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default"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项目编号：ZMD2026-035</w:t>
      </w:r>
    </w:p>
    <w:p w14:paraId="09E9901A">
      <w:pPr>
        <w:spacing w:after="120"/>
        <w:rPr>
          <w:rFonts w:hint="eastAsia" w:ascii="宋体" w:hAnsi="宋体" w:eastAsia="宋体" w:cs="宋体"/>
          <w:b/>
          <w:color w:val="auto"/>
          <w:kern w:val="0"/>
          <w:sz w:val="28"/>
          <w:szCs w:val="28"/>
          <w:highlight w:val="none"/>
          <w:lang w:val="en-US" w:eastAsia="zh-CN" w:bidi="ar-SA"/>
        </w:rPr>
      </w:pPr>
    </w:p>
    <w:p w14:paraId="631A8C10">
      <w:pPr>
        <w:widowControl/>
        <w:jc w:val="left"/>
        <w:rPr>
          <w:rFonts w:hint="eastAsia" w:ascii="Calibri" w:hAnsi="Calibri" w:eastAsia="宋体" w:cs="Times New Roman"/>
          <w:color w:val="auto"/>
          <w:szCs w:val="22"/>
          <w:highlight w:val="none"/>
          <w:lang w:val="en-US" w:eastAsia="zh-CN"/>
        </w:rPr>
      </w:pPr>
    </w:p>
    <w:p w14:paraId="161AE5CC">
      <w:pPr>
        <w:widowControl w:val="0"/>
        <w:spacing w:before="3" w:beforeAutospacing="0" w:after="0" w:afterAutospacing="0" w:line="480" w:lineRule="atLeast"/>
        <w:ind w:right="476"/>
        <w:jc w:val="center"/>
        <w:rPr>
          <w:rFonts w:ascii="宋体" w:hAnsi="宋体" w:eastAsia="仿宋_GB2312" w:cs="宋体"/>
          <w:color w:val="auto"/>
          <w:kern w:val="2"/>
          <w:sz w:val="32"/>
          <w:szCs w:val="32"/>
          <w:highlight w:val="none"/>
          <w:u w:val="none"/>
          <w:lang w:val="en-US" w:eastAsia="zh-CN" w:bidi="ar-SA"/>
        </w:rPr>
      </w:pPr>
      <w:r>
        <w:rPr>
          <w:rFonts w:hint="eastAsia" w:ascii="宋体" w:hAnsi="宋体" w:eastAsia="仿宋_GB2312" w:cs="宋体"/>
          <w:b/>
          <w:kern w:val="2"/>
          <w:sz w:val="36"/>
          <w:szCs w:val="36"/>
          <w:lang w:val="en-US" w:eastAsia="zh-CN" w:bidi="ar-SA"/>
        </w:rPr>
        <w:drawing>
          <wp:inline distT="0" distB="0" distL="114300" distR="114300">
            <wp:extent cx="2494280" cy="2243455"/>
            <wp:effectExtent l="0" t="0" r="1270" b="4445"/>
            <wp:docPr id="2" name="图片 5" descr="5a78228779e97083ae3a88ca3fd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5a78228779e97083ae3a88ca3fd9488"/>
                    <pic:cNvPicPr>
                      <a:picLocks noChangeAspect="1"/>
                    </pic:cNvPicPr>
                  </pic:nvPicPr>
                  <pic:blipFill>
                    <a:blip r:embed="rId8"/>
                    <a:stretch>
                      <a:fillRect/>
                    </a:stretch>
                  </pic:blipFill>
                  <pic:spPr>
                    <a:xfrm>
                      <a:off x="0" y="0"/>
                      <a:ext cx="2494280" cy="2243455"/>
                    </a:xfrm>
                    <a:prstGeom prst="rect">
                      <a:avLst/>
                    </a:prstGeom>
                    <a:noFill/>
                    <a:ln>
                      <a:noFill/>
                    </a:ln>
                  </pic:spPr>
                </pic:pic>
              </a:graphicData>
            </a:graphic>
          </wp:inline>
        </w:drawing>
      </w:r>
    </w:p>
    <w:p w14:paraId="5CA16DD7">
      <w:pPr>
        <w:keepNext w:val="0"/>
        <w:keepLines w:val="0"/>
        <w:pageBreakBefore w:val="0"/>
        <w:widowControl/>
        <w:kinsoku/>
        <w:overflowPunct/>
        <w:topLinePunct w:val="0"/>
        <w:autoSpaceDE/>
        <w:autoSpaceDN/>
        <w:bidi w:val="0"/>
        <w:snapToGrid/>
        <w:spacing w:before="100" w:beforeAutospacing="1" w:after="100" w:afterAutospacing="1" w:line="240" w:lineRule="auto"/>
        <w:jc w:val="left"/>
        <w:rPr>
          <w:rFonts w:hint="eastAsia" w:ascii="宋体" w:hAnsi="宋体" w:eastAsia="宋体" w:cs="宋体"/>
          <w:b/>
          <w:bCs/>
          <w:color w:val="auto"/>
          <w:kern w:val="44"/>
          <w:sz w:val="32"/>
          <w:szCs w:val="32"/>
          <w:highlight w:val="none"/>
        </w:rPr>
      </w:pPr>
      <w:bookmarkStart w:id="2" w:name="_Toc4262"/>
      <w:bookmarkStart w:id="3" w:name="_Toc7579"/>
      <w:bookmarkStart w:id="4" w:name="_Toc11515"/>
      <w:bookmarkStart w:id="5" w:name="_Toc268707665"/>
      <w:bookmarkStart w:id="6" w:name="_Toc221949915"/>
      <w:bookmarkStart w:id="7" w:name="_Toc26463"/>
    </w:p>
    <w:p w14:paraId="6B47DAFE">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0"/>
          <w:sz w:val="32"/>
          <w:szCs w:val="32"/>
          <w:highlight w:val="none"/>
        </w:rPr>
      </w:pPr>
    </w:p>
    <w:p w14:paraId="29A8AB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lang w:eastAsia="zh-CN"/>
        </w:rPr>
      </w:pPr>
      <w:r>
        <w:rPr>
          <w:rFonts w:hint="eastAsia" w:ascii="宋体" w:hAnsi="宋体" w:eastAsia="宋体" w:cs="宋体"/>
          <w:b/>
          <w:bCs/>
          <w:sz w:val="36"/>
          <w:szCs w:val="36"/>
          <w:lang w:val="en-US" w:eastAsia="zh-CN"/>
        </w:rPr>
        <w:drawing>
          <wp:anchor distT="0" distB="0" distL="114300" distR="114300" simplePos="0" relativeHeight="251659264" behindDoc="1" locked="0" layoutInCell="1" allowOverlap="1">
            <wp:simplePos x="0" y="0"/>
            <wp:positionH relativeFrom="column">
              <wp:posOffset>1841500</wp:posOffset>
            </wp:positionH>
            <wp:positionV relativeFrom="paragraph">
              <wp:posOffset>241300</wp:posOffset>
            </wp:positionV>
            <wp:extent cx="4131310" cy="942340"/>
            <wp:effectExtent l="0" t="0" r="0" b="0"/>
            <wp:wrapNone/>
            <wp:docPr id="1" name="图片 1" descr="jivhkcjX_副本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jivhkcjX_副本透明"/>
                    <pic:cNvPicPr>
                      <a:picLocks noChangeAspect="1"/>
                    </pic:cNvPicPr>
                  </pic:nvPicPr>
                  <pic:blipFill>
                    <a:blip r:embed="rId9"/>
                    <a:stretch>
                      <a:fillRect/>
                    </a:stretch>
                  </pic:blipFill>
                  <pic:spPr>
                    <a:xfrm>
                      <a:off x="0" y="0"/>
                      <a:ext cx="4131310" cy="942340"/>
                    </a:xfrm>
                    <a:prstGeom prst="rect">
                      <a:avLst/>
                    </a:prstGeom>
                    <a:noFill/>
                    <a:ln>
                      <a:noFill/>
                    </a:ln>
                  </pic:spPr>
                </pic:pic>
              </a:graphicData>
            </a:graphic>
          </wp:anchor>
        </w:drawing>
      </w:r>
      <w:r>
        <w:rPr>
          <w:rFonts w:hint="eastAsia" w:ascii="宋体" w:hAnsi="宋体" w:eastAsia="宋体" w:cs="宋体"/>
          <w:b/>
          <w:bCs/>
          <w:color w:val="auto"/>
          <w:spacing w:val="240"/>
          <w:kern w:val="0"/>
          <w:sz w:val="32"/>
          <w:szCs w:val="32"/>
          <w:highlight w:val="none"/>
          <w:fitText w:val="1920" w:id="697855068"/>
        </w:rPr>
        <w:t>招标</w:t>
      </w:r>
      <w:r>
        <w:rPr>
          <w:rFonts w:hint="eastAsia" w:ascii="宋体" w:hAnsi="宋体" w:eastAsia="宋体" w:cs="宋体"/>
          <w:b/>
          <w:bCs/>
          <w:color w:val="auto"/>
          <w:spacing w:val="0"/>
          <w:kern w:val="0"/>
          <w:sz w:val="32"/>
          <w:szCs w:val="32"/>
          <w:highlight w:val="none"/>
          <w:fitText w:val="1920" w:id="697855068"/>
        </w:rPr>
        <w:t>人</w:t>
      </w:r>
      <w:r>
        <w:rPr>
          <w:rFonts w:hint="eastAsia" w:ascii="宋体" w:hAnsi="宋体" w:eastAsia="宋体" w:cs="宋体"/>
          <w:b/>
          <w:bCs/>
          <w:color w:val="auto"/>
          <w:kern w:val="44"/>
          <w:sz w:val="32"/>
          <w:szCs w:val="32"/>
          <w:highlight w:val="none"/>
        </w:rPr>
        <w:t>：</w:t>
      </w:r>
      <w:bookmarkEnd w:id="2"/>
      <w:bookmarkEnd w:id="3"/>
      <w:bookmarkEnd w:id="4"/>
      <w:bookmarkEnd w:id="5"/>
      <w:bookmarkEnd w:id="6"/>
      <w:bookmarkEnd w:id="7"/>
      <w:bookmarkStart w:id="8" w:name="_Toc10162"/>
      <w:bookmarkStart w:id="9" w:name="_Toc1299"/>
      <w:bookmarkStart w:id="10" w:name="_Toc24588"/>
      <w:bookmarkStart w:id="11" w:name="_Toc16285"/>
      <w:r>
        <w:rPr>
          <w:rFonts w:hint="eastAsia" w:ascii="宋体" w:hAnsi="宋体" w:eastAsia="宋体" w:cs="宋体"/>
          <w:b/>
          <w:bCs/>
          <w:color w:val="auto"/>
          <w:kern w:val="44"/>
          <w:sz w:val="32"/>
          <w:szCs w:val="32"/>
          <w:highlight w:val="none"/>
          <w:lang w:eastAsia="zh-CN"/>
        </w:rPr>
        <w:t>驻马店市薄山水库运行中心</w:t>
      </w:r>
    </w:p>
    <w:p w14:paraId="11772D21">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rPr>
      </w:pPr>
      <w:r>
        <w:rPr>
          <w:rFonts w:hint="eastAsia" w:ascii="宋体" w:hAnsi="宋体" w:eastAsia="宋体" w:cs="宋体"/>
          <w:b/>
          <w:bCs/>
          <w:color w:val="auto"/>
          <w:spacing w:val="0"/>
          <w:kern w:val="0"/>
          <w:sz w:val="32"/>
          <w:szCs w:val="32"/>
          <w:highlight w:val="none"/>
          <w:fitText w:val="1920" w:id="1091133113"/>
          <w:lang w:val="en-US" w:eastAsia="zh-CN"/>
        </w:rPr>
        <w:t>招标</w:t>
      </w:r>
      <w:r>
        <w:rPr>
          <w:rFonts w:hint="eastAsia" w:ascii="宋体" w:hAnsi="宋体" w:eastAsia="宋体" w:cs="宋体"/>
          <w:b/>
          <w:bCs/>
          <w:color w:val="auto"/>
          <w:spacing w:val="0"/>
          <w:kern w:val="0"/>
          <w:sz w:val="32"/>
          <w:szCs w:val="32"/>
          <w:highlight w:val="none"/>
          <w:fitText w:val="1920" w:id="1091133113"/>
        </w:rPr>
        <w:t>代理机构</w:t>
      </w:r>
      <w:r>
        <w:rPr>
          <w:rFonts w:hint="eastAsia" w:ascii="宋体" w:hAnsi="宋体" w:eastAsia="宋体" w:cs="宋体"/>
          <w:b/>
          <w:bCs/>
          <w:color w:val="auto"/>
          <w:kern w:val="44"/>
          <w:sz w:val="32"/>
          <w:szCs w:val="32"/>
          <w:highlight w:val="none"/>
        </w:rPr>
        <w:t>：</w:t>
      </w:r>
      <w:bookmarkEnd w:id="8"/>
      <w:bookmarkEnd w:id="9"/>
      <w:bookmarkEnd w:id="10"/>
      <w:bookmarkEnd w:id="11"/>
    </w:p>
    <w:p w14:paraId="5E3C55DD">
      <w:pPr>
        <w:widowControl/>
        <w:tabs>
          <w:tab w:val="left" w:pos="1060"/>
        </w:tabs>
        <w:spacing w:before="100" w:beforeAutospacing="1" w:after="100" w:afterAutospacing="1" w:line="360" w:lineRule="auto"/>
        <w:ind w:left="1073" w:leftChars="503" w:right="0" w:rightChars="0" w:hanging="17"/>
        <w:jc w:val="left"/>
        <w:rPr>
          <w:rFonts w:hint="eastAsia" w:ascii="宋体" w:hAnsi="宋体" w:eastAsia="宋体" w:cs="宋体"/>
          <w:b/>
          <w:bCs/>
          <w:color w:val="auto"/>
          <w:sz w:val="32"/>
          <w:szCs w:val="32"/>
          <w:highlight w:val="none"/>
        </w:rPr>
      </w:pPr>
      <w:bookmarkStart w:id="12" w:name="_Toc25869"/>
      <w:bookmarkStart w:id="13" w:name="_Toc9813"/>
      <w:bookmarkStart w:id="14" w:name="_Toc10731"/>
      <w:bookmarkStart w:id="15" w:name="_Toc21023"/>
      <w:bookmarkStart w:id="16" w:name="_Toc268707666"/>
      <w:bookmarkStart w:id="17" w:name="_Toc221949917"/>
      <w:r>
        <w:rPr>
          <w:rFonts w:hint="eastAsia" w:ascii="宋体" w:hAnsi="宋体" w:eastAsia="宋体" w:cs="宋体"/>
          <w:b/>
          <w:bCs/>
          <w:color w:val="auto"/>
          <w:spacing w:val="640"/>
          <w:kern w:val="0"/>
          <w:sz w:val="32"/>
          <w:szCs w:val="32"/>
          <w:highlight w:val="none"/>
          <w:fitText w:val="1920" w:id="753171569"/>
        </w:rPr>
        <w:t>日</w:t>
      </w:r>
      <w:r>
        <w:rPr>
          <w:rFonts w:hint="eastAsia" w:ascii="宋体" w:hAnsi="宋体" w:eastAsia="宋体" w:cs="宋体"/>
          <w:b/>
          <w:bCs/>
          <w:color w:val="auto"/>
          <w:spacing w:val="0"/>
          <w:kern w:val="0"/>
          <w:sz w:val="32"/>
          <w:szCs w:val="32"/>
          <w:highlight w:val="none"/>
          <w:fitText w:val="1920" w:id="753171569"/>
        </w:rPr>
        <w:t>期</w:t>
      </w:r>
      <w:r>
        <w:rPr>
          <w:rFonts w:hint="eastAsia" w:ascii="宋体" w:hAnsi="宋体" w:eastAsia="宋体" w:cs="宋体"/>
          <w:b/>
          <w:bCs/>
          <w:color w:val="auto"/>
          <w:kern w:val="44"/>
          <w:sz w:val="32"/>
          <w:szCs w:val="32"/>
          <w:highlight w:val="none"/>
        </w:rPr>
        <w:t>：</w:t>
      </w:r>
      <w:bookmarkEnd w:id="12"/>
      <w:bookmarkEnd w:id="13"/>
      <w:bookmarkEnd w:id="14"/>
      <w:bookmarkEnd w:id="15"/>
      <w:bookmarkEnd w:id="16"/>
      <w:bookmarkEnd w:id="17"/>
      <w:r>
        <w:rPr>
          <w:rFonts w:hint="eastAsia" w:ascii="宋体" w:hAnsi="宋体" w:eastAsia="宋体" w:cs="宋体"/>
          <w:b/>
          <w:bCs/>
          <w:color w:val="auto"/>
          <w:sz w:val="32"/>
          <w:szCs w:val="32"/>
          <w:highlight w:val="none"/>
          <w:u w:val="none"/>
        </w:rPr>
        <w:t>二〇二</w:t>
      </w:r>
      <w:r>
        <w:rPr>
          <w:rFonts w:hint="eastAsia" w:ascii="宋体" w:hAnsi="宋体" w:eastAsia="宋体" w:cs="宋体"/>
          <w:b/>
          <w:bCs/>
          <w:color w:val="auto"/>
          <w:sz w:val="32"/>
          <w:szCs w:val="32"/>
          <w:highlight w:val="none"/>
          <w:u w:val="none"/>
          <w:lang w:eastAsia="zh-CN"/>
        </w:rPr>
        <w:t>六</w:t>
      </w:r>
      <w:r>
        <w:rPr>
          <w:rFonts w:hint="eastAsia" w:ascii="宋体" w:hAnsi="宋体" w:eastAsia="宋体" w:cs="宋体"/>
          <w:b/>
          <w:bCs/>
          <w:color w:val="auto"/>
          <w:sz w:val="32"/>
          <w:szCs w:val="32"/>
          <w:highlight w:val="none"/>
          <w:u w:val="none"/>
        </w:rPr>
        <w:t>年</w:t>
      </w:r>
      <w:r>
        <w:rPr>
          <w:rFonts w:hint="eastAsia" w:ascii="宋体" w:hAnsi="宋体" w:eastAsia="宋体" w:cs="宋体"/>
          <w:b/>
          <w:bCs/>
          <w:color w:val="auto"/>
          <w:sz w:val="32"/>
          <w:szCs w:val="32"/>
          <w:highlight w:val="none"/>
          <w:u w:val="none"/>
          <w:lang w:val="en-US" w:eastAsia="zh-CN"/>
        </w:rPr>
        <w:t>八</w:t>
      </w:r>
      <w:r>
        <w:rPr>
          <w:rFonts w:hint="eastAsia" w:ascii="宋体" w:hAnsi="宋体" w:eastAsia="宋体" w:cs="宋体"/>
          <w:b/>
          <w:bCs/>
          <w:color w:val="auto"/>
          <w:sz w:val="32"/>
          <w:szCs w:val="32"/>
          <w:highlight w:val="none"/>
          <w:u w:val="none"/>
        </w:rPr>
        <w:t>月</w:t>
      </w:r>
      <w:bookmarkEnd w:id="0"/>
      <w:bookmarkEnd w:id="1"/>
    </w:p>
    <w:p w14:paraId="200A49AA">
      <w:pPr>
        <w:widowControl/>
        <w:tabs>
          <w:tab w:val="left" w:pos="1060"/>
        </w:tabs>
        <w:spacing w:before="100" w:beforeAutospacing="1" w:after="100" w:afterAutospacing="1" w:line="360" w:lineRule="auto"/>
        <w:ind w:left="0" w:leftChars="0" w:right="0" w:rightChars="0" w:firstLine="0"/>
        <w:jc w:val="center"/>
        <w:rPr>
          <w:rFonts w:hint="eastAsia" w:ascii="宋体" w:hAnsi="宋体" w:eastAsia="宋体" w:cs="宋体"/>
          <w:color w:val="auto"/>
          <w:sz w:val="40"/>
          <w:szCs w:val="28"/>
          <w:highlight w:val="none"/>
        </w:rPr>
      </w:pPr>
      <w:r>
        <w:rPr>
          <w:rFonts w:hint="eastAsia" w:ascii="宋体" w:hAnsi="宋体" w:eastAsia="宋体" w:cs="宋体"/>
          <w:b/>
          <w:color w:val="auto"/>
          <w:sz w:val="36"/>
          <w:szCs w:val="36"/>
          <w:highlight w:val="none"/>
        </w:rPr>
        <w:t>招标代理项目部人员组成</w:t>
      </w:r>
    </w:p>
    <w:p w14:paraId="311F950F">
      <w:pPr>
        <w:widowControl/>
        <w:tabs>
          <w:tab w:val="left" w:pos="899"/>
        </w:tabs>
        <w:spacing w:line="360" w:lineRule="auto"/>
        <w:ind w:right="-34" w:rightChars="-16"/>
        <w:jc w:val="left"/>
        <w:rPr>
          <w:rFonts w:hint="eastAsia" w:ascii="宋体" w:hAnsi="宋体" w:eastAsia="宋体" w:cs="宋体"/>
          <w:color w:val="auto"/>
          <w:sz w:val="32"/>
          <w:szCs w:val="32"/>
          <w:highlight w:val="none"/>
        </w:rPr>
      </w:pPr>
    </w:p>
    <w:p w14:paraId="44651225">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一、项目负责人：</w:t>
      </w:r>
      <w:r>
        <w:rPr>
          <w:rFonts w:hint="eastAsia" w:ascii="宋体" w:hAnsi="宋体" w:eastAsia="宋体" w:cs="宋体"/>
          <w:sz w:val="32"/>
          <w:szCs w:val="32"/>
          <w:u w:val="single"/>
        </w:rPr>
        <w:t xml:space="preserve"> 刘学盈 </w:t>
      </w:r>
    </w:p>
    <w:p w14:paraId="5313F1A4">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（建设类注册执业（职业）资格证号：</w:t>
      </w:r>
      <w:r>
        <w:rPr>
          <w:rFonts w:hint="eastAsia" w:ascii="宋体" w:hAnsi="宋体" w:eastAsia="宋体" w:cs="宋体"/>
          <w:sz w:val="32"/>
          <w:szCs w:val="32"/>
          <w:u w:val="single"/>
        </w:rPr>
        <w:t>建【造】11224100010068</w:t>
      </w:r>
      <w:r>
        <w:rPr>
          <w:rFonts w:hint="eastAsia" w:ascii="宋体" w:hAnsi="宋体" w:eastAsia="宋体" w:cs="宋体"/>
          <w:sz w:val="32"/>
          <w:szCs w:val="32"/>
        </w:rPr>
        <w:t>）</w:t>
      </w:r>
    </w:p>
    <w:p w14:paraId="3D5E2487">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二、其他人员</w:t>
      </w:r>
    </w:p>
    <w:p w14:paraId="727DD320">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1、姓名： </w:t>
      </w:r>
      <w:r>
        <w:rPr>
          <w:rFonts w:hint="eastAsia" w:ascii="宋体" w:hAnsi="宋体" w:eastAsia="宋体" w:cs="宋体"/>
          <w:sz w:val="32"/>
          <w:szCs w:val="32"/>
          <w:u w:val="single"/>
        </w:rPr>
        <w:t>马  强</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招标代理从业资格证Z4501004634</w:t>
      </w:r>
    </w:p>
    <w:p w14:paraId="793B523D">
      <w:pPr>
        <w:widowControl/>
        <w:spacing w:line="600" w:lineRule="auto"/>
        <w:ind w:left="840" w:leftChars="400"/>
        <w:jc w:val="left"/>
        <w:rPr>
          <w:rFonts w:hint="eastAsia" w:ascii="宋体" w:hAnsi="宋体" w:eastAsia="宋体" w:cs="宋体"/>
          <w:sz w:val="32"/>
          <w:szCs w:val="32"/>
          <w:u w:val="single"/>
        </w:rPr>
      </w:pPr>
      <w:r>
        <w:rPr>
          <w:rFonts w:hint="eastAsia" w:ascii="宋体" w:hAnsi="宋体" w:eastAsia="宋体" w:cs="宋体"/>
          <w:sz w:val="32"/>
          <w:szCs w:val="32"/>
        </w:rPr>
        <w:t xml:space="preserve">2、姓名： </w:t>
      </w:r>
      <w:r>
        <w:rPr>
          <w:rFonts w:hint="eastAsia" w:ascii="宋体" w:hAnsi="宋体" w:eastAsia="宋体" w:cs="宋体"/>
          <w:sz w:val="32"/>
          <w:szCs w:val="32"/>
          <w:u w:val="single"/>
        </w:rPr>
        <w:t>赵雅静</w:t>
      </w:r>
      <w:r>
        <w:rPr>
          <w:rFonts w:hint="eastAsia" w:ascii="宋体" w:hAnsi="宋体" w:eastAsia="宋体" w:cs="宋体"/>
          <w:sz w:val="32"/>
          <w:szCs w:val="32"/>
        </w:rPr>
        <w:t xml:space="preserve">  </w:t>
      </w:r>
      <w:r>
        <w:rPr>
          <w:rFonts w:hint="eastAsia" w:ascii="宋体" w:hAnsi="宋体" w:eastAsia="宋体" w:cs="宋体"/>
          <w:sz w:val="32"/>
          <w:szCs w:val="32"/>
          <w:u w:val="single"/>
        </w:rPr>
        <w:t xml:space="preserve"> 招标代理从业资格证Z45020221540</w:t>
      </w:r>
    </w:p>
    <w:p w14:paraId="5DE27006">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3、姓名： </w:t>
      </w:r>
      <w:r>
        <w:rPr>
          <w:rFonts w:hint="eastAsia" w:ascii="宋体" w:hAnsi="宋体" w:eastAsia="宋体" w:cs="宋体"/>
          <w:sz w:val="32"/>
          <w:szCs w:val="32"/>
          <w:u w:val="single"/>
        </w:rPr>
        <w:t>董国杰</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招标代理从业资格证Z45020211607</w:t>
      </w:r>
    </w:p>
    <w:p w14:paraId="32FEDDE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457E806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目   录</w:t>
      </w:r>
    </w:p>
    <w:p w14:paraId="6A2AA92E">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TOC \o "1-2" \h \z \u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_Toc18784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smallCaps/>
          <w:kern w:val="2"/>
          <w:sz w:val="24"/>
          <w:szCs w:val="32"/>
          <w:highlight w:val="none"/>
          <w:lang w:val="en-US" w:eastAsia="zh-CN" w:bidi="ar-SA"/>
        </w:rPr>
        <w:t>第一卷</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_Toc18784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1</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231E9C44">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_Toc12902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bCs/>
          <w:smallCaps/>
          <w:kern w:val="2"/>
          <w:sz w:val="24"/>
          <w:szCs w:val="32"/>
          <w:lang w:val="en-US" w:eastAsia="zh-CN" w:bidi="ar-SA"/>
        </w:rPr>
        <w:t xml:space="preserve">第一章 </w:t>
      </w:r>
      <w:r>
        <w:rPr>
          <w:rFonts w:hint="eastAsia" w:ascii="宋体" w:hAnsi="宋体" w:eastAsia="宋体" w:cs="宋体"/>
          <w:bCs/>
          <w:smallCaps/>
          <w:kern w:val="2"/>
          <w:sz w:val="24"/>
          <w:szCs w:val="32"/>
          <w:highlight w:val="none"/>
          <w:lang w:val="en-US" w:eastAsia="zh-CN" w:bidi="ar-SA"/>
        </w:rPr>
        <w:t>招标公告</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_Toc12902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2</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063C4D6E">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_Toc18320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bCs/>
          <w:smallCaps/>
          <w:kern w:val="2"/>
          <w:sz w:val="24"/>
          <w:szCs w:val="32"/>
          <w:lang w:val="en-US" w:eastAsia="zh-CN" w:bidi="ar-SA"/>
        </w:rPr>
        <w:t>第二章 投标人须知</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_Toc18320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8</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45E9A0A1">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_Toc20595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smallCaps/>
          <w:kern w:val="2"/>
          <w:sz w:val="24"/>
          <w:szCs w:val="32"/>
          <w:highlight w:val="none"/>
          <w:lang w:val="en-US" w:eastAsia="zh-CN" w:bidi="ar-SA"/>
        </w:rPr>
        <w:t>第三章 评标办法及定标办法</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_Toc20595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27</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4445BE19">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_Toc30216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bCs/>
          <w:smallCaps/>
          <w:kern w:val="2"/>
          <w:sz w:val="24"/>
          <w:szCs w:val="32"/>
          <w:highlight w:val="none"/>
          <w:lang w:val="en-US" w:eastAsia="zh-CN" w:bidi="ar-SA"/>
        </w:rPr>
        <w:t>第四章 合同条款及格式</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_Toc30216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38</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5022ECAB">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_Toc24828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smallCaps/>
          <w:kern w:val="2"/>
          <w:sz w:val="24"/>
          <w:szCs w:val="32"/>
          <w:highlight w:val="none"/>
          <w:lang w:val="en-US" w:eastAsia="zh-CN" w:bidi="ar-SA"/>
        </w:rPr>
        <w:t>第五章 工程量清单</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_Toc24828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96</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7B984F31">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_Toc10677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bCs w:val="0"/>
          <w:smallCaps/>
          <w:kern w:val="2"/>
          <w:sz w:val="24"/>
          <w:szCs w:val="32"/>
          <w:highlight w:val="none"/>
          <w:lang w:val="en-US" w:eastAsia="zh-CN" w:bidi="ar-SA"/>
        </w:rPr>
        <w:t>第二卷</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_Toc10677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97</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37B2D848">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_Toc16766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bCs/>
          <w:smallCaps/>
          <w:kern w:val="2"/>
          <w:sz w:val="24"/>
          <w:szCs w:val="32"/>
          <w:highlight w:val="none"/>
          <w:lang w:val="en-US" w:eastAsia="zh-CN" w:bidi="ar-SA"/>
        </w:rPr>
        <w:t>第六章 图纸</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_Toc16766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98</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136BBBF4">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_Toc14390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bCs w:val="0"/>
          <w:smallCaps/>
          <w:kern w:val="2"/>
          <w:sz w:val="24"/>
          <w:szCs w:val="32"/>
          <w:highlight w:val="none"/>
          <w:lang w:val="en-US" w:eastAsia="zh-CN" w:bidi="ar-SA"/>
        </w:rPr>
        <w:t>第三卷</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_Toc14390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99</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6739B4A4">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_Toc7683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bCs/>
          <w:smallCaps/>
          <w:kern w:val="2"/>
          <w:sz w:val="24"/>
          <w:szCs w:val="32"/>
          <w:highlight w:val="none"/>
          <w:lang w:val="en-US" w:eastAsia="zh-CN" w:bidi="ar-SA"/>
        </w:rPr>
        <w:t>第七章 技术标准和要求</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_Toc7683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100</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76AE12DF">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_Toc16938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bCs/>
          <w:smallCaps/>
          <w:kern w:val="2"/>
          <w:sz w:val="24"/>
          <w:szCs w:val="32"/>
          <w:highlight w:val="none"/>
          <w:lang w:val="en-US" w:eastAsia="zh-CN" w:bidi="ar-SA"/>
        </w:rPr>
        <w:t>第四卷</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_Toc16938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101</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56B2D967">
      <w:pPr>
        <w:tabs>
          <w:tab w:val="right" w:leader="dot" w:pos="9071"/>
        </w:tabs>
        <w:spacing w:line="360" w:lineRule="auto"/>
        <w:ind w:left="0" w:leftChars="0"/>
        <w:jc w:val="both"/>
        <w:rPr>
          <w:rFonts w:hint="eastAsia" w:ascii="宋体" w:hAnsi="宋体" w:eastAsia="宋体" w:cs="宋体"/>
          <w:smallCaps/>
          <w:kern w:val="2"/>
          <w:sz w:val="24"/>
          <w:szCs w:val="24"/>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kern w:val="2"/>
          <w:sz w:val="24"/>
          <w:szCs w:val="24"/>
          <w:highlight w:val="none"/>
          <w:lang w:val="en-US" w:eastAsia="zh-CN" w:bidi="ar-SA"/>
        </w:rPr>
        <w:instrText xml:space="preserve"> HYPERLINK \l _Toc31420 </w:instrText>
      </w:r>
      <w:r>
        <w:rPr>
          <w:rFonts w:hint="eastAsia" w:ascii="宋体" w:hAnsi="宋体" w:eastAsia="宋体" w:cs="宋体"/>
          <w:smallCaps/>
          <w:kern w:val="2"/>
          <w:sz w:val="24"/>
          <w:szCs w:val="24"/>
          <w:highlight w:val="none"/>
          <w:lang w:val="en-US" w:eastAsia="zh-CN" w:bidi="ar-SA"/>
        </w:rPr>
        <w:fldChar w:fldCharType="separate"/>
      </w:r>
      <w:r>
        <w:rPr>
          <w:rFonts w:hint="eastAsia" w:ascii="宋体" w:hAnsi="宋体" w:eastAsia="宋体" w:cs="宋体"/>
          <w:bCs/>
          <w:smallCaps/>
          <w:kern w:val="2"/>
          <w:sz w:val="24"/>
          <w:szCs w:val="32"/>
          <w:highlight w:val="none"/>
          <w:lang w:val="en-US" w:eastAsia="zh-CN" w:bidi="ar-SA"/>
        </w:rPr>
        <w:t>第八章 投标文件格式</w:t>
      </w:r>
      <w:r>
        <w:rPr>
          <w:rFonts w:hint="eastAsia" w:ascii="宋体" w:hAnsi="宋体" w:eastAsia="宋体" w:cs="宋体"/>
          <w:smallCaps/>
          <w:kern w:val="2"/>
          <w:sz w:val="24"/>
          <w:szCs w:val="24"/>
          <w:lang w:val="en-US" w:eastAsia="zh-CN" w:bidi="ar-SA"/>
        </w:rPr>
        <w:tab/>
      </w:r>
      <w:r>
        <w:rPr>
          <w:rFonts w:hint="eastAsia" w:ascii="宋体" w:hAnsi="宋体" w:eastAsia="宋体" w:cs="宋体"/>
          <w:smallCaps/>
          <w:kern w:val="2"/>
          <w:sz w:val="24"/>
          <w:szCs w:val="24"/>
          <w:lang w:val="en-US" w:eastAsia="zh-CN" w:bidi="ar-SA"/>
        </w:rPr>
        <w:fldChar w:fldCharType="begin"/>
      </w:r>
      <w:r>
        <w:rPr>
          <w:rFonts w:hint="eastAsia" w:ascii="宋体" w:hAnsi="宋体" w:eastAsia="宋体" w:cs="宋体"/>
          <w:smallCaps/>
          <w:kern w:val="2"/>
          <w:sz w:val="24"/>
          <w:szCs w:val="24"/>
          <w:lang w:val="en-US" w:eastAsia="zh-CN" w:bidi="ar-SA"/>
        </w:rPr>
        <w:instrText xml:space="preserve"> PAGEREF _Toc31420 \h </w:instrText>
      </w:r>
      <w:r>
        <w:rPr>
          <w:rFonts w:hint="eastAsia" w:ascii="宋体" w:hAnsi="宋体" w:eastAsia="宋体" w:cs="宋体"/>
          <w:smallCaps/>
          <w:kern w:val="2"/>
          <w:sz w:val="24"/>
          <w:szCs w:val="24"/>
          <w:lang w:val="en-US" w:eastAsia="zh-CN" w:bidi="ar-SA"/>
        </w:rPr>
        <w:fldChar w:fldCharType="separate"/>
      </w:r>
      <w:r>
        <w:rPr>
          <w:rFonts w:hint="eastAsia" w:ascii="宋体" w:hAnsi="宋体" w:eastAsia="宋体" w:cs="宋体"/>
          <w:smallCaps/>
          <w:kern w:val="2"/>
          <w:sz w:val="24"/>
          <w:szCs w:val="24"/>
          <w:lang w:val="en-US" w:eastAsia="zh-CN" w:bidi="ar-SA"/>
        </w:rPr>
        <w:t>102</w:t>
      </w:r>
      <w:r>
        <w:rPr>
          <w:rFonts w:hint="eastAsia" w:ascii="宋体" w:hAnsi="宋体" w:eastAsia="宋体" w:cs="宋体"/>
          <w:smallCaps/>
          <w:kern w:val="2"/>
          <w:sz w:val="24"/>
          <w:szCs w:val="24"/>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2274ACCB">
      <w:pPr>
        <w:keepNext w:val="0"/>
        <w:keepLines w:val="0"/>
        <w:pageBreakBefore w:val="0"/>
        <w:widowControl/>
        <w:tabs>
          <w:tab w:val="right" w:leader="dot" w:pos="9071"/>
        </w:tabs>
        <w:kinsoku/>
        <w:wordWrap/>
        <w:overflowPunct/>
        <w:topLinePunct w:val="0"/>
        <w:autoSpaceDE/>
        <w:autoSpaceDN/>
        <w:bidi w:val="0"/>
        <w:adjustRightInd/>
        <w:snapToGrid/>
        <w:spacing w:line="360" w:lineRule="auto"/>
        <w:ind w:left="0" w:leftChars="0"/>
        <w:jc w:val="both"/>
        <w:textAlignment w:val="auto"/>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end"/>
      </w:r>
      <w:bookmarkStart w:id="18" w:name="_Toc221949919"/>
    </w:p>
    <w:p w14:paraId="732E6673">
      <w:pPr>
        <w:spacing w:before="120" w:beforeLines="50" w:after="120" w:afterLines="50" w:line="340" w:lineRule="exact"/>
        <w:rPr>
          <w:rFonts w:hint="eastAsia" w:ascii="宋体" w:hAnsi="宋体" w:eastAsia="宋体" w:cs="宋体"/>
          <w:color w:val="auto"/>
          <w:szCs w:val="21"/>
          <w:highlight w:val="none"/>
        </w:rPr>
        <w:sectPr>
          <w:headerReference r:id="rId3" w:type="default"/>
          <w:footerReference r:id="rId4" w:type="default"/>
          <w:pgSz w:w="11905" w:h="16838"/>
          <w:pgMar w:top="1417" w:right="1417" w:bottom="1417" w:left="1417" w:header="992" w:footer="1134" w:gutter="0"/>
          <w:pgNumType w:fmt="decimal"/>
          <w:cols w:space="720" w:num="1"/>
          <w:rtlGutter w:val="0"/>
          <w:docGrid w:linePitch="312" w:charSpace="0"/>
        </w:sectPr>
      </w:pPr>
    </w:p>
    <w:p w14:paraId="765068ED">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34DC2624">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65914D35">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0FDC9D4A">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50468CEB">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68FA4643">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1F95260F">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17446CF4">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6AD32B7E">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6F29A1C2">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5F6608F8">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1243EBE1">
      <w:pPr>
        <w:widowControl/>
        <w:jc w:val="center"/>
        <w:outlineLvl w:val="9"/>
        <w:rPr>
          <w:rFonts w:hint="eastAsia" w:ascii="宋体" w:hAnsi="宋体" w:eastAsia="宋体" w:cs="宋体"/>
          <w:color w:val="auto"/>
          <w:szCs w:val="22"/>
          <w:highlight w:val="none"/>
        </w:rPr>
      </w:pPr>
    </w:p>
    <w:p w14:paraId="2B661C85">
      <w:pPr>
        <w:widowControl/>
        <w:jc w:val="left"/>
        <w:rPr>
          <w:rFonts w:hint="eastAsia" w:ascii="宋体" w:hAnsi="宋体" w:eastAsia="宋体" w:cs="宋体"/>
          <w:color w:val="auto"/>
          <w:szCs w:val="22"/>
          <w:highlight w:val="none"/>
        </w:rPr>
      </w:pPr>
    </w:p>
    <w:p w14:paraId="5512B990">
      <w:pPr>
        <w:widowControl/>
        <w:jc w:val="left"/>
        <w:rPr>
          <w:rFonts w:hint="eastAsia" w:ascii="宋体" w:hAnsi="宋体" w:eastAsia="宋体" w:cs="宋体"/>
          <w:color w:val="auto"/>
          <w:szCs w:val="22"/>
          <w:highlight w:val="none"/>
        </w:rPr>
      </w:pPr>
    </w:p>
    <w:p w14:paraId="3C4EC362">
      <w:pPr>
        <w:keepNext/>
        <w:keepLines/>
        <w:spacing w:before="340" w:after="330" w:line="578" w:lineRule="auto"/>
        <w:jc w:val="center"/>
        <w:outlineLvl w:val="0"/>
        <w:rPr>
          <w:rFonts w:hint="eastAsia" w:ascii="宋体" w:hAnsi="宋体" w:eastAsia="宋体" w:cs="宋体"/>
          <w:b/>
          <w:bCs/>
          <w:color w:val="auto"/>
          <w:kern w:val="44"/>
          <w:sz w:val="52"/>
          <w:szCs w:val="52"/>
          <w:highlight w:val="none"/>
          <w:lang w:val="en-US" w:eastAsia="zh-CN" w:bidi="ar-SA"/>
        </w:rPr>
      </w:pPr>
      <w:bookmarkStart w:id="19" w:name="_Toc1806"/>
      <w:bookmarkStart w:id="20" w:name="_Toc13162"/>
      <w:bookmarkStart w:id="21" w:name="_Toc18784"/>
      <w:bookmarkStart w:id="22" w:name="_Toc403835001"/>
      <w:bookmarkStart w:id="23" w:name="_Toc332378823"/>
      <w:r>
        <w:rPr>
          <w:rFonts w:hint="eastAsia" w:ascii="宋体" w:hAnsi="宋体" w:eastAsia="宋体" w:cs="宋体"/>
          <w:b/>
          <w:bCs/>
          <w:color w:val="auto"/>
          <w:kern w:val="44"/>
          <w:sz w:val="52"/>
          <w:szCs w:val="52"/>
          <w:highlight w:val="none"/>
          <w:lang w:val="en-US" w:eastAsia="zh-CN" w:bidi="ar-SA"/>
        </w:rPr>
        <w:t>第一卷</w:t>
      </w:r>
      <w:bookmarkEnd w:id="18"/>
      <w:bookmarkEnd w:id="19"/>
      <w:bookmarkEnd w:id="20"/>
      <w:bookmarkEnd w:id="21"/>
      <w:bookmarkEnd w:id="22"/>
      <w:bookmarkEnd w:id="23"/>
    </w:p>
    <w:p w14:paraId="06F2CB7F">
      <w:pPr>
        <w:widowControl/>
        <w:spacing w:before="0" w:beforeLines="0" w:after="0"/>
        <w:ind w:right="102"/>
        <w:jc w:val="left"/>
        <w:outlineLvl w:val="9"/>
        <w:rPr>
          <w:rFonts w:hint="eastAsia" w:ascii="宋体" w:hAnsi="宋体" w:eastAsia="宋体" w:cs="宋体"/>
          <w:color w:val="auto"/>
          <w:sz w:val="32"/>
          <w:szCs w:val="32"/>
          <w:highlight w:val="none"/>
          <w:lang w:val="en-US" w:eastAsia="zh-CN"/>
        </w:rPr>
      </w:pPr>
      <w:bookmarkStart w:id="24" w:name="_Toc4897"/>
      <w:bookmarkStart w:id="25" w:name="_Toc25141"/>
      <w:r>
        <w:rPr>
          <w:rFonts w:hint="eastAsia" w:ascii="宋体" w:hAnsi="宋体" w:eastAsia="宋体" w:cs="宋体"/>
          <w:color w:val="auto"/>
          <w:sz w:val="32"/>
          <w:szCs w:val="32"/>
          <w:highlight w:val="none"/>
          <w:lang w:val="en-US" w:eastAsia="zh-CN"/>
        </w:rPr>
        <w:br w:type="page"/>
      </w:r>
    </w:p>
    <w:p w14:paraId="3B028A5F">
      <w:pPr>
        <w:widowControl/>
        <w:numPr>
          <w:ilvl w:val="0"/>
          <w:numId w:val="0"/>
        </w:numPr>
        <w:spacing w:before="0" w:beforeLines="0" w:after="0" w:afterLines="0"/>
        <w:ind w:right="102" w:firstLine="3213" w:firstLineChars="1000"/>
        <w:jc w:val="left"/>
        <w:outlineLvl w:val="0"/>
        <w:rPr>
          <w:rFonts w:hint="eastAsia" w:ascii="宋体" w:hAnsi="宋体" w:eastAsia="宋体" w:cs="宋体"/>
          <w:b/>
          <w:bCs/>
          <w:color w:val="auto"/>
          <w:sz w:val="32"/>
          <w:szCs w:val="32"/>
          <w:highlight w:val="none"/>
          <w:lang w:val="en-US" w:eastAsia="zh-CN"/>
        </w:rPr>
      </w:pPr>
      <w:bookmarkStart w:id="26" w:name="_Toc12902"/>
      <w:r>
        <w:rPr>
          <w:rFonts w:hint="eastAsia" w:ascii="宋体" w:hAnsi="宋体" w:eastAsia="宋体" w:cs="宋体"/>
          <w:b/>
          <w:bCs/>
          <w:color w:val="auto"/>
          <w:kern w:val="2"/>
          <w:sz w:val="32"/>
          <w:szCs w:val="32"/>
          <w:lang w:val="en-US" w:eastAsia="zh-CN" w:bidi="ar-SA"/>
        </w:rPr>
        <w:t xml:space="preserve">第一章 </w:t>
      </w:r>
      <w:r>
        <w:rPr>
          <w:rFonts w:hint="eastAsia" w:ascii="宋体" w:hAnsi="宋体" w:eastAsia="宋体" w:cs="宋体"/>
          <w:b/>
          <w:bCs/>
          <w:color w:val="auto"/>
          <w:sz w:val="32"/>
          <w:szCs w:val="32"/>
          <w:highlight w:val="none"/>
          <w:lang w:val="en-US" w:eastAsia="zh-CN"/>
        </w:rPr>
        <w:t>招标公告</w:t>
      </w:r>
      <w:bookmarkEnd w:id="26"/>
    </w:p>
    <w:p w14:paraId="31B8D654">
      <w:pPr>
        <w:keepNext w:val="0"/>
        <w:keepLines w:val="0"/>
        <w:pageBreakBefore w:val="0"/>
        <w:widowControl w:val="0"/>
        <w:kinsoku/>
        <w:overflowPunct/>
        <w:topLinePunct w:val="0"/>
        <w:bidi w:val="0"/>
        <w:snapToGrid/>
        <w:spacing w:beforeLines="0" w:after="0" w:afterLines="0" w:afterAutospacing="0" w:line="36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驻马店市薄山水库除险加固工程（一期）招标公告</w:t>
      </w:r>
    </w:p>
    <w:p w14:paraId="6FC61646">
      <w:pPr>
        <w:keepNext w:val="0"/>
        <w:keepLines w:val="0"/>
        <w:pageBreakBefore w:val="0"/>
        <w:widowControl w:val="0"/>
        <w:kinsoku/>
        <w:wordWrap w:val="0"/>
        <w:overflowPunct/>
        <w:topLinePunct w:val="0"/>
        <w:bidi w:val="0"/>
        <w:snapToGrid/>
        <w:spacing w:beforeLines="0" w:afterLines="0" w:line="360" w:lineRule="auto"/>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rPr>
        <w:t>项目编号：ZMD2026-035</w:t>
      </w:r>
    </w:p>
    <w:p w14:paraId="0A050935">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1、招标条件</w:t>
      </w:r>
    </w:p>
    <w:p w14:paraId="10DEE14B">
      <w:pPr>
        <w:keepNext w:val="0"/>
        <w:keepLines w:val="0"/>
        <w:pageBreakBefore w:val="0"/>
        <w:widowControl w:val="0"/>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本招标项目</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驻马店市薄山水库除险加固工程（一期） </w:t>
      </w:r>
      <w:r>
        <w:rPr>
          <w:rFonts w:hint="eastAsia" w:ascii="宋体" w:hAnsi="宋体" w:eastAsia="宋体" w:cs="宋体"/>
          <w:color w:val="auto"/>
          <w:kern w:val="0"/>
          <w:sz w:val="21"/>
          <w:szCs w:val="21"/>
          <w:highlight w:val="none"/>
          <w:shd w:val="clear" w:color="auto" w:fill="FFFFFF"/>
          <w:lang w:val="en-US" w:eastAsia="zh-CN" w:bidi="ar"/>
        </w:rPr>
        <w:t>已由相关部门批准建设，</w:t>
      </w:r>
      <w:r>
        <w:rPr>
          <w:rFonts w:hint="eastAsia" w:ascii="宋体" w:hAnsi="宋体" w:eastAsia="宋体" w:cs="宋体"/>
          <w:color w:val="auto"/>
          <w:kern w:val="0"/>
          <w:sz w:val="21"/>
          <w:szCs w:val="21"/>
          <w:highlight w:val="none"/>
          <w:u w:val="none"/>
          <w:shd w:val="clear" w:color="auto" w:fill="FFFFFF"/>
          <w:lang w:val="en-US" w:eastAsia="zh-CN" w:bidi="ar"/>
        </w:rPr>
        <w:t>项目代码：</w:t>
      </w:r>
      <w:r>
        <w:rPr>
          <w:rFonts w:hint="eastAsia" w:ascii="宋体" w:hAnsi="宋体" w:eastAsia="宋体" w:cs="宋体"/>
          <w:color w:val="auto"/>
          <w:kern w:val="0"/>
          <w:sz w:val="21"/>
          <w:szCs w:val="21"/>
          <w:highlight w:val="none"/>
          <w:u w:val="single"/>
          <w:shd w:val="clear" w:color="auto" w:fill="FFFFFF"/>
          <w:lang w:val="en-US" w:eastAsia="zh-CN" w:bidi="ar"/>
        </w:rPr>
        <w:t xml:space="preserve"> 2509-411700-04-01-869629 </w:t>
      </w:r>
      <w:r>
        <w:rPr>
          <w:rFonts w:hint="eastAsia" w:ascii="宋体" w:hAnsi="宋体" w:eastAsia="宋体" w:cs="宋体"/>
          <w:color w:val="auto"/>
          <w:kern w:val="0"/>
          <w:sz w:val="21"/>
          <w:szCs w:val="21"/>
          <w:highlight w:val="none"/>
          <w:u w:val="none"/>
          <w:shd w:val="clear" w:color="auto" w:fill="FFFFFF"/>
          <w:lang w:val="en-US" w:eastAsia="zh-CN" w:bidi="ar"/>
        </w:rPr>
        <w:t>，招</w:t>
      </w:r>
      <w:r>
        <w:rPr>
          <w:rFonts w:hint="eastAsia" w:ascii="宋体" w:hAnsi="宋体" w:eastAsia="宋体" w:cs="宋体"/>
          <w:color w:val="auto"/>
          <w:kern w:val="0"/>
          <w:sz w:val="21"/>
          <w:szCs w:val="21"/>
          <w:highlight w:val="none"/>
          <w:shd w:val="clear" w:color="auto" w:fill="FFFFFF"/>
          <w:lang w:val="en-US" w:eastAsia="zh-CN" w:bidi="ar"/>
        </w:rPr>
        <w:t>标人为</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驻马店市薄山水库运行中心 </w:t>
      </w:r>
      <w:r>
        <w:rPr>
          <w:rFonts w:hint="eastAsia" w:ascii="宋体" w:hAnsi="宋体" w:eastAsia="宋体" w:cs="宋体"/>
          <w:color w:val="auto"/>
          <w:kern w:val="0"/>
          <w:sz w:val="21"/>
          <w:szCs w:val="21"/>
          <w:highlight w:val="none"/>
          <w:shd w:val="clear" w:color="auto" w:fill="FFFFFF"/>
          <w:lang w:val="en-US" w:eastAsia="zh-CN" w:bidi="ar"/>
        </w:rPr>
        <w:t>，建设资金为</w:t>
      </w:r>
      <w:r>
        <w:rPr>
          <w:rFonts w:hint="eastAsia" w:ascii="宋体" w:hAnsi="宋体" w:eastAsia="宋体" w:cs="宋体"/>
          <w:color w:val="auto"/>
          <w:kern w:val="0"/>
          <w:sz w:val="21"/>
          <w:szCs w:val="21"/>
          <w:highlight w:val="none"/>
          <w:u w:val="single"/>
          <w:shd w:val="clear" w:color="auto" w:fill="FFFFFF"/>
          <w:lang w:val="en-US" w:eastAsia="zh-CN" w:bidi="ar"/>
        </w:rPr>
        <w:t xml:space="preserve"> 财政资金 </w:t>
      </w:r>
      <w:r>
        <w:rPr>
          <w:rFonts w:hint="eastAsia" w:ascii="宋体" w:hAnsi="宋体" w:eastAsia="宋体" w:cs="宋体"/>
          <w:color w:val="auto"/>
          <w:kern w:val="0"/>
          <w:sz w:val="21"/>
          <w:szCs w:val="21"/>
          <w:highlight w:val="none"/>
          <w:shd w:val="clear" w:color="auto" w:fill="FFFFFF"/>
          <w:lang w:val="en-US" w:eastAsia="zh-CN" w:bidi="ar"/>
        </w:rPr>
        <w:t>，招标代理机构为</w:t>
      </w:r>
      <w:r>
        <w:rPr>
          <w:rFonts w:hint="eastAsia" w:ascii="宋体" w:hAnsi="宋体" w:eastAsia="宋体" w:cs="宋体"/>
          <w:color w:val="auto"/>
          <w:kern w:val="0"/>
          <w:sz w:val="21"/>
          <w:szCs w:val="21"/>
          <w:highlight w:val="none"/>
          <w:u w:val="single"/>
          <w:shd w:val="clear" w:color="auto" w:fill="FFFFFF"/>
          <w:lang w:val="en-US" w:eastAsia="zh-CN" w:bidi="ar"/>
        </w:rPr>
        <w:t xml:space="preserve"> 正智国际工程管理（河南）有限公司 </w:t>
      </w:r>
      <w:r>
        <w:rPr>
          <w:rFonts w:hint="eastAsia" w:ascii="宋体" w:hAnsi="宋体" w:eastAsia="宋体" w:cs="宋体"/>
          <w:color w:val="auto"/>
          <w:kern w:val="0"/>
          <w:sz w:val="21"/>
          <w:szCs w:val="21"/>
          <w:highlight w:val="none"/>
          <w:u w:val="none"/>
          <w:shd w:val="clear" w:color="auto" w:fill="FFFFFF"/>
          <w:lang w:val="en-US" w:eastAsia="zh-CN" w:bidi="ar"/>
        </w:rPr>
        <w:t>，现就本项目进行</w:t>
      </w:r>
      <w:r>
        <w:rPr>
          <w:rFonts w:hint="eastAsia" w:ascii="宋体" w:hAnsi="宋体" w:eastAsia="宋体" w:cs="宋体"/>
          <w:color w:val="auto"/>
          <w:kern w:val="0"/>
          <w:sz w:val="21"/>
          <w:szCs w:val="21"/>
          <w:highlight w:val="none"/>
          <w:u w:val="single"/>
          <w:shd w:val="clear" w:color="auto" w:fill="FFFFFF"/>
          <w:lang w:val="en-US" w:eastAsia="zh-CN" w:bidi="ar"/>
        </w:rPr>
        <w:t xml:space="preserve"> 公开招标 </w:t>
      </w:r>
      <w:r>
        <w:rPr>
          <w:rFonts w:hint="eastAsia" w:ascii="宋体" w:hAnsi="宋体" w:eastAsia="宋体" w:cs="宋体"/>
          <w:color w:val="auto"/>
          <w:kern w:val="0"/>
          <w:sz w:val="21"/>
          <w:szCs w:val="21"/>
          <w:highlight w:val="none"/>
          <w:u w:val="none"/>
          <w:shd w:val="clear" w:color="auto" w:fill="FFFFFF"/>
          <w:lang w:val="en-US" w:eastAsia="zh-CN" w:bidi="ar"/>
        </w:rPr>
        <w:t>，欢迎符合相关条件的投标人参加投标。</w:t>
      </w:r>
    </w:p>
    <w:p w14:paraId="0A51DAF9">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2、项目概况与招标范围</w:t>
      </w:r>
    </w:p>
    <w:p w14:paraId="5C0309F0">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2.1 项目概况：</w:t>
      </w:r>
      <w:r>
        <w:rPr>
          <w:rFonts w:hint="eastAsia" w:ascii="宋体" w:hAnsi="宋体" w:eastAsia="宋体" w:cs="宋体"/>
          <w:color w:val="auto"/>
          <w:kern w:val="0"/>
          <w:sz w:val="21"/>
          <w:szCs w:val="21"/>
          <w:highlight w:val="none"/>
          <w:shd w:val="clear" w:color="auto" w:fill="FFFFFF"/>
          <w:lang w:val="en-US" w:eastAsia="zh-CN" w:bidi="ar"/>
        </w:rPr>
        <w:t>薄山水库位于河南省驻马店市确山县境内的淮河支流臻头河上游，控制流域面积580km²，是一座以防洪、灌溉为主，结合发电、养殖、供水等综合利用的大（2）型水库，工程等别2等，主要建筑物级别2级。水库按100年一遇洪水设计，设计洪水位122.10m（废黄河口零点高程，下同），按5000年一遇洪水校核，校核洪水位125.30m，总库容5.16亿m³。</w:t>
      </w:r>
    </w:p>
    <w:p w14:paraId="5F4A1A68">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2.2标段划分：</w:t>
      </w:r>
      <w:r>
        <w:rPr>
          <w:rFonts w:hint="eastAsia" w:ascii="宋体" w:hAnsi="宋体" w:eastAsia="宋体" w:cs="宋体"/>
          <w:color w:val="auto"/>
          <w:kern w:val="0"/>
          <w:sz w:val="21"/>
          <w:szCs w:val="21"/>
          <w:highlight w:val="none"/>
          <w:shd w:val="clear" w:color="auto" w:fill="FFFFFF"/>
          <w:lang w:val="en-US" w:eastAsia="zh-CN" w:bidi="ar"/>
        </w:rPr>
        <w:t>共划分5个标段：第一标段：监理标段；第二标段：建筑工程及安装标段；第三标段：安全监测标段；第四标段：金属结构设备购置标段；第五标段：机电设备购置标段。</w:t>
      </w:r>
    </w:p>
    <w:p w14:paraId="404F6142">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2.3第一标段：监理标段相关要求</w:t>
      </w:r>
    </w:p>
    <w:p w14:paraId="16E43303">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2.3.1质量要求：符合国家、行业、地方规定相应的技术标准和规范要求。</w:t>
      </w:r>
    </w:p>
    <w:p w14:paraId="1DD4DB1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Autospacing="0" w:afterAutospacing="0" w:line="360" w:lineRule="auto"/>
        <w:ind w:left="0" w:right="0"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bidi="ar"/>
        </w:rPr>
        <w:t>2.</w:t>
      </w:r>
      <w:r>
        <w:rPr>
          <w:rFonts w:hint="eastAsia" w:ascii="宋体" w:hAnsi="宋体" w:eastAsia="宋体" w:cs="宋体"/>
          <w:color w:val="auto"/>
          <w:kern w:val="0"/>
          <w:sz w:val="21"/>
          <w:szCs w:val="21"/>
          <w:highlight w:val="none"/>
          <w:shd w:val="clear" w:color="auto" w:fill="FFFFFF"/>
          <w:lang w:val="en-US" w:eastAsia="zh-CN" w:bidi="ar"/>
        </w:rPr>
        <w:t>3</w:t>
      </w:r>
      <w:r>
        <w:rPr>
          <w:rFonts w:hint="eastAsia" w:ascii="宋体" w:hAnsi="宋体" w:eastAsia="宋体" w:cs="宋体"/>
          <w:color w:val="auto"/>
          <w:kern w:val="0"/>
          <w:sz w:val="21"/>
          <w:szCs w:val="21"/>
          <w:highlight w:val="none"/>
          <w:shd w:val="clear" w:color="auto" w:fill="FFFFFF"/>
          <w:lang w:bidi="ar"/>
        </w:rPr>
        <w:t>.2</w:t>
      </w:r>
      <w:r>
        <w:rPr>
          <w:rFonts w:hint="eastAsia" w:ascii="宋体" w:hAnsi="宋体" w:eastAsia="宋体" w:cs="宋体"/>
          <w:color w:val="auto"/>
          <w:kern w:val="0"/>
          <w:sz w:val="21"/>
          <w:szCs w:val="21"/>
          <w:highlight w:val="none"/>
          <w:shd w:val="clear" w:color="auto" w:fill="FFFFFF"/>
          <w:lang w:val="en-US" w:eastAsia="zh-CN" w:bidi="ar"/>
        </w:rPr>
        <w:t>服务期：自合同签订之日起至通过工程竣工验收止（含工程保修期）。</w:t>
      </w:r>
    </w:p>
    <w:p w14:paraId="7B044203">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2.3.3招标范围：本次除险加固工程涉及的所有工作内容。</w:t>
      </w:r>
    </w:p>
    <w:p w14:paraId="5697AE71">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2.4第二标段：建筑工程及安装标段相关要求</w:t>
      </w:r>
    </w:p>
    <w:p w14:paraId="3A86B9D8">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2.4.1质量要求：合格。</w:t>
      </w:r>
    </w:p>
    <w:p w14:paraId="4AA8C085">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yellow"/>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2.4.2计划工期：550日历天（特别要求：2027年5月31日前泄洪闸具备控制过流条件）。</w:t>
      </w:r>
    </w:p>
    <w:p w14:paraId="438705ED">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2.4.3招标范围：招标文件、施工图纸及工程量清单所含全部内容，最终以工程量清单、施工图纸内容和施工招标答疑纪要（如有）为准。</w:t>
      </w:r>
    </w:p>
    <w:p w14:paraId="3C93070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2.5第三标段：安全监测标段相关要求</w:t>
      </w:r>
    </w:p>
    <w:p w14:paraId="2F03A88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2.5.1质量要求：合格，符合国家、行业、地方规定相应的技术标准和规范要求。</w:t>
      </w:r>
    </w:p>
    <w:p w14:paraId="42CCF58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2.5.2计划工期：550日历天。</w:t>
      </w:r>
    </w:p>
    <w:p w14:paraId="1D6C1B63">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2.5.3招标范围：1、大坝：GNSS测点、GNSS基点、GNSS观测墩、测压计、测压管、钻孔、保护装置、电缆、保护管、试验及设备；2、溢洪道：位移测点、测缝计、位移计、钻孔、位错计、渗压计、电缆、保护管、机柜及设备；3、输水洞：深水温度计、雷达水位计、位移测点、RTU遥测终端；4、安全监测自动化系统：安全监测工作站、安全检测服务器、交换机、安全监测数据采集软件、电缆、保护管及设备。</w:t>
      </w:r>
    </w:p>
    <w:p w14:paraId="6F0F687D">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2.6第四标段：金属结构设备购置标段相关要求</w:t>
      </w:r>
    </w:p>
    <w:p w14:paraId="55BF72B1">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2.6.1质量要求：合格，符合国家、行业、地方规定相应的技术标准和规范要求。</w:t>
      </w:r>
    </w:p>
    <w:p w14:paraId="68B87BA7">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2.6.2供货期（服务期）：自合同签订之日起至竣工验收通过之日止（供货期按照监理人批准的供货计划实施）。</w:t>
      </w:r>
    </w:p>
    <w:p w14:paraId="5E5DB3A2">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2.6.3招标范围：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p w14:paraId="093478A8">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2.7第五标段：机电设备购置标段相关要求</w:t>
      </w:r>
    </w:p>
    <w:p w14:paraId="53E0CEFB">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2.7.1质量要求：合格，符合国家、行业、地方规定相应的技术标准和规范要求。</w:t>
      </w:r>
    </w:p>
    <w:p w14:paraId="7DA7096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2.7.2供货期（服务期）：自合同签订之日起至竣工验收通过之日止（供货期按照监理人批准的供货计划实施）。</w:t>
      </w:r>
    </w:p>
    <w:p w14:paraId="4EE211AF">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2.7.3招标范围：水力机械设备、溢洪道电气设备、照明系统、防雷接地系统、采暖通风、消防水工程、给排水工程、柴发机房电气工程、消防工程、火灾报警、大坝输水洞管理房、防雷接地等工程量清单所含设备及其必要附件、备品备件、附属设施等的设计、制造、包装、运输、安装指导、试验、验收、培训、协调、联络会议等工作。</w:t>
      </w:r>
    </w:p>
    <w:p w14:paraId="325153F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2.8 本项目采用评定分离方式确定中标人。</w:t>
      </w:r>
    </w:p>
    <w:p w14:paraId="52C3A6C6">
      <w:pPr>
        <w:keepNext w:val="0"/>
        <w:keepLines w:val="0"/>
        <w:pageBreakBefore w:val="0"/>
        <w:widowControl w:val="0"/>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3、投标人资格要求</w:t>
      </w:r>
    </w:p>
    <w:p w14:paraId="0F97251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3.1监理标段、建筑工程及安装标段、安全监测标段、金属结构设备购置标段、机电设备购置标段资格要求</w:t>
      </w:r>
    </w:p>
    <w:p w14:paraId="5B21903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3.1.1第一标段：</w:t>
      </w:r>
      <w:r>
        <w:rPr>
          <w:rFonts w:hint="eastAsia" w:ascii="宋体" w:hAnsi="宋体" w:eastAsia="宋体" w:cs="宋体"/>
          <w:b/>
          <w:bCs/>
          <w:color w:val="auto"/>
          <w:kern w:val="0"/>
          <w:sz w:val="21"/>
          <w:szCs w:val="21"/>
          <w:highlight w:val="none"/>
          <w:lang w:val="en-US" w:eastAsia="zh-CN" w:bidi="ar-SA"/>
        </w:rPr>
        <w:t>监理标段</w:t>
      </w:r>
    </w:p>
    <w:p w14:paraId="67D778E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（1）投标人具有独立法人资格，具有水利部颁发的水利工程施工监理甲级资质、水土保持工程施工监理甲级资质、机电及金属结构设备制造监理甲级资质，并在人员、资金等方面具有相应的监理能力。</w:t>
      </w:r>
    </w:p>
    <w:p w14:paraId="40F82E8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（2）拟派项目总监理工程师应同时具备水利监理工程师注册证书和水利相关专业高级职称；拟派项目总监理工程师应为本单位人员（提供2025年8月1日以来任意一个月社保缴纳证明）。</w:t>
      </w:r>
    </w:p>
    <w:p w14:paraId="03CAF3E6">
      <w:pPr>
        <w:keepNext w:val="0"/>
        <w:keepLines w:val="0"/>
        <w:pageBreakBefore w:val="0"/>
        <w:widowControl w:val="0"/>
        <w:kinsoku/>
        <w:wordWrap w:val="0"/>
        <w:overflowPunct/>
        <w:topLinePunct w:val="0"/>
        <w:autoSpaceDE/>
        <w:autoSpaceDN/>
        <w:bidi w:val="0"/>
        <w:adjustRightInd w:val="0"/>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3.</w:t>
      </w:r>
      <w:r>
        <w:rPr>
          <w:rFonts w:hint="eastAsia" w:ascii="宋体" w:hAnsi="宋体" w:eastAsia="宋体" w:cs="宋体"/>
          <w:b/>
          <w:bCs/>
          <w:color w:val="auto"/>
          <w:kern w:val="0"/>
          <w:sz w:val="21"/>
          <w:szCs w:val="21"/>
          <w:highlight w:val="none"/>
          <w:lang w:val="en-US" w:eastAsia="zh-CN"/>
        </w:rPr>
        <w:t>1.2</w:t>
      </w:r>
      <w:r>
        <w:rPr>
          <w:rFonts w:hint="eastAsia" w:ascii="宋体" w:hAnsi="宋体" w:eastAsia="宋体" w:cs="宋体"/>
          <w:b/>
          <w:bCs/>
          <w:color w:val="auto"/>
          <w:kern w:val="0"/>
          <w:sz w:val="21"/>
          <w:szCs w:val="21"/>
          <w:highlight w:val="none"/>
          <w:shd w:val="clear" w:color="auto" w:fill="FFFFFF"/>
          <w:lang w:val="en-US" w:eastAsia="zh-CN" w:bidi="ar"/>
        </w:rPr>
        <w:t>第二标段：建筑工程及安装</w:t>
      </w:r>
      <w:r>
        <w:rPr>
          <w:rFonts w:hint="eastAsia" w:ascii="宋体" w:hAnsi="宋体" w:eastAsia="宋体" w:cs="宋体"/>
          <w:b/>
          <w:bCs/>
          <w:color w:val="auto"/>
          <w:kern w:val="0"/>
          <w:sz w:val="21"/>
          <w:szCs w:val="21"/>
          <w:highlight w:val="none"/>
        </w:rPr>
        <w:t>标段</w:t>
      </w:r>
    </w:p>
    <w:p w14:paraId="148AB329">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独立法人资格，具有行政主管部门核发的水利水电工程施工总承包</w:t>
      </w:r>
      <w:r>
        <w:rPr>
          <w:rFonts w:hint="eastAsia" w:ascii="宋体" w:hAnsi="宋体" w:eastAsia="宋体" w:cs="宋体"/>
          <w:color w:val="auto"/>
          <w:kern w:val="0"/>
          <w:sz w:val="21"/>
          <w:szCs w:val="21"/>
          <w:highlight w:val="none"/>
          <w:shd w:val="clear" w:color="auto" w:fill="FFFFFF"/>
          <w:lang w:val="en-US" w:eastAsia="zh-CN" w:bidi="ar"/>
        </w:rPr>
        <w:t>一</w:t>
      </w:r>
      <w:r>
        <w:rPr>
          <w:rFonts w:hint="eastAsia" w:ascii="宋体" w:hAnsi="宋体" w:eastAsia="宋体" w:cs="宋体"/>
          <w:color w:val="auto"/>
          <w:kern w:val="0"/>
          <w:sz w:val="21"/>
          <w:szCs w:val="21"/>
          <w:highlight w:val="none"/>
          <w:shd w:val="clear" w:color="auto" w:fill="FFFFFF"/>
          <w:lang w:bidi="ar"/>
        </w:rPr>
        <w:t>级</w:t>
      </w:r>
      <w:r>
        <w:rPr>
          <w:rFonts w:hint="eastAsia" w:ascii="宋体" w:hAnsi="宋体" w:eastAsia="宋体" w:cs="宋体"/>
          <w:color w:val="auto"/>
          <w:kern w:val="0"/>
          <w:sz w:val="21"/>
          <w:szCs w:val="21"/>
          <w:highlight w:val="none"/>
          <w:shd w:val="clear" w:color="auto" w:fill="FFFFFF"/>
          <w:lang w:val="en-US" w:eastAsia="zh-CN" w:bidi="ar"/>
        </w:rPr>
        <w:t>及</w:t>
      </w:r>
      <w:r>
        <w:rPr>
          <w:rFonts w:hint="eastAsia" w:ascii="宋体" w:hAnsi="宋体" w:eastAsia="宋体" w:cs="宋体"/>
          <w:color w:val="auto"/>
          <w:kern w:val="0"/>
          <w:sz w:val="21"/>
          <w:szCs w:val="21"/>
          <w:highlight w:val="none"/>
          <w:shd w:val="clear" w:color="auto" w:fill="FFFFFF"/>
          <w:lang w:bidi="ar"/>
        </w:rPr>
        <w:t>以上资质，具备有效的安全生产许可证，并在人员、资金等方面具有相应的能力；</w:t>
      </w:r>
    </w:p>
    <w:p w14:paraId="63DA2B57">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投标人拟派项目经理须具有水利水电专业一级注册建造师资格，且未担任其他在建工程，提供无在建承诺书。拟派技术负责人须具有水利相关专业高级职称；企业主要负责人、项目经理及专职安全员应具有水行政主管部门核发的有效的安全生产考核合格证；拟派项目经理、技术负责人及专职安全员应为本单位人员（提供2025年8月1日以来任意一个月社保缴纳证明）。</w:t>
      </w:r>
    </w:p>
    <w:p w14:paraId="65B4ADEB">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2"/>
          <w:sz w:val="21"/>
          <w:szCs w:val="21"/>
          <w:highlight w:val="none"/>
          <w:lang w:val="en-US" w:eastAsia="zh-CN" w:bidi="ar-SA"/>
        </w:rPr>
        <w:t>3.1.3</w:t>
      </w:r>
      <w:r>
        <w:rPr>
          <w:rFonts w:hint="eastAsia" w:ascii="宋体" w:hAnsi="宋体" w:eastAsia="宋体" w:cs="宋体"/>
          <w:b/>
          <w:bCs/>
          <w:color w:val="auto"/>
          <w:kern w:val="0"/>
          <w:sz w:val="21"/>
          <w:szCs w:val="21"/>
          <w:highlight w:val="none"/>
          <w:shd w:val="clear" w:color="auto" w:fill="FFFFFF"/>
          <w:lang w:val="en-US" w:eastAsia="zh-CN" w:bidi="ar"/>
        </w:rPr>
        <w:t>第三标段：</w:t>
      </w:r>
      <w:r>
        <w:rPr>
          <w:rFonts w:hint="eastAsia" w:ascii="宋体" w:hAnsi="宋体" w:eastAsia="宋体" w:cs="宋体"/>
          <w:b/>
          <w:bCs/>
          <w:color w:val="auto"/>
          <w:kern w:val="2"/>
          <w:sz w:val="21"/>
          <w:szCs w:val="21"/>
          <w:highlight w:val="none"/>
          <w:lang w:val="en-US" w:eastAsia="zh-CN" w:bidi="ar-SA"/>
        </w:rPr>
        <w:t>安全监测标段</w:t>
      </w:r>
    </w:p>
    <w:p w14:paraId="74B6AD37">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strike w:val="0"/>
          <w:dstrike w:val="0"/>
          <w:color w:val="auto"/>
          <w:kern w:val="0"/>
          <w:sz w:val="21"/>
          <w:szCs w:val="21"/>
          <w:highlight w:val="none"/>
          <w:shd w:val="clear" w:color="auto" w:fill="FFFFFF"/>
          <w:lang w:bidi="ar"/>
        </w:rPr>
        <w:t>，具有行政主管部门核发</w:t>
      </w:r>
      <w:r>
        <w:rPr>
          <w:rFonts w:hint="eastAsia" w:ascii="宋体" w:hAnsi="宋体" w:eastAsia="宋体" w:cs="宋体"/>
          <w:strike w:val="0"/>
          <w:dstrike w:val="0"/>
          <w:color w:val="auto"/>
          <w:kern w:val="0"/>
          <w:sz w:val="21"/>
          <w:szCs w:val="21"/>
          <w:highlight w:val="none"/>
        </w:rPr>
        <w:t>的</w:t>
      </w:r>
      <w:r>
        <w:rPr>
          <w:rFonts w:hint="eastAsia" w:ascii="宋体" w:hAnsi="宋体" w:eastAsia="宋体" w:cs="宋体"/>
          <w:strike w:val="0"/>
          <w:dstrike w:val="0"/>
          <w:color w:val="auto"/>
          <w:kern w:val="0"/>
          <w:sz w:val="21"/>
          <w:szCs w:val="21"/>
          <w:highlight w:val="none"/>
          <w:lang w:val="zh-CN"/>
        </w:rPr>
        <w:t>电子与智能化工程专业承包二级及以上资质</w:t>
      </w:r>
      <w:r>
        <w:rPr>
          <w:rFonts w:hint="eastAsia" w:ascii="宋体" w:hAnsi="宋体" w:eastAsia="宋体" w:cs="宋体"/>
          <w:strike w:val="0"/>
          <w:dstrike w:val="0"/>
          <w:color w:val="auto"/>
          <w:kern w:val="0"/>
          <w:sz w:val="21"/>
          <w:szCs w:val="21"/>
          <w:highlight w:val="none"/>
        </w:rPr>
        <w:t>，具备有效的安全生产许</w:t>
      </w:r>
      <w:r>
        <w:rPr>
          <w:rFonts w:hint="eastAsia" w:ascii="宋体" w:hAnsi="宋体" w:eastAsia="宋体" w:cs="宋体"/>
          <w:strike w:val="0"/>
          <w:dstrike w:val="0"/>
          <w:color w:val="auto"/>
          <w:kern w:val="0"/>
          <w:sz w:val="21"/>
          <w:szCs w:val="21"/>
          <w:highlight w:val="none"/>
          <w:shd w:val="clear" w:color="auto" w:fill="FFFFFF"/>
          <w:lang w:bidi="ar"/>
        </w:rPr>
        <w:t>可证，并在人员、资金等方面具有相应的能力；</w:t>
      </w:r>
    </w:p>
    <w:p w14:paraId="2849BFEF">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eastAsia="zh-CN"/>
        </w:rPr>
        <w:t>项目经理</w:t>
      </w:r>
      <w:r>
        <w:rPr>
          <w:rFonts w:hint="eastAsia" w:ascii="宋体" w:hAnsi="宋体" w:eastAsia="宋体" w:cs="宋体"/>
          <w:color w:val="auto"/>
          <w:kern w:val="0"/>
          <w:sz w:val="21"/>
          <w:szCs w:val="21"/>
          <w:highlight w:val="none"/>
        </w:rPr>
        <w:t>须具有机电工程专业</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rPr>
        <w:t>级</w:t>
      </w:r>
      <w:r>
        <w:rPr>
          <w:rFonts w:hint="eastAsia" w:ascii="宋体" w:hAnsi="宋体" w:eastAsia="宋体" w:cs="宋体"/>
          <w:color w:val="auto"/>
          <w:kern w:val="0"/>
          <w:sz w:val="21"/>
          <w:szCs w:val="21"/>
          <w:highlight w:val="none"/>
          <w:lang w:val="en-US" w:eastAsia="zh-CN"/>
        </w:rPr>
        <w:t>及以上</w:t>
      </w:r>
      <w:r>
        <w:rPr>
          <w:rFonts w:hint="eastAsia" w:ascii="宋体" w:hAnsi="宋体" w:eastAsia="宋体" w:cs="宋体"/>
          <w:color w:val="auto"/>
          <w:kern w:val="0"/>
          <w:sz w:val="21"/>
          <w:szCs w:val="21"/>
          <w:highlight w:val="none"/>
        </w:rPr>
        <w:t>注册建造师资格，且未担任其他在建工程，提供无在建承诺书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具有有效的安全生产考核合格证书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拟派</w:t>
      </w:r>
      <w:r>
        <w:rPr>
          <w:rFonts w:hint="eastAsia" w:ascii="宋体" w:hAnsi="宋体" w:eastAsia="宋体" w:cs="宋体"/>
          <w:color w:val="auto"/>
          <w:kern w:val="0"/>
          <w:sz w:val="21"/>
          <w:szCs w:val="21"/>
          <w:highlight w:val="none"/>
          <w:lang w:eastAsia="zh-CN"/>
        </w:rPr>
        <w:t>项目经理</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2025年8月1日以来任意一个月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6E199F9F">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3.1.4</w:t>
      </w:r>
      <w:r>
        <w:rPr>
          <w:rFonts w:hint="eastAsia" w:ascii="宋体" w:hAnsi="宋体" w:eastAsia="宋体" w:cs="宋体"/>
          <w:b/>
          <w:bCs/>
          <w:color w:val="auto"/>
          <w:kern w:val="0"/>
          <w:sz w:val="21"/>
          <w:szCs w:val="21"/>
          <w:highlight w:val="none"/>
          <w:shd w:val="clear" w:color="auto" w:fill="FFFFFF"/>
          <w:lang w:val="en-US" w:eastAsia="zh-CN" w:bidi="ar"/>
        </w:rPr>
        <w:t>第四标段：</w:t>
      </w:r>
      <w:r>
        <w:rPr>
          <w:rFonts w:hint="eastAsia" w:ascii="宋体" w:hAnsi="宋体" w:eastAsia="宋体" w:cs="宋体"/>
          <w:b/>
          <w:bCs/>
          <w:color w:val="auto"/>
          <w:kern w:val="2"/>
          <w:sz w:val="21"/>
          <w:szCs w:val="21"/>
          <w:highlight w:val="none"/>
          <w:lang w:val="en-US" w:eastAsia="zh-CN" w:bidi="ar-SA"/>
        </w:rPr>
        <w:t>金属结构设备购置标段</w:t>
      </w:r>
    </w:p>
    <w:p w14:paraId="4C2778BB">
      <w:pPr>
        <w:keepNext w:val="0"/>
        <w:keepLines w:val="0"/>
        <w:pageBreakBefore w:val="0"/>
        <w:widowControl w:val="0"/>
        <w:numPr>
          <w:ilvl w:val="0"/>
          <w:numId w:val="0"/>
        </w:numPr>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2"/>
          <w:sz w:val="21"/>
          <w:szCs w:val="21"/>
          <w:shd w:val="clear" w:fill="FFFFFF"/>
          <w:lang w:val="en-US" w:eastAsia="zh-CN" w:bidi="ar"/>
        </w:rPr>
        <w:t>（1）</w:t>
      </w:r>
      <w:r>
        <w:rPr>
          <w:rFonts w:hint="eastAsia" w:ascii="宋体" w:hAnsi="宋体" w:eastAsia="宋体" w:cs="宋体"/>
          <w:color w:val="auto"/>
          <w:kern w:val="2"/>
          <w:sz w:val="21"/>
          <w:szCs w:val="21"/>
          <w:highlight w:val="none"/>
          <w:lang w:val="en-US" w:eastAsia="zh-CN" w:bidi="ar-SA"/>
        </w:rPr>
        <w:t>投标人须具有独立法人资格，具有有效的水工金属结构制作与安装工程专业承包二级及以上资质，</w:t>
      </w:r>
      <w:r>
        <w:rPr>
          <w:rFonts w:hint="eastAsia" w:ascii="宋体" w:hAnsi="宋体" w:eastAsia="宋体" w:cs="宋体"/>
          <w:color w:val="auto"/>
          <w:kern w:val="0"/>
          <w:sz w:val="21"/>
          <w:szCs w:val="21"/>
          <w:highlight w:val="none"/>
        </w:rPr>
        <w:t>具备有效的安全生产许</w:t>
      </w:r>
      <w:r>
        <w:rPr>
          <w:rFonts w:hint="eastAsia" w:ascii="宋体" w:hAnsi="宋体" w:eastAsia="宋体" w:cs="宋体"/>
          <w:color w:val="auto"/>
          <w:kern w:val="0"/>
          <w:sz w:val="21"/>
          <w:szCs w:val="21"/>
          <w:highlight w:val="none"/>
          <w:shd w:val="clear" w:color="auto" w:fill="FFFFFF"/>
          <w:lang w:bidi="ar"/>
        </w:rPr>
        <w:t>可证，并在人员、资金等方面具有相应的能力；</w:t>
      </w:r>
    </w:p>
    <w:p w14:paraId="539BBF92">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val="en-US" w:eastAsia="zh-CN"/>
        </w:rPr>
        <w:t>项目负责人</w:t>
      </w:r>
      <w:r>
        <w:rPr>
          <w:rFonts w:hint="eastAsia" w:ascii="宋体" w:hAnsi="宋体" w:eastAsia="宋体" w:cs="宋体"/>
          <w:color w:val="auto"/>
          <w:kern w:val="0"/>
          <w:sz w:val="21"/>
          <w:szCs w:val="21"/>
          <w:highlight w:val="none"/>
        </w:rPr>
        <w:t>须具有</w:t>
      </w:r>
      <w:r>
        <w:rPr>
          <w:rFonts w:hint="eastAsia" w:ascii="宋体" w:hAnsi="宋体" w:eastAsia="宋体" w:cs="宋体"/>
          <w:color w:val="auto"/>
          <w:kern w:val="0"/>
          <w:sz w:val="21"/>
          <w:szCs w:val="21"/>
          <w:highlight w:val="none"/>
          <w:lang w:val="en-US" w:eastAsia="zh-CN"/>
        </w:rPr>
        <w:t>机械类相关专业高级职称，拟派</w:t>
      </w:r>
      <w:r>
        <w:rPr>
          <w:rFonts w:hint="eastAsia" w:ascii="宋体" w:hAnsi="宋体" w:eastAsia="宋体" w:cs="宋体"/>
          <w:color w:val="auto"/>
          <w:kern w:val="0"/>
          <w:sz w:val="21"/>
          <w:szCs w:val="21"/>
          <w:highlight w:val="none"/>
        </w:rPr>
        <w:t>项目</w:t>
      </w:r>
      <w:r>
        <w:rPr>
          <w:rFonts w:hint="eastAsia" w:ascii="宋体" w:hAnsi="宋体" w:eastAsia="宋体" w:cs="宋体"/>
          <w:color w:val="auto"/>
          <w:kern w:val="0"/>
          <w:sz w:val="21"/>
          <w:szCs w:val="21"/>
          <w:highlight w:val="none"/>
          <w:lang w:val="en-US" w:eastAsia="zh-CN"/>
        </w:rPr>
        <w:t>负责人</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2025年8月1日以来任意一个月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5504BDC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3.1.5</w:t>
      </w:r>
      <w:r>
        <w:rPr>
          <w:rFonts w:hint="eastAsia" w:ascii="宋体" w:hAnsi="宋体" w:eastAsia="宋体" w:cs="宋体"/>
          <w:b/>
          <w:bCs/>
          <w:color w:val="auto"/>
          <w:kern w:val="0"/>
          <w:sz w:val="21"/>
          <w:szCs w:val="21"/>
          <w:highlight w:val="none"/>
          <w:shd w:val="clear" w:color="auto" w:fill="FFFFFF"/>
          <w:lang w:val="en-US" w:eastAsia="zh-CN" w:bidi="ar"/>
        </w:rPr>
        <w:t>第五标段：</w:t>
      </w:r>
      <w:r>
        <w:rPr>
          <w:rFonts w:hint="eastAsia" w:ascii="宋体" w:hAnsi="宋体" w:eastAsia="宋体" w:cs="宋体"/>
          <w:b/>
          <w:bCs/>
          <w:color w:val="auto"/>
          <w:kern w:val="2"/>
          <w:sz w:val="21"/>
          <w:szCs w:val="21"/>
          <w:highlight w:val="none"/>
          <w:lang w:val="en-US" w:eastAsia="zh-CN" w:bidi="ar-SA"/>
        </w:rPr>
        <w:t>机电设备购置标段</w:t>
      </w:r>
    </w:p>
    <w:p w14:paraId="2512F53F">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strike/>
          <w:dstrike w:val="0"/>
          <w:color w:val="auto"/>
          <w:kern w:val="0"/>
          <w:sz w:val="21"/>
          <w:szCs w:val="21"/>
          <w:highlight w:val="red"/>
          <w:shd w:val="clear" w:color="auto" w:fill="FFFFFF"/>
          <w:lang w:eastAsia="zh-CN" w:bidi="ar"/>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color w:val="auto"/>
          <w:kern w:val="0"/>
          <w:sz w:val="21"/>
          <w:szCs w:val="21"/>
          <w:highlight w:val="none"/>
          <w:shd w:val="clear" w:color="auto" w:fill="FFFFFF"/>
          <w:lang w:eastAsia="zh-CN" w:bidi="ar"/>
        </w:rPr>
        <w:t>；</w:t>
      </w:r>
    </w:p>
    <w:p w14:paraId="1BF79CD3">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（2）投标人拟派</w:t>
      </w:r>
      <w:r>
        <w:rPr>
          <w:rFonts w:hint="eastAsia" w:ascii="宋体" w:hAnsi="宋体" w:eastAsia="宋体" w:cs="宋体"/>
          <w:color w:val="auto"/>
          <w:kern w:val="2"/>
          <w:sz w:val="21"/>
          <w:szCs w:val="21"/>
          <w:highlight w:val="none"/>
          <w:shd w:val="clear" w:color="auto" w:fill="FFFFFF"/>
          <w:lang w:val="en-US" w:eastAsia="zh-CN" w:bidi="ar"/>
        </w:rPr>
        <w:t>项目负责人须具有水利类或机电类或制造安装类相关专业</w:t>
      </w:r>
      <w:r>
        <w:rPr>
          <w:rFonts w:hint="eastAsia" w:ascii="宋体" w:hAnsi="宋体" w:eastAsia="宋体" w:cs="宋体"/>
          <w:color w:val="auto"/>
          <w:kern w:val="2"/>
          <w:sz w:val="21"/>
          <w:szCs w:val="21"/>
          <w:highlight w:val="none"/>
          <w:lang w:val="en-US" w:eastAsia="zh-CN" w:bidi="ar-SA"/>
        </w:rPr>
        <w:t>高级职称，拟派项目负责人应为本单位人员（提供2025年8月1日以来任意一个月社保缴纳证明）。</w:t>
      </w:r>
    </w:p>
    <w:p w14:paraId="37B59BE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3.2财务要求</w:t>
      </w:r>
      <w:r>
        <w:rPr>
          <w:rFonts w:hint="eastAsia" w:ascii="宋体" w:hAnsi="宋体" w:eastAsia="宋体" w:cs="宋体"/>
          <w:color w:val="auto"/>
          <w:kern w:val="0"/>
          <w:sz w:val="21"/>
          <w:szCs w:val="21"/>
          <w:highlight w:val="none"/>
          <w:shd w:val="clear" w:color="auto" w:fill="FFFFFF"/>
          <w:lang w:val="en-US" w:eastAsia="zh-CN" w:bidi="ar"/>
        </w:rPr>
        <w:t>：投标人企业近三年财务状况良好，须提供2023、2024、2025年度经会计师事务所或第三方审计机构审计后的财务报告（成立不足三年的公司从成立之日起计算；新成立或成立不足一年的公司，提供基本开户银行出具的资信证明）。</w:t>
      </w:r>
    </w:p>
    <w:p w14:paraId="0CEDFAF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val="0"/>
          <w:bCs w:val="0"/>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3.3监管平台要求：</w:t>
      </w:r>
      <w:r>
        <w:rPr>
          <w:rFonts w:hint="eastAsia" w:ascii="宋体" w:hAnsi="宋体" w:eastAsia="宋体" w:cs="宋体"/>
          <w:b w:val="0"/>
          <w:bCs w:val="0"/>
          <w:color w:val="auto"/>
          <w:kern w:val="0"/>
          <w:sz w:val="21"/>
          <w:szCs w:val="21"/>
          <w:highlight w:val="none"/>
          <w:shd w:val="clear" w:color="auto" w:fill="FFFFFF"/>
          <w:lang w:val="en-US" w:eastAsia="zh-CN" w:bidi="ar"/>
        </w:rPr>
        <w:t>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w:t>
      </w:r>
      <w:r>
        <w:rPr>
          <w:rFonts w:hint="eastAsia" w:ascii="宋体" w:hAnsi="宋体" w:eastAsia="宋体" w:cs="宋体"/>
          <w:b/>
          <w:bCs/>
          <w:color w:val="auto"/>
          <w:kern w:val="0"/>
          <w:sz w:val="21"/>
          <w:szCs w:val="21"/>
          <w:highlight w:val="none"/>
          <w:shd w:val="clear" w:color="auto" w:fill="FFFFFF"/>
          <w:lang w:val="en-US" w:eastAsia="zh-CN" w:bidi="ar"/>
        </w:rPr>
        <w:t>（监理标段、建筑工程及安装标段、安全监测标段、金属结构设备购置标段提供）。</w:t>
      </w:r>
    </w:p>
    <w:p w14:paraId="31C4D1C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3.4信誉要求</w:t>
      </w:r>
      <w:r>
        <w:rPr>
          <w:rFonts w:hint="eastAsia" w:ascii="宋体" w:hAnsi="宋体" w:eastAsia="宋体" w:cs="宋体"/>
          <w:color w:val="auto"/>
          <w:kern w:val="0"/>
          <w:sz w:val="21"/>
          <w:szCs w:val="21"/>
          <w:highlight w:val="none"/>
          <w:shd w:val="clear" w:color="auto" w:fill="FFFFFF"/>
          <w:lang w:val="en-US" w:eastAsia="zh-CN" w:bidi="ar"/>
        </w:rPr>
        <w:t>：</w:t>
      </w:r>
    </w:p>
    <w:p w14:paraId="6E92CB6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3.4.1 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w:t>
      </w:r>
    </w:p>
    <w:p w14:paraId="3EF723E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3.4.2 本次招标要求的水利水电工程施工总承包资质被全国建筑市场监管公共服务平台(四库一平台)资质“动态核查”被标注“资质异常”的投标人，拒绝参加本项目投标活动。提供投标人应标的资质条件未在全国建筑市场监管公共服务平台(四库一平台)资质“动态核查”标注异常的查询截图；</w:t>
      </w:r>
    </w:p>
    <w:p w14:paraId="11EC4F2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3.4.3 投标人市场主体被列入“信用中国-严重失信主体名单查询”、“信用河南-失信惩戒对象名单”的均依法限制或禁止其参与本项目投标活动（提供自招标公告发布日之后网页查询截图，查询截图须显示查询时间）。</w:t>
      </w:r>
    </w:p>
    <w:p w14:paraId="21EAD32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3.5其他要求：</w:t>
      </w:r>
    </w:p>
    <w:p w14:paraId="0C15056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 xml:space="preserve">3.5.1 </w:t>
      </w:r>
      <w:r>
        <w:rPr>
          <w:rFonts w:hint="eastAsia" w:ascii="宋体" w:hAnsi="宋体" w:eastAsia="宋体" w:cs="宋体"/>
          <w:b w:val="0"/>
          <w:bCs w:val="0"/>
          <w:color w:val="auto"/>
          <w:kern w:val="0"/>
          <w:sz w:val="21"/>
          <w:szCs w:val="21"/>
          <w:highlight w:val="none"/>
          <w:shd w:val="clear" w:color="auto" w:fill="FFFFFF"/>
          <w:lang w:val="en-US" w:eastAsia="zh-CN" w:bidi="ar"/>
        </w:rPr>
        <w:t>单位负责人为同一人或者存在控股、管理关系的不同单位，不得同时参加本项目投标（提供“国家企业信用信息公示系统”中完整的报告）。</w:t>
      </w:r>
    </w:p>
    <w:p w14:paraId="663C1FA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3.5.2 本次招标不接受联合体投标，不允许转包和非法分包。</w:t>
      </w:r>
    </w:p>
    <w:p w14:paraId="54BF518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4、企业注册</w:t>
      </w:r>
    </w:p>
    <w:p w14:paraId="2D868AD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45129C5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4.2请各投标人网上投标时注意完善主体信息（如开户银行及开户账号等），以免未填写或错误导致系统判定废标。</w:t>
      </w:r>
    </w:p>
    <w:p w14:paraId="0154AD1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5、招标文件的获取</w:t>
      </w:r>
    </w:p>
    <w:p w14:paraId="3890123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5.1 招标文件获取时间：凡有意参加投标者，请于2026年08月26日8：00时至2026年09月02日18:00时，登录“交易平台网站”（https://ggzy.zhumadian.gov.cn/TPFront/），凭领取的企业身份认证锁（CA密钥）登录系统进行网上免费下载招标文件。投标人未按规定在网上下载招标文件的，其投标将被拒绝。</w:t>
      </w:r>
    </w:p>
    <w:p w14:paraId="710E837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5.2 招标文件获取方式：凭CA密钥登录会员系统并按网上提示下载招标文件及资料。（详见交易平台网站下载中心栏目里投标人操作手册）。</w:t>
      </w:r>
    </w:p>
    <w:p w14:paraId="380570E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5.3获取招标文件后，投标人请到“交易平台网站”（https://ggzy.zhumadian.gov.cn/TPFront/） 下载中心栏目下载最新版本的投标文件制作工具安装包，并使用安装后的最新版本投标文件制作工具以及CA密钥制作电子投标文件。</w:t>
      </w:r>
    </w:p>
    <w:p w14:paraId="17A5C14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6、资格审查方式</w:t>
      </w:r>
    </w:p>
    <w:p w14:paraId="186E450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6.1 本招标工程项目对投标申请人的资格审查采用资格后审方式，主要资格审查标准和内容详见招标文件，只有资格审查合格的投标申请人才有可能被授予合同。</w:t>
      </w:r>
    </w:p>
    <w:p w14:paraId="6D4B724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6.2 本项目采用不见面开标，投标人无需递交纸质投标文件及原件，投标企业应在项目开标前，将项目经理、人员、资质、业绩、荣誉、财务等投标所需材料原件扫描件，上传至驻马店市公共资源电子交易平台诚信库中，同时在“资格审查及评审材料”菜单下按标段从诚信库中挑选该标段投标所用资格审查材料，以供评标过程中评委查阅。评标时以电子投标文件及“资格审查及评审材料”菜单中选取的信息为准。</w:t>
      </w:r>
    </w:p>
    <w:p w14:paraId="0ECAACD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7、投标文件的上传/递交</w:t>
      </w:r>
    </w:p>
    <w:p w14:paraId="0B53FEF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7.1 本项目采用不见面开标、投标人需要递交电子投标文件，无需递交纸质文件。</w:t>
      </w:r>
    </w:p>
    <w:p w14:paraId="5502063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7.2 投标文件的上传/递交截止时间为2026年09月16日9时00分（北京时间）。加密电子投标文件（*.ZMDTF格式）应在投标截止时间前通过驻马店市公共资源交易电子交易平台（http://ggzy.zhumadian.gov.cn:8820/TPbidder/login.aspx）上传完成。</w:t>
      </w:r>
    </w:p>
    <w:p w14:paraId="218B8B5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7.3 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4D9A7E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7.4 远程开标前，投标人务必在驻马店市公共资源交易电子交易平台（https://ggzy.zhumadian.gov.cn/:8820/TPBidder）投标文件上传模块中使用“模拟解密”功能，验证本机远程自助解密环境。</w:t>
      </w:r>
    </w:p>
    <w:p w14:paraId="0173FB0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7.5 逾期上传的或者未上传的投标文件，招标人不予受理。</w:t>
      </w:r>
    </w:p>
    <w:p w14:paraId="4C6CFEC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8、发布公告的媒介</w:t>
      </w:r>
    </w:p>
    <w:p w14:paraId="5E7F84A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本次招标公告同时在《中国招标投标公共服务平台》《河南省政府采购网》《驻马店市公共资源交易平台》上发布。</w:t>
      </w:r>
    </w:p>
    <w:p w14:paraId="7DC07FF2">
      <w:pPr>
        <w:keepNext w:val="0"/>
        <w:keepLines w:val="0"/>
        <w:pageBreakBefore w:val="0"/>
        <w:widowControl w:val="0"/>
        <w:kinsoku/>
        <w:wordWrap w:val="0"/>
        <w:overflowPunct/>
        <w:topLinePunct w:val="0"/>
        <w:autoSpaceDE/>
        <w:autoSpaceDN/>
        <w:bidi w:val="0"/>
        <w:adjustRightInd w:val="0"/>
        <w:snapToGrid/>
        <w:spacing w:line="360" w:lineRule="auto"/>
        <w:ind w:right="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特别提醒：</w:t>
      </w:r>
    </w:p>
    <w:p w14:paraId="08C9148F">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3F454582">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3CE0E5C2">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102EA43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https://ggzy.zhumadian.gov.cn/TPFront/InfoDetail/?InfoID=09eaacd6-a524-447f-a5fd-776c58eb1582&amp;CategoryNum=026001</w:t>
      </w:r>
      <w:r>
        <w:rPr>
          <w:rFonts w:hint="eastAsia" w:ascii="宋体" w:hAnsi="宋体" w:eastAsia="宋体" w:cs="宋体"/>
          <w:color w:val="auto"/>
          <w:kern w:val="0"/>
          <w:sz w:val="21"/>
          <w:szCs w:val="21"/>
          <w:highlight w:val="none"/>
          <w:lang w:eastAsia="zh-CN"/>
        </w:rPr>
        <w:t>)</w:t>
      </w:r>
    </w:p>
    <w:p w14:paraId="7C09361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10、联系方式</w:t>
      </w:r>
    </w:p>
    <w:p w14:paraId="1BAD479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 标 人：</w:t>
      </w:r>
      <w:r>
        <w:rPr>
          <w:rFonts w:hint="eastAsia" w:ascii="宋体" w:hAnsi="宋体" w:eastAsia="宋体" w:cs="宋体"/>
          <w:bCs/>
          <w:kern w:val="0"/>
          <w:sz w:val="21"/>
          <w:szCs w:val="21"/>
        </w:rPr>
        <w:t>驻马店市薄山水库运行中心</w:t>
      </w:r>
    </w:p>
    <w:p w14:paraId="6F440E2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bCs/>
          <w:kern w:val="0"/>
          <w:sz w:val="21"/>
          <w:szCs w:val="21"/>
        </w:rPr>
        <w:t>河南省驻马店市确山县任店镇薄山水库</w:t>
      </w:r>
    </w:p>
    <w:p w14:paraId="457928C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w:t>
      </w:r>
      <w:r>
        <w:rPr>
          <w:rFonts w:hint="eastAsia" w:ascii="宋体" w:hAnsi="宋体" w:eastAsia="宋体" w:cs="宋体"/>
          <w:bCs/>
          <w:kern w:val="0"/>
          <w:sz w:val="21"/>
          <w:szCs w:val="21"/>
        </w:rPr>
        <w:t>袁先生</w:t>
      </w:r>
    </w:p>
    <w:p w14:paraId="323215C8">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    话：</w:t>
      </w:r>
      <w:r>
        <w:rPr>
          <w:rFonts w:hint="eastAsia" w:ascii="宋体" w:hAnsi="宋体" w:eastAsia="宋体" w:cs="宋体"/>
          <w:bCs/>
          <w:kern w:val="0"/>
          <w:sz w:val="21"/>
          <w:szCs w:val="21"/>
        </w:rPr>
        <w:t>0396-2690692</w:t>
      </w:r>
    </w:p>
    <w:p w14:paraId="4ED8987F">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7C0FBD33">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招标代理机构：正智国际工程管理（河南）有限公司</w:t>
      </w:r>
    </w:p>
    <w:p w14:paraId="7113531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kern w:val="0"/>
          <w:sz w:val="21"/>
          <w:szCs w:val="21"/>
        </w:rPr>
        <w:t>郑州市平安大道博学路正商学府广场A座24层</w:t>
      </w:r>
    </w:p>
    <w:p w14:paraId="33A8CD7F">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项目负责人：刘学盈</w:t>
      </w:r>
    </w:p>
    <w:p w14:paraId="36B2898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w:t>
      </w:r>
      <w:r>
        <w:rPr>
          <w:rFonts w:hint="eastAsia" w:ascii="宋体" w:hAnsi="宋体" w:eastAsia="宋体" w:cs="宋体"/>
          <w:kern w:val="0"/>
          <w:sz w:val="21"/>
          <w:szCs w:val="21"/>
        </w:rPr>
        <w:t>赵</w:t>
      </w:r>
      <w:r>
        <w:rPr>
          <w:rFonts w:hint="eastAsia" w:ascii="宋体" w:hAnsi="宋体" w:eastAsia="宋体" w:cs="宋体"/>
          <w:kern w:val="0"/>
          <w:sz w:val="21"/>
          <w:szCs w:val="21"/>
          <w:lang w:val="en-US" w:eastAsia="zh-CN"/>
        </w:rPr>
        <w:t>雅静</w:t>
      </w:r>
    </w:p>
    <w:p w14:paraId="6A7AEF78">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联系方式：0371-67222266</w:t>
      </w:r>
    </w:p>
    <w:p w14:paraId="65E0AE8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邮箱：zzgj123@126.com</w:t>
      </w:r>
    </w:p>
    <w:p w14:paraId="5D2E24A4">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7473492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监督单位：</w:t>
      </w:r>
    </w:p>
    <w:p w14:paraId="2E4E3A5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    称：驻马店市水利局</w:t>
      </w:r>
    </w:p>
    <w:p w14:paraId="6A90BD7E">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办公地址：驻马店市泰山路519号</w:t>
      </w:r>
    </w:p>
    <w:p w14:paraId="46550C93">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lang w:val="en-US" w:eastAsia="zh-CN"/>
        </w:rPr>
        <w:t>电    话：0396-2690961</w:t>
      </w:r>
    </w:p>
    <w:p w14:paraId="05425ACC">
      <w:pPr>
        <w:keepNext w:val="0"/>
        <w:keepLines w:val="0"/>
        <w:pageBreakBefore w:val="0"/>
        <w:widowControl w:val="0"/>
        <w:kinsoku/>
        <w:wordWrap w:val="0"/>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pacing w:val="0"/>
          <w:position w:val="0"/>
          <w:sz w:val="22"/>
          <w:szCs w:val="22"/>
          <w:highlight w:val="none"/>
          <w:lang w:val="en-US" w:eastAsia="zh-CN"/>
        </w:rPr>
      </w:pPr>
    </w:p>
    <w:p w14:paraId="71EE1EFF">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kern w:val="0"/>
          <w:sz w:val="21"/>
          <w:szCs w:val="21"/>
        </w:rPr>
      </w:pPr>
    </w:p>
    <w:p w14:paraId="7C904EDD">
      <w:pPr>
        <w:widowControl/>
        <w:spacing w:before="0" w:beforeLines="0" w:after="0"/>
        <w:ind w:right="102"/>
        <w:jc w:val="left"/>
        <w:outlineLvl w:val="9"/>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br w:type="page"/>
      </w:r>
    </w:p>
    <w:p w14:paraId="4D1B0B44">
      <w:pPr>
        <w:widowControl/>
        <w:numPr>
          <w:ilvl w:val="0"/>
          <w:numId w:val="0"/>
        </w:numPr>
        <w:spacing w:before="0" w:beforeLines="0" w:after="0"/>
        <w:ind w:right="102" w:firstLine="3213" w:firstLineChars="1000"/>
        <w:jc w:val="left"/>
        <w:outlineLvl w:val="0"/>
        <w:rPr>
          <w:rFonts w:hint="eastAsia" w:ascii="宋体" w:hAnsi="宋体" w:eastAsia="宋体" w:cs="宋体"/>
          <w:b/>
          <w:bCs/>
          <w:color w:val="auto"/>
          <w:kern w:val="2"/>
          <w:sz w:val="32"/>
          <w:szCs w:val="32"/>
          <w:lang w:val="en-US" w:eastAsia="zh-CN" w:bidi="ar-SA"/>
        </w:rPr>
      </w:pPr>
      <w:bookmarkStart w:id="27" w:name="_Toc18320"/>
      <w:r>
        <w:rPr>
          <w:rFonts w:hint="eastAsia" w:ascii="宋体" w:hAnsi="宋体" w:eastAsia="宋体" w:cs="宋体"/>
          <w:b/>
          <w:bCs/>
          <w:color w:val="auto"/>
          <w:kern w:val="2"/>
          <w:sz w:val="32"/>
          <w:szCs w:val="32"/>
          <w:lang w:val="en-US" w:eastAsia="zh-CN" w:bidi="ar-SA"/>
        </w:rPr>
        <w:t>第二章 投标人须知</w:t>
      </w:r>
      <w:bookmarkEnd w:id="27"/>
    </w:p>
    <w:p w14:paraId="3B651AB7">
      <w:pPr>
        <w:widowControl/>
        <w:numPr>
          <w:ilvl w:val="-1"/>
          <w:numId w:val="0"/>
        </w:numPr>
        <w:spacing w:before="0" w:beforeLines="0" w:after="0"/>
        <w:ind w:left="0" w:right="102" w:firstLine="3614" w:firstLineChars="1500"/>
        <w:jc w:val="left"/>
        <w:outlineLvl w:val="1"/>
        <w:rPr>
          <w:rFonts w:hint="default" w:ascii="宋体" w:hAnsi="宋体" w:eastAsia="宋体" w:cs="宋体"/>
          <w:b/>
          <w:bCs/>
          <w:color w:val="auto"/>
          <w:kern w:val="2"/>
          <w:sz w:val="24"/>
          <w:szCs w:val="24"/>
          <w:lang w:val="en-US" w:eastAsia="zh-CN" w:bidi="ar-SA"/>
        </w:rPr>
      </w:pPr>
      <w:bookmarkStart w:id="28" w:name="_Toc5202"/>
      <w:r>
        <w:rPr>
          <w:rFonts w:hint="eastAsia" w:ascii="宋体" w:hAnsi="宋体" w:eastAsia="宋体" w:cs="宋体"/>
          <w:b/>
          <w:bCs/>
          <w:color w:val="auto"/>
          <w:kern w:val="2"/>
          <w:sz w:val="24"/>
          <w:szCs w:val="24"/>
          <w:lang w:val="en-US" w:eastAsia="zh-CN" w:bidi="ar-SA"/>
        </w:rPr>
        <w:t>投标人须知前附表</w:t>
      </w:r>
      <w:bookmarkEnd w:id="28"/>
    </w:p>
    <w:bookmarkEnd w:id="24"/>
    <w:bookmarkEnd w:id="25"/>
    <w:tbl>
      <w:tblPr>
        <w:tblStyle w:val="2"/>
        <w:tblW w:w="9199"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1827"/>
        <w:gridCol w:w="6247"/>
      </w:tblGrid>
      <w:tr w14:paraId="37E8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trPr>
        <w:tc>
          <w:tcPr>
            <w:tcW w:w="1125" w:type="dxa"/>
            <w:noWrap w:val="0"/>
            <w:vAlign w:val="center"/>
          </w:tcPr>
          <w:p w14:paraId="736FB73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auto"/>
                <w:szCs w:val="21"/>
                <w:highlight w:val="none"/>
              </w:rPr>
            </w:pPr>
            <w:bookmarkStart w:id="29" w:name="_Toc221950009"/>
            <w:r>
              <w:rPr>
                <w:rFonts w:hint="eastAsia" w:ascii="宋体" w:hAnsi="宋体" w:eastAsia="宋体" w:cs="宋体"/>
                <w:b/>
                <w:color w:val="auto"/>
                <w:szCs w:val="21"/>
                <w:highlight w:val="none"/>
              </w:rPr>
              <w:t>条款号</w:t>
            </w:r>
            <w:bookmarkEnd w:id="29"/>
          </w:p>
        </w:tc>
        <w:tc>
          <w:tcPr>
            <w:tcW w:w="1827" w:type="dxa"/>
            <w:noWrap w:val="0"/>
            <w:vAlign w:val="center"/>
          </w:tcPr>
          <w:p w14:paraId="5721073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auto"/>
                <w:szCs w:val="21"/>
                <w:highlight w:val="none"/>
              </w:rPr>
            </w:pPr>
            <w:bookmarkStart w:id="30" w:name="_Toc221950010"/>
            <w:r>
              <w:rPr>
                <w:rFonts w:hint="eastAsia" w:ascii="宋体" w:hAnsi="宋体" w:eastAsia="宋体" w:cs="宋体"/>
                <w:b/>
                <w:color w:val="auto"/>
                <w:szCs w:val="21"/>
                <w:highlight w:val="none"/>
              </w:rPr>
              <w:t>条款名称</w:t>
            </w:r>
            <w:bookmarkEnd w:id="30"/>
          </w:p>
        </w:tc>
        <w:tc>
          <w:tcPr>
            <w:tcW w:w="6247" w:type="dxa"/>
            <w:noWrap w:val="0"/>
            <w:vAlign w:val="center"/>
          </w:tcPr>
          <w:p w14:paraId="2B218A5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auto"/>
                <w:szCs w:val="21"/>
                <w:highlight w:val="none"/>
              </w:rPr>
            </w:pPr>
            <w:bookmarkStart w:id="31" w:name="_Toc221950011"/>
            <w:r>
              <w:rPr>
                <w:rFonts w:hint="eastAsia" w:ascii="宋体" w:hAnsi="宋体" w:eastAsia="宋体" w:cs="宋体"/>
                <w:b/>
                <w:color w:val="auto"/>
                <w:szCs w:val="21"/>
                <w:highlight w:val="none"/>
              </w:rPr>
              <w:t>编  列  内  容</w:t>
            </w:r>
            <w:bookmarkEnd w:id="31"/>
          </w:p>
        </w:tc>
      </w:tr>
      <w:tr w14:paraId="6CAA3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7C989C1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32" w:name="_Toc221950012"/>
            <w:r>
              <w:rPr>
                <w:rFonts w:hint="eastAsia" w:ascii="宋体" w:hAnsi="宋体" w:eastAsia="宋体" w:cs="宋体"/>
                <w:color w:val="auto"/>
                <w:szCs w:val="21"/>
                <w:highlight w:val="none"/>
              </w:rPr>
              <w:t>1.1.2</w:t>
            </w:r>
            <w:bookmarkEnd w:id="32"/>
          </w:p>
        </w:tc>
        <w:tc>
          <w:tcPr>
            <w:tcW w:w="1827" w:type="dxa"/>
            <w:noWrap w:val="0"/>
            <w:vAlign w:val="center"/>
          </w:tcPr>
          <w:p w14:paraId="70ECB7B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33" w:name="_Toc221950013"/>
            <w:r>
              <w:rPr>
                <w:rFonts w:hint="eastAsia" w:ascii="宋体" w:hAnsi="宋体" w:eastAsia="宋体" w:cs="宋体"/>
                <w:color w:val="auto"/>
                <w:szCs w:val="21"/>
                <w:highlight w:val="none"/>
              </w:rPr>
              <w:t>招标人</w:t>
            </w:r>
            <w:bookmarkEnd w:id="33"/>
          </w:p>
        </w:tc>
        <w:tc>
          <w:tcPr>
            <w:tcW w:w="6247" w:type="dxa"/>
            <w:noWrap w:val="0"/>
            <w:vAlign w:val="center"/>
          </w:tcPr>
          <w:p w14:paraId="2928CB59">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招 标 人：</w:t>
            </w:r>
            <w:r>
              <w:rPr>
                <w:rFonts w:hint="eastAsia" w:ascii="宋体" w:hAnsi="宋体" w:eastAsia="宋体" w:cs="宋体"/>
                <w:bCs/>
                <w:color w:val="auto"/>
                <w:kern w:val="0"/>
                <w:szCs w:val="21"/>
                <w:highlight w:val="none"/>
                <w:lang w:eastAsia="zh-CN"/>
              </w:rPr>
              <w:t>驻马店市薄山水库运行中心</w:t>
            </w:r>
          </w:p>
          <w:p w14:paraId="0F17DDE5">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地    址：</w:t>
            </w:r>
            <w:r>
              <w:rPr>
                <w:rFonts w:hint="eastAsia" w:ascii="宋体" w:hAnsi="宋体" w:eastAsia="宋体" w:cs="宋体"/>
                <w:bCs/>
                <w:szCs w:val="21"/>
              </w:rPr>
              <w:t>河南省驻马店市确山县任店镇薄山水库</w:t>
            </w:r>
          </w:p>
          <w:p w14:paraId="50F7BE38">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联 系 人：</w:t>
            </w:r>
            <w:r>
              <w:rPr>
                <w:rFonts w:hint="eastAsia" w:ascii="宋体" w:hAnsi="宋体" w:eastAsia="宋体" w:cs="宋体"/>
                <w:bCs/>
                <w:szCs w:val="21"/>
              </w:rPr>
              <w:t>袁先生</w:t>
            </w:r>
          </w:p>
          <w:p w14:paraId="3797278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rPr>
            </w:pPr>
            <w:r>
              <w:rPr>
                <w:rFonts w:hint="eastAsia" w:ascii="宋体" w:hAnsi="宋体" w:eastAsia="宋体" w:cs="宋体"/>
                <w:bCs/>
                <w:color w:val="auto"/>
                <w:kern w:val="0"/>
                <w:szCs w:val="21"/>
                <w:highlight w:val="none"/>
              </w:rPr>
              <w:t>电    话：</w:t>
            </w:r>
            <w:r>
              <w:rPr>
                <w:rFonts w:hint="eastAsia" w:ascii="宋体" w:hAnsi="宋体" w:eastAsia="宋体" w:cs="宋体"/>
                <w:bCs/>
                <w:szCs w:val="21"/>
              </w:rPr>
              <w:t>0396-2690692</w:t>
            </w:r>
          </w:p>
        </w:tc>
      </w:tr>
      <w:tr w14:paraId="3603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2E0F179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34" w:name="_Toc221950014"/>
            <w:r>
              <w:rPr>
                <w:rFonts w:hint="eastAsia" w:ascii="宋体" w:hAnsi="宋体" w:eastAsia="宋体" w:cs="宋体"/>
                <w:color w:val="auto"/>
                <w:szCs w:val="21"/>
                <w:highlight w:val="none"/>
              </w:rPr>
              <w:t>1.1.3</w:t>
            </w:r>
            <w:bookmarkEnd w:id="34"/>
          </w:p>
        </w:tc>
        <w:tc>
          <w:tcPr>
            <w:tcW w:w="1827" w:type="dxa"/>
            <w:noWrap w:val="0"/>
            <w:vAlign w:val="center"/>
          </w:tcPr>
          <w:p w14:paraId="4CC3D1E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35" w:name="_Toc221950015"/>
            <w:r>
              <w:rPr>
                <w:rFonts w:hint="eastAsia" w:ascii="宋体" w:hAnsi="宋体" w:eastAsia="宋体" w:cs="宋体"/>
                <w:color w:val="auto"/>
                <w:szCs w:val="21"/>
                <w:highlight w:val="none"/>
              </w:rPr>
              <w:t>招标代理机构</w:t>
            </w:r>
            <w:bookmarkEnd w:id="35"/>
          </w:p>
        </w:tc>
        <w:tc>
          <w:tcPr>
            <w:tcW w:w="6247" w:type="dxa"/>
            <w:noWrap w:val="0"/>
            <w:vAlign w:val="center"/>
          </w:tcPr>
          <w:p w14:paraId="55E2AF6C">
            <w:pPr>
              <w:keepNext w:val="0"/>
              <w:keepLines w:val="0"/>
              <w:widowControl/>
              <w:suppressLineNumbers w:val="0"/>
              <w:spacing w:before="0" w:beforeAutospacing="0" w:after="0" w:afterAutospacing="0" w:line="360" w:lineRule="auto"/>
              <w:ind w:left="0" w:right="325" w:rightChars="155"/>
              <w:jc w:val="left"/>
              <w:rPr>
                <w:rFonts w:hint="eastAsia" w:ascii="宋体" w:hAnsi="宋体" w:eastAsia="宋体" w:cs="宋体"/>
                <w:color w:val="auto"/>
                <w:szCs w:val="21"/>
                <w:highlight w:val="none"/>
                <w:shd w:val="clear" w:color="auto" w:fill="FFFFFF"/>
                <w:lang w:eastAsia="zh-CN" w:bidi="ar"/>
              </w:rPr>
            </w:pPr>
            <w:r>
              <w:rPr>
                <w:rFonts w:hint="eastAsia" w:ascii="宋体" w:hAnsi="宋体" w:eastAsia="宋体" w:cs="宋体"/>
                <w:color w:val="auto"/>
                <w:szCs w:val="21"/>
                <w:highlight w:val="none"/>
                <w:shd w:val="clear" w:color="auto" w:fill="FFFFFF"/>
                <w:lang w:bidi="ar"/>
              </w:rPr>
              <w:t>招标代理机构：</w:t>
            </w:r>
            <w:r>
              <w:rPr>
                <w:rFonts w:hint="eastAsia" w:ascii="宋体" w:hAnsi="宋体" w:eastAsia="宋体" w:cs="宋体"/>
                <w:color w:val="auto"/>
                <w:szCs w:val="21"/>
                <w:highlight w:val="none"/>
                <w:shd w:val="clear" w:color="auto" w:fill="FFFFFF"/>
                <w:lang w:eastAsia="zh-CN" w:bidi="ar"/>
              </w:rPr>
              <w:t>正智国际工程管理（河南）有限公司</w:t>
            </w:r>
          </w:p>
          <w:p w14:paraId="1922EB5D">
            <w:pPr>
              <w:keepNext w:val="0"/>
              <w:keepLines w:val="0"/>
              <w:widowControl/>
              <w:suppressLineNumbers w:val="0"/>
              <w:spacing w:before="0" w:beforeAutospacing="0" w:after="0" w:afterAutospacing="0" w:line="360" w:lineRule="auto"/>
              <w:ind w:left="0" w:right="325" w:rightChars="155"/>
              <w:jc w:val="left"/>
              <w:rPr>
                <w:rFonts w:hint="eastAsia" w:ascii="宋体" w:hAnsi="宋体" w:eastAsia="宋体" w:cs="宋体"/>
                <w:color w:val="auto"/>
                <w:szCs w:val="21"/>
                <w:highlight w:val="none"/>
                <w:shd w:val="clear" w:color="auto" w:fill="FFFFFF"/>
                <w:lang w:eastAsia="zh-CN" w:bidi="ar"/>
              </w:rPr>
            </w:pPr>
            <w:r>
              <w:rPr>
                <w:rFonts w:hint="eastAsia" w:ascii="宋体" w:hAnsi="宋体" w:eastAsia="宋体" w:cs="宋体"/>
                <w:color w:val="auto"/>
                <w:szCs w:val="21"/>
                <w:highlight w:val="none"/>
                <w:shd w:val="clear" w:color="auto" w:fill="FFFFFF"/>
                <w:lang w:bidi="ar"/>
              </w:rPr>
              <w:t>地</w:t>
            </w:r>
            <w:r>
              <w:rPr>
                <w:rFonts w:hint="eastAsia" w:ascii="宋体" w:hAnsi="宋体" w:eastAsia="宋体" w:cs="宋体"/>
                <w:color w:val="auto"/>
                <w:szCs w:val="21"/>
                <w:highlight w:val="none"/>
                <w:shd w:val="clear" w:color="auto" w:fill="FFFFFF"/>
                <w:lang w:val="en-US" w:eastAsia="zh-CN" w:bidi="ar"/>
              </w:rPr>
              <w:t xml:space="preserve"> </w:t>
            </w:r>
            <w:r>
              <w:rPr>
                <w:rFonts w:hint="eastAsia" w:ascii="宋体" w:hAnsi="宋体" w:eastAsia="宋体" w:cs="宋体"/>
                <w:color w:val="auto"/>
                <w:szCs w:val="21"/>
                <w:highlight w:val="none"/>
                <w:shd w:val="clear" w:color="auto" w:fill="FFFFFF"/>
                <w:lang w:bidi="ar"/>
              </w:rPr>
              <w:t xml:space="preserve">   址：</w:t>
            </w:r>
            <w:r>
              <w:rPr>
                <w:rFonts w:hint="eastAsia" w:ascii="宋体" w:hAnsi="宋体" w:eastAsia="宋体" w:cs="宋体"/>
                <w:color w:val="auto"/>
                <w:szCs w:val="21"/>
                <w:highlight w:val="none"/>
                <w:shd w:val="clear" w:color="auto" w:fill="FFFFFF"/>
                <w:lang w:eastAsia="zh-CN" w:bidi="ar"/>
              </w:rPr>
              <w:t>郑州市平安大道博学路正商学府广场A座24层</w:t>
            </w:r>
          </w:p>
          <w:p w14:paraId="6CEB4BF7">
            <w:pPr>
              <w:keepNext w:val="0"/>
              <w:keepLines w:val="0"/>
              <w:widowControl/>
              <w:suppressLineNumbers w:val="0"/>
              <w:spacing w:before="0" w:beforeAutospacing="0" w:after="0" w:afterAutospacing="0" w:line="360" w:lineRule="auto"/>
              <w:ind w:left="0" w:right="325" w:rightChars="155"/>
              <w:jc w:val="left"/>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bidi="ar"/>
              </w:rPr>
              <w:t>联</w:t>
            </w:r>
            <w:r>
              <w:rPr>
                <w:rFonts w:hint="eastAsia" w:ascii="宋体" w:hAnsi="宋体" w:eastAsia="宋体" w:cs="宋体"/>
                <w:color w:val="auto"/>
                <w:szCs w:val="21"/>
                <w:highlight w:val="none"/>
                <w:shd w:val="clear" w:color="auto" w:fill="FFFFFF"/>
                <w:lang w:val="en-US" w:eastAsia="zh-CN" w:bidi="ar"/>
              </w:rPr>
              <w:t xml:space="preserve"> </w:t>
            </w:r>
            <w:r>
              <w:rPr>
                <w:rFonts w:hint="eastAsia" w:ascii="宋体" w:hAnsi="宋体" w:eastAsia="宋体" w:cs="宋体"/>
                <w:color w:val="auto"/>
                <w:szCs w:val="21"/>
                <w:highlight w:val="none"/>
                <w:shd w:val="clear" w:color="auto" w:fill="FFFFFF"/>
                <w:lang w:bidi="ar"/>
              </w:rPr>
              <w:t>系</w:t>
            </w:r>
            <w:r>
              <w:rPr>
                <w:rFonts w:hint="eastAsia" w:ascii="宋体" w:hAnsi="宋体" w:eastAsia="宋体" w:cs="宋体"/>
                <w:color w:val="auto"/>
                <w:szCs w:val="21"/>
                <w:highlight w:val="none"/>
                <w:shd w:val="clear" w:color="auto" w:fill="FFFFFF"/>
                <w:lang w:val="en-US" w:eastAsia="zh-CN" w:bidi="ar"/>
              </w:rPr>
              <w:t xml:space="preserve"> </w:t>
            </w:r>
            <w:r>
              <w:rPr>
                <w:rFonts w:hint="eastAsia" w:ascii="宋体" w:hAnsi="宋体" w:eastAsia="宋体" w:cs="宋体"/>
                <w:color w:val="auto"/>
                <w:szCs w:val="21"/>
                <w:highlight w:val="none"/>
                <w:shd w:val="clear" w:color="auto" w:fill="FFFFFF"/>
                <w:lang w:bidi="ar"/>
              </w:rPr>
              <w:t>人：</w:t>
            </w:r>
            <w:r>
              <w:rPr>
                <w:rFonts w:hint="eastAsia" w:ascii="宋体" w:hAnsi="宋体" w:eastAsia="宋体" w:cs="宋体"/>
                <w:color w:val="auto"/>
                <w:szCs w:val="21"/>
                <w:highlight w:val="none"/>
                <w:shd w:val="clear" w:color="auto" w:fill="FFFFFF"/>
                <w:lang w:val="en-US" w:eastAsia="zh-CN" w:bidi="ar"/>
              </w:rPr>
              <w:t>赵雅静</w:t>
            </w:r>
          </w:p>
          <w:p w14:paraId="086CC9E9">
            <w:pPr>
              <w:keepNext w:val="0"/>
              <w:keepLines w:val="0"/>
              <w:widowControl/>
              <w:suppressLineNumbers w:val="0"/>
              <w:spacing w:before="0" w:beforeAutospacing="0" w:after="0" w:afterAutospacing="0" w:line="360" w:lineRule="auto"/>
              <w:ind w:left="0" w:right="325" w:rightChars="155"/>
              <w:jc w:val="left"/>
              <w:rPr>
                <w:rFonts w:hint="eastAsia" w:ascii="宋体" w:hAnsi="宋体" w:eastAsia="宋体" w:cs="宋体"/>
                <w:color w:val="auto"/>
                <w:szCs w:val="21"/>
                <w:highlight w:val="none"/>
                <w:shd w:val="clear" w:color="auto" w:fill="FFFFFF"/>
                <w:lang w:bidi="ar"/>
              </w:rPr>
            </w:pPr>
            <w:r>
              <w:rPr>
                <w:rFonts w:hint="eastAsia" w:ascii="宋体" w:hAnsi="宋体" w:eastAsia="宋体" w:cs="宋体"/>
                <w:bCs/>
                <w:color w:val="auto"/>
                <w:kern w:val="0"/>
                <w:szCs w:val="21"/>
                <w:highlight w:val="none"/>
              </w:rPr>
              <w:t>电    话</w:t>
            </w:r>
            <w:r>
              <w:rPr>
                <w:rFonts w:hint="eastAsia" w:ascii="宋体" w:hAnsi="宋体" w:eastAsia="宋体" w:cs="宋体"/>
                <w:color w:val="auto"/>
                <w:szCs w:val="21"/>
                <w:highlight w:val="none"/>
                <w:shd w:val="clear" w:color="auto" w:fill="FFFFFF"/>
                <w:lang w:bidi="ar"/>
              </w:rPr>
              <w:t>：</w:t>
            </w:r>
            <w:r>
              <w:rPr>
                <w:rFonts w:hint="eastAsia" w:ascii="宋体" w:hAnsi="宋体" w:eastAsia="宋体" w:cs="宋体"/>
                <w:color w:val="auto"/>
                <w:szCs w:val="21"/>
                <w:highlight w:val="none"/>
                <w:shd w:val="clear" w:color="auto" w:fill="FFFFFF"/>
                <w:lang w:eastAsia="zh-CN" w:bidi="ar"/>
              </w:rPr>
              <w:t>0371-67222266</w:t>
            </w:r>
          </w:p>
          <w:p w14:paraId="506B7FA2">
            <w:pPr>
              <w:keepNext w:val="0"/>
              <w:keepLines w:val="0"/>
              <w:widowControl/>
              <w:suppressLineNumbers w:val="0"/>
              <w:adjustRightInd w:val="0"/>
              <w:snapToGrid w:val="0"/>
              <w:spacing w:before="0" w:beforeAutospacing="0" w:after="0" w:afterAutospacing="0" w:line="360" w:lineRule="auto"/>
              <w:ind w:left="63" w:leftChars="30" w:right="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shd w:val="clear" w:color="auto" w:fill="FFFFFF"/>
                <w:lang w:bidi="ar"/>
              </w:rPr>
              <w:t>邮</w:t>
            </w:r>
            <w:r>
              <w:rPr>
                <w:rFonts w:hint="eastAsia" w:ascii="宋体" w:hAnsi="宋体" w:eastAsia="宋体" w:cs="宋体"/>
                <w:color w:val="auto"/>
                <w:szCs w:val="21"/>
                <w:highlight w:val="none"/>
                <w:shd w:val="clear" w:color="auto" w:fill="FFFFFF"/>
                <w:lang w:val="en-US" w:eastAsia="zh-CN" w:bidi="ar"/>
              </w:rPr>
              <w:t xml:space="preserve">    </w:t>
            </w:r>
            <w:r>
              <w:rPr>
                <w:rFonts w:hint="eastAsia" w:ascii="宋体" w:hAnsi="宋体" w:eastAsia="宋体" w:cs="宋体"/>
                <w:color w:val="auto"/>
                <w:szCs w:val="21"/>
                <w:highlight w:val="none"/>
                <w:shd w:val="clear" w:color="auto" w:fill="FFFFFF"/>
                <w:lang w:bidi="ar"/>
              </w:rPr>
              <w:t>箱：zzgj123@126.com</w:t>
            </w:r>
          </w:p>
        </w:tc>
      </w:tr>
      <w:tr w14:paraId="08A62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125" w:type="dxa"/>
            <w:noWrap w:val="0"/>
            <w:vAlign w:val="center"/>
          </w:tcPr>
          <w:p w14:paraId="6F9CD2B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36" w:name="_Toc221950016"/>
            <w:r>
              <w:rPr>
                <w:rFonts w:hint="eastAsia" w:ascii="宋体" w:hAnsi="宋体" w:eastAsia="宋体" w:cs="宋体"/>
                <w:color w:val="auto"/>
                <w:szCs w:val="21"/>
                <w:highlight w:val="none"/>
              </w:rPr>
              <w:t>1.1.4</w:t>
            </w:r>
            <w:bookmarkEnd w:id="36"/>
          </w:p>
        </w:tc>
        <w:tc>
          <w:tcPr>
            <w:tcW w:w="1827" w:type="dxa"/>
            <w:noWrap w:val="0"/>
            <w:vAlign w:val="center"/>
          </w:tcPr>
          <w:p w14:paraId="1834130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bookmarkStart w:id="37" w:name="_Toc221950017"/>
            <w:r>
              <w:rPr>
                <w:rFonts w:hint="eastAsia" w:ascii="宋体" w:hAnsi="宋体" w:eastAsia="宋体" w:cs="宋体"/>
                <w:color w:val="auto"/>
                <w:szCs w:val="21"/>
                <w:highlight w:val="none"/>
              </w:rPr>
              <w:t>项目名称</w:t>
            </w:r>
            <w:bookmarkEnd w:id="37"/>
            <w:r>
              <w:rPr>
                <w:rFonts w:hint="eastAsia" w:ascii="宋体" w:hAnsi="宋体" w:eastAsia="宋体" w:cs="宋体"/>
                <w:color w:val="auto"/>
                <w:szCs w:val="21"/>
                <w:highlight w:val="none"/>
                <w:lang w:val="en-US" w:eastAsia="zh-CN"/>
              </w:rPr>
              <w:t>及</w:t>
            </w:r>
          </w:p>
          <w:p w14:paraId="7D00713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标段名称</w:t>
            </w:r>
          </w:p>
        </w:tc>
        <w:tc>
          <w:tcPr>
            <w:tcW w:w="6247" w:type="dxa"/>
            <w:noWrap w:val="0"/>
            <w:vAlign w:val="center"/>
          </w:tcPr>
          <w:p w14:paraId="7369C30E">
            <w:pPr>
              <w:keepNext w:val="0"/>
              <w:keepLines w:val="0"/>
              <w:widowControl/>
              <w:suppressLineNumbers w:val="0"/>
              <w:wordWrap w:val="0"/>
              <w:spacing w:before="0" w:beforeAutospacing="0" w:after="0" w:afterAutospacing="0" w:line="360" w:lineRule="auto"/>
              <w:ind w:left="0" w:right="-34" w:rightChars="-16"/>
              <w:jc w:val="left"/>
              <w:rPr>
                <w:rFonts w:hint="eastAsia" w:ascii="宋体" w:hAnsi="宋体" w:eastAsia="宋体" w:cs="宋体"/>
                <w:color w:val="auto"/>
                <w:szCs w:val="21"/>
                <w:highlight w:val="none"/>
                <w:shd w:val="clear" w:color="auto" w:fill="FFFFFF"/>
                <w:lang w:eastAsia="zh-CN" w:bidi="ar"/>
              </w:rPr>
            </w:pPr>
            <w:r>
              <w:rPr>
                <w:rFonts w:hint="eastAsia" w:ascii="宋体" w:hAnsi="宋体" w:eastAsia="宋体" w:cs="宋体"/>
                <w:color w:val="auto"/>
                <w:kern w:val="0"/>
                <w:szCs w:val="21"/>
                <w:highlight w:val="none"/>
              </w:rPr>
              <w:t>项目名称</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szCs w:val="21"/>
                <w:highlight w:val="none"/>
                <w:shd w:val="clear" w:color="auto" w:fill="FFFFFF"/>
                <w:lang w:eastAsia="zh-CN" w:bidi="ar"/>
              </w:rPr>
              <w:t>驻马店市薄山水库除险加固工程（一期）</w:t>
            </w:r>
          </w:p>
          <w:p w14:paraId="71F18F1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shd w:val="clear" w:color="auto" w:fill="FFFFFF"/>
                <w:lang w:val="en-US" w:eastAsia="zh-CN" w:bidi="ar"/>
              </w:rPr>
              <w:t>标段名称：第二标段：建筑工程及安装标段</w:t>
            </w:r>
          </w:p>
        </w:tc>
      </w:tr>
      <w:tr w14:paraId="6D788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1861C33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38" w:name="_Toc221950018"/>
            <w:r>
              <w:rPr>
                <w:rFonts w:hint="eastAsia" w:ascii="宋体" w:hAnsi="宋体" w:eastAsia="宋体" w:cs="宋体"/>
                <w:color w:val="auto"/>
                <w:szCs w:val="21"/>
                <w:highlight w:val="none"/>
              </w:rPr>
              <w:t>1.1.5</w:t>
            </w:r>
            <w:bookmarkEnd w:id="38"/>
          </w:p>
        </w:tc>
        <w:tc>
          <w:tcPr>
            <w:tcW w:w="1827" w:type="dxa"/>
            <w:noWrap w:val="0"/>
            <w:vAlign w:val="center"/>
          </w:tcPr>
          <w:p w14:paraId="277EE728">
            <w:pPr>
              <w:keepNext w:val="0"/>
              <w:keepLines w:val="0"/>
              <w:widowControl/>
              <w:suppressLineNumbers w:val="0"/>
              <w:spacing w:before="0" w:beforeAutospacing="0" w:after="0" w:afterAutospacing="0" w:line="360"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本标段</w:t>
            </w:r>
            <w:r>
              <w:rPr>
                <w:rFonts w:hint="eastAsia" w:ascii="宋体" w:hAnsi="宋体" w:eastAsia="宋体" w:cs="宋体"/>
                <w:color w:val="auto"/>
                <w:szCs w:val="21"/>
                <w:highlight w:val="none"/>
              </w:rPr>
              <w:t>建设地点</w:t>
            </w:r>
          </w:p>
        </w:tc>
        <w:tc>
          <w:tcPr>
            <w:tcW w:w="6247" w:type="dxa"/>
            <w:noWrap w:val="0"/>
            <w:vAlign w:val="center"/>
          </w:tcPr>
          <w:p w14:paraId="3A011286">
            <w:pPr>
              <w:keepNext w:val="0"/>
              <w:keepLines w:val="0"/>
              <w:widowControl/>
              <w:suppressLineNumbers w:val="0"/>
              <w:spacing w:before="0" w:beforeAutospacing="0" w:after="0" w:afterAutospacing="0" w:line="360" w:lineRule="auto"/>
              <w:ind w:left="0" w:leftChars="0" w:right="0" w:right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驻马店市</w:t>
            </w:r>
            <w:r>
              <w:rPr>
                <w:rFonts w:hint="eastAsia" w:ascii="宋体" w:hAnsi="宋体" w:eastAsia="宋体" w:cs="宋体"/>
                <w:color w:val="auto"/>
                <w:szCs w:val="21"/>
                <w:highlight w:val="none"/>
                <w:lang w:val="en-US" w:eastAsia="zh-CN"/>
              </w:rPr>
              <w:t>确山县</w:t>
            </w:r>
            <w:r>
              <w:rPr>
                <w:rFonts w:hint="eastAsia" w:ascii="宋体" w:hAnsi="宋体" w:eastAsia="宋体" w:cs="宋体"/>
                <w:color w:val="auto"/>
                <w:szCs w:val="21"/>
                <w:highlight w:val="none"/>
              </w:rPr>
              <w:t>境内</w:t>
            </w:r>
          </w:p>
        </w:tc>
      </w:tr>
      <w:tr w14:paraId="14C5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79D624D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39" w:name="_Toc221950020"/>
            <w:r>
              <w:rPr>
                <w:rFonts w:hint="eastAsia" w:ascii="宋体" w:hAnsi="宋体" w:eastAsia="宋体" w:cs="宋体"/>
                <w:color w:val="auto"/>
                <w:szCs w:val="21"/>
                <w:highlight w:val="none"/>
              </w:rPr>
              <w:t>1.1.6</w:t>
            </w:r>
            <w:bookmarkEnd w:id="39"/>
          </w:p>
        </w:tc>
        <w:tc>
          <w:tcPr>
            <w:tcW w:w="1827" w:type="dxa"/>
            <w:noWrap w:val="0"/>
            <w:vAlign w:val="center"/>
          </w:tcPr>
          <w:p w14:paraId="06BF66B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40" w:name="_Toc221950021"/>
            <w:r>
              <w:rPr>
                <w:rFonts w:hint="eastAsia" w:ascii="宋体" w:hAnsi="宋体" w:eastAsia="宋体" w:cs="宋体"/>
                <w:color w:val="auto"/>
                <w:szCs w:val="21"/>
                <w:highlight w:val="none"/>
              </w:rPr>
              <w:t>现场管理机构</w:t>
            </w:r>
            <w:bookmarkEnd w:id="40"/>
          </w:p>
        </w:tc>
        <w:tc>
          <w:tcPr>
            <w:tcW w:w="6247" w:type="dxa"/>
            <w:noWrap w:val="0"/>
            <w:vAlign w:val="center"/>
          </w:tcPr>
          <w:p w14:paraId="12B7F86D">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rPr>
            </w:pPr>
            <w:r>
              <w:rPr>
                <w:rFonts w:hint="eastAsia" w:ascii="宋体" w:hAnsi="宋体" w:eastAsia="宋体" w:cs="宋体"/>
                <w:bCs/>
                <w:color w:val="auto"/>
                <w:kern w:val="0"/>
                <w:szCs w:val="21"/>
                <w:highlight w:val="none"/>
                <w:lang w:eastAsia="zh-CN"/>
              </w:rPr>
              <w:t>驻马店市薄山水库除险加固工程建设管理局</w:t>
            </w:r>
          </w:p>
        </w:tc>
      </w:tr>
      <w:tr w14:paraId="4546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4F9F0BE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41" w:name="_Toc221950022"/>
            <w:r>
              <w:rPr>
                <w:rFonts w:hint="eastAsia" w:ascii="宋体" w:hAnsi="宋体" w:eastAsia="宋体" w:cs="宋体"/>
                <w:color w:val="auto"/>
                <w:szCs w:val="21"/>
                <w:highlight w:val="none"/>
              </w:rPr>
              <w:t>1.1.7</w:t>
            </w:r>
            <w:bookmarkEnd w:id="41"/>
          </w:p>
        </w:tc>
        <w:tc>
          <w:tcPr>
            <w:tcW w:w="1827" w:type="dxa"/>
            <w:noWrap w:val="0"/>
            <w:vAlign w:val="center"/>
          </w:tcPr>
          <w:p w14:paraId="5F0FD1E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yellow"/>
              </w:rPr>
            </w:pPr>
            <w:bookmarkStart w:id="42" w:name="_Toc221950023"/>
            <w:r>
              <w:rPr>
                <w:rFonts w:hint="eastAsia" w:ascii="宋体" w:hAnsi="宋体" w:eastAsia="宋体" w:cs="宋体"/>
                <w:color w:val="auto"/>
                <w:szCs w:val="21"/>
                <w:highlight w:val="none"/>
              </w:rPr>
              <w:t>设计</w:t>
            </w:r>
            <w:bookmarkEnd w:id="42"/>
            <w:r>
              <w:rPr>
                <w:rFonts w:hint="eastAsia" w:ascii="宋体" w:hAnsi="宋体" w:eastAsia="宋体" w:cs="宋体"/>
                <w:color w:val="auto"/>
                <w:szCs w:val="21"/>
                <w:highlight w:val="none"/>
              </w:rPr>
              <w:t>人</w:t>
            </w:r>
          </w:p>
        </w:tc>
        <w:tc>
          <w:tcPr>
            <w:tcW w:w="6247" w:type="dxa"/>
            <w:noWrap w:val="0"/>
            <w:vAlign w:val="center"/>
          </w:tcPr>
          <w:p w14:paraId="4C548EF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河南省水利勘测设计研究有限公司，河南省水利勘测有限公司</w:t>
            </w:r>
          </w:p>
        </w:tc>
      </w:tr>
      <w:tr w14:paraId="2AA90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0C72317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43" w:name="_Toc221950024"/>
            <w:r>
              <w:rPr>
                <w:rFonts w:hint="eastAsia" w:ascii="宋体" w:hAnsi="宋体" w:eastAsia="宋体" w:cs="宋体"/>
                <w:color w:val="auto"/>
                <w:szCs w:val="21"/>
                <w:highlight w:val="none"/>
              </w:rPr>
              <w:t>1.1.8</w:t>
            </w:r>
            <w:bookmarkEnd w:id="43"/>
          </w:p>
        </w:tc>
        <w:tc>
          <w:tcPr>
            <w:tcW w:w="1827" w:type="dxa"/>
            <w:noWrap w:val="0"/>
            <w:vAlign w:val="center"/>
          </w:tcPr>
          <w:p w14:paraId="54FD1C8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44" w:name="_Toc221950025"/>
            <w:r>
              <w:rPr>
                <w:rFonts w:hint="eastAsia" w:ascii="宋体" w:hAnsi="宋体" w:eastAsia="宋体" w:cs="宋体"/>
                <w:color w:val="auto"/>
                <w:szCs w:val="21"/>
                <w:highlight w:val="none"/>
              </w:rPr>
              <w:t>监理</w:t>
            </w:r>
            <w:bookmarkEnd w:id="44"/>
            <w:r>
              <w:rPr>
                <w:rFonts w:hint="eastAsia" w:ascii="宋体" w:hAnsi="宋体" w:eastAsia="宋体" w:cs="宋体"/>
                <w:color w:val="auto"/>
                <w:szCs w:val="21"/>
                <w:highlight w:val="none"/>
              </w:rPr>
              <w:t>人</w:t>
            </w:r>
          </w:p>
        </w:tc>
        <w:tc>
          <w:tcPr>
            <w:tcW w:w="6247" w:type="dxa"/>
            <w:noWrap w:val="0"/>
            <w:vAlign w:val="center"/>
          </w:tcPr>
          <w:p w14:paraId="431BF3B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招标人招标选定</w:t>
            </w:r>
          </w:p>
        </w:tc>
      </w:tr>
      <w:tr w14:paraId="0A133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48ACFAA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45" w:name="_Toc221950026"/>
            <w:r>
              <w:rPr>
                <w:rFonts w:hint="eastAsia" w:ascii="宋体" w:hAnsi="宋体" w:eastAsia="宋体" w:cs="宋体"/>
                <w:color w:val="auto"/>
                <w:szCs w:val="21"/>
                <w:highlight w:val="none"/>
              </w:rPr>
              <w:t>1.1.9</w:t>
            </w:r>
            <w:bookmarkEnd w:id="45"/>
          </w:p>
        </w:tc>
        <w:tc>
          <w:tcPr>
            <w:tcW w:w="1827" w:type="dxa"/>
            <w:noWrap w:val="0"/>
            <w:vAlign w:val="center"/>
          </w:tcPr>
          <w:p w14:paraId="32617A8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代建机构</w:t>
            </w:r>
          </w:p>
        </w:tc>
        <w:tc>
          <w:tcPr>
            <w:tcW w:w="6247" w:type="dxa"/>
            <w:noWrap w:val="0"/>
            <w:vAlign w:val="center"/>
          </w:tcPr>
          <w:p w14:paraId="0719D23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49DD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60D84B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46" w:name="_Toc221950030"/>
            <w:r>
              <w:rPr>
                <w:rFonts w:hint="eastAsia" w:ascii="宋体" w:hAnsi="宋体" w:eastAsia="宋体" w:cs="宋体"/>
                <w:color w:val="auto"/>
                <w:szCs w:val="21"/>
                <w:highlight w:val="none"/>
              </w:rPr>
              <w:t>1.2.1</w:t>
            </w:r>
            <w:bookmarkEnd w:id="46"/>
          </w:p>
        </w:tc>
        <w:tc>
          <w:tcPr>
            <w:tcW w:w="1827" w:type="dxa"/>
            <w:noWrap w:val="0"/>
            <w:vAlign w:val="center"/>
          </w:tcPr>
          <w:p w14:paraId="7607CCE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47" w:name="_Toc221950031"/>
            <w:r>
              <w:rPr>
                <w:rFonts w:hint="eastAsia" w:ascii="宋体" w:hAnsi="宋体" w:eastAsia="宋体" w:cs="宋体"/>
                <w:color w:val="auto"/>
                <w:szCs w:val="21"/>
                <w:highlight w:val="none"/>
              </w:rPr>
              <w:t>资金来源</w:t>
            </w:r>
            <w:bookmarkEnd w:id="47"/>
          </w:p>
        </w:tc>
        <w:tc>
          <w:tcPr>
            <w:tcW w:w="6247" w:type="dxa"/>
            <w:noWrap w:val="0"/>
            <w:vAlign w:val="center"/>
          </w:tcPr>
          <w:p w14:paraId="453A4D1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财政资金</w:t>
            </w:r>
          </w:p>
        </w:tc>
      </w:tr>
      <w:tr w14:paraId="4026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C9F328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48" w:name="_Toc221950032"/>
            <w:r>
              <w:rPr>
                <w:rFonts w:hint="eastAsia" w:ascii="宋体" w:hAnsi="宋体" w:eastAsia="宋体" w:cs="宋体"/>
                <w:color w:val="auto"/>
                <w:szCs w:val="21"/>
                <w:highlight w:val="none"/>
              </w:rPr>
              <w:t>1.2.2</w:t>
            </w:r>
            <w:bookmarkEnd w:id="48"/>
          </w:p>
        </w:tc>
        <w:tc>
          <w:tcPr>
            <w:tcW w:w="1827" w:type="dxa"/>
            <w:noWrap w:val="0"/>
            <w:vAlign w:val="center"/>
          </w:tcPr>
          <w:p w14:paraId="2EA8064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49" w:name="_Toc221950033"/>
            <w:r>
              <w:rPr>
                <w:rFonts w:hint="eastAsia" w:ascii="宋体" w:hAnsi="宋体" w:eastAsia="宋体" w:cs="宋体"/>
                <w:color w:val="auto"/>
                <w:szCs w:val="21"/>
                <w:highlight w:val="none"/>
              </w:rPr>
              <w:t>出资比例</w:t>
            </w:r>
            <w:bookmarkEnd w:id="49"/>
          </w:p>
        </w:tc>
        <w:tc>
          <w:tcPr>
            <w:tcW w:w="6247" w:type="dxa"/>
            <w:noWrap w:val="0"/>
            <w:vAlign w:val="center"/>
          </w:tcPr>
          <w:p w14:paraId="7A01026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6A35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05115D2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50" w:name="_Toc221950034"/>
            <w:r>
              <w:rPr>
                <w:rFonts w:hint="eastAsia" w:ascii="宋体" w:hAnsi="宋体" w:eastAsia="宋体" w:cs="宋体"/>
                <w:color w:val="auto"/>
                <w:szCs w:val="21"/>
                <w:highlight w:val="none"/>
              </w:rPr>
              <w:t>1.2.3</w:t>
            </w:r>
            <w:bookmarkEnd w:id="50"/>
          </w:p>
        </w:tc>
        <w:tc>
          <w:tcPr>
            <w:tcW w:w="1827" w:type="dxa"/>
            <w:noWrap w:val="0"/>
            <w:vAlign w:val="center"/>
          </w:tcPr>
          <w:p w14:paraId="15EDBBD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51" w:name="_Toc221950035"/>
            <w:r>
              <w:rPr>
                <w:rFonts w:hint="eastAsia" w:ascii="宋体" w:hAnsi="宋体" w:eastAsia="宋体" w:cs="宋体"/>
                <w:color w:val="auto"/>
                <w:szCs w:val="21"/>
                <w:highlight w:val="none"/>
              </w:rPr>
              <w:t>资金落实情况</w:t>
            </w:r>
            <w:bookmarkEnd w:id="51"/>
          </w:p>
        </w:tc>
        <w:tc>
          <w:tcPr>
            <w:tcW w:w="6247" w:type="dxa"/>
            <w:noWrap w:val="0"/>
            <w:vAlign w:val="center"/>
          </w:tcPr>
          <w:p w14:paraId="50387F7E">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资金已</w:t>
            </w:r>
            <w:r>
              <w:rPr>
                <w:rFonts w:hint="eastAsia" w:ascii="宋体" w:hAnsi="宋体" w:eastAsia="宋体" w:cs="宋体"/>
                <w:color w:val="auto"/>
                <w:szCs w:val="21"/>
                <w:highlight w:val="none"/>
                <w:lang w:val="en-US" w:eastAsia="zh-CN"/>
              </w:rPr>
              <w:t>落实</w:t>
            </w:r>
          </w:p>
        </w:tc>
      </w:tr>
      <w:tr w14:paraId="02B8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2783AD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52" w:name="_Toc221950036"/>
            <w:r>
              <w:rPr>
                <w:rFonts w:hint="eastAsia" w:ascii="宋体" w:hAnsi="宋体" w:eastAsia="宋体" w:cs="宋体"/>
                <w:color w:val="auto"/>
                <w:szCs w:val="21"/>
                <w:highlight w:val="none"/>
              </w:rPr>
              <w:t>1.3.1</w:t>
            </w:r>
            <w:bookmarkEnd w:id="52"/>
          </w:p>
        </w:tc>
        <w:tc>
          <w:tcPr>
            <w:tcW w:w="1827" w:type="dxa"/>
            <w:noWrap w:val="0"/>
            <w:vAlign w:val="center"/>
          </w:tcPr>
          <w:p w14:paraId="089B209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val="0"/>
                <w:color w:val="auto"/>
                <w:szCs w:val="21"/>
                <w:highlight w:val="none"/>
                <w:lang w:eastAsia="zh-CN"/>
              </w:rPr>
            </w:pPr>
            <w:bookmarkStart w:id="53" w:name="_Toc221950037"/>
            <w:r>
              <w:rPr>
                <w:rFonts w:hint="eastAsia" w:ascii="宋体" w:hAnsi="宋体" w:eastAsia="宋体" w:cs="宋体"/>
                <w:b w:val="0"/>
                <w:bCs w:val="0"/>
                <w:color w:val="auto"/>
                <w:szCs w:val="21"/>
                <w:highlight w:val="none"/>
              </w:rPr>
              <w:t>招标范围</w:t>
            </w:r>
            <w:bookmarkEnd w:id="53"/>
          </w:p>
        </w:tc>
        <w:tc>
          <w:tcPr>
            <w:tcW w:w="6247" w:type="dxa"/>
            <w:noWrap w:val="0"/>
            <w:vAlign w:val="center"/>
          </w:tcPr>
          <w:p w14:paraId="08131E9F">
            <w:pPr>
              <w:keepNext w:val="0"/>
              <w:keepLines w:val="0"/>
              <w:widowControl/>
              <w:suppressLineNumbers w:val="0"/>
              <w:tabs>
                <w:tab w:val="left" w:pos="1772"/>
              </w:tabs>
              <w:spacing w:before="0" w:beforeAutospacing="0" w:after="0" w:afterAutospacing="0" w:line="360" w:lineRule="auto"/>
              <w:ind w:left="0" w:right="0"/>
              <w:jc w:val="both"/>
              <w:rPr>
                <w:rFonts w:hint="eastAsia" w:ascii="宋体" w:hAnsi="宋体" w:eastAsia="宋体" w:cs="宋体"/>
                <w:b w:val="0"/>
                <w:bCs w:val="0"/>
                <w:color w:val="auto"/>
                <w:szCs w:val="21"/>
                <w:highlight w:val="none"/>
                <w:lang w:val="en-US" w:eastAsia="zh-CN"/>
              </w:rPr>
            </w:pPr>
            <w:r>
              <w:rPr>
                <w:rFonts w:hint="eastAsia" w:ascii="宋体" w:hAnsi="宋体" w:eastAsia="宋体" w:cs="宋体"/>
                <w:color w:val="auto"/>
                <w:kern w:val="0"/>
                <w:sz w:val="21"/>
                <w:szCs w:val="21"/>
                <w:highlight w:val="none"/>
                <w:shd w:val="clear" w:color="auto" w:fill="FFFFFF"/>
                <w:lang w:val="en-US" w:eastAsia="zh-CN" w:bidi="ar"/>
              </w:rPr>
              <w:t>招标文件、施工图纸及工程量清单所含全部内容，最终以工程量清单、施工图纸内容和施工招标答疑纪要（如有）为准。</w:t>
            </w:r>
          </w:p>
        </w:tc>
      </w:tr>
      <w:tr w14:paraId="5B7F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2A53ECD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54" w:name="_Toc221950038"/>
            <w:r>
              <w:rPr>
                <w:rFonts w:hint="eastAsia" w:ascii="宋体" w:hAnsi="宋体" w:eastAsia="宋体" w:cs="宋体"/>
                <w:color w:val="auto"/>
                <w:szCs w:val="21"/>
                <w:highlight w:val="none"/>
              </w:rPr>
              <w:t>1.3.2</w:t>
            </w:r>
            <w:bookmarkEnd w:id="54"/>
          </w:p>
        </w:tc>
        <w:tc>
          <w:tcPr>
            <w:tcW w:w="1827" w:type="dxa"/>
            <w:noWrap w:val="0"/>
            <w:vAlign w:val="center"/>
          </w:tcPr>
          <w:p w14:paraId="49260CA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val="0"/>
                <w:color w:val="auto"/>
                <w:szCs w:val="21"/>
                <w:highlight w:val="none"/>
                <w:u w:val="none"/>
              </w:rPr>
            </w:pPr>
            <w:bookmarkStart w:id="55" w:name="_Toc221950039"/>
            <w:r>
              <w:rPr>
                <w:rFonts w:hint="eastAsia" w:ascii="宋体" w:hAnsi="宋体" w:eastAsia="宋体" w:cs="宋体"/>
                <w:b w:val="0"/>
                <w:bCs w:val="0"/>
                <w:color w:val="auto"/>
                <w:szCs w:val="21"/>
                <w:highlight w:val="none"/>
                <w:u w:val="none"/>
              </w:rPr>
              <w:t>计划工期</w:t>
            </w:r>
            <w:bookmarkEnd w:id="55"/>
          </w:p>
        </w:tc>
        <w:tc>
          <w:tcPr>
            <w:tcW w:w="6247" w:type="dxa"/>
            <w:noWrap w:val="0"/>
            <w:vAlign w:val="center"/>
          </w:tcPr>
          <w:p w14:paraId="40497A11">
            <w:pPr>
              <w:keepNext w:val="0"/>
              <w:keepLines w:val="0"/>
              <w:widowControl/>
              <w:suppressLineNumbers w:val="0"/>
              <w:tabs>
                <w:tab w:val="left" w:pos="1772"/>
              </w:tabs>
              <w:spacing w:before="0" w:beforeAutospacing="0" w:after="0" w:afterAutospacing="0" w:line="360" w:lineRule="auto"/>
              <w:ind w:left="0" w:right="0"/>
              <w:jc w:val="both"/>
              <w:rPr>
                <w:rFonts w:hint="eastAsia" w:ascii="宋体" w:hAnsi="宋体" w:eastAsia="宋体" w:cs="宋体"/>
                <w:b w:val="0"/>
                <w:bCs w:val="0"/>
                <w:color w:val="auto"/>
                <w:szCs w:val="21"/>
                <w:highlight w:val="none"/>
                <w:u w:val="none"/>
                <w:lang w:eastAsia="zh-CN"/>
              </w:rPr>
            </w:pPr>
            <w:r>
              <w:rPr>
                <w:rFonts w:hint="eastAsia" w:ascii="宋体" w:hAnsi="宋体" w:eastAsia="宋体" w:cs="宋体"/>
                <w:color w:val="auto"/>
                <w:szCs w:val="21"/>
                <w:highlight w:val="none"/>
                <w:lang w:val="en-US" w:eastAsia="zh-CN"/>
              </w:rPr>
              <w:t>550</w:t>
            </w:r>
            <w:r>
              <w:rPr>
                <w:rFonts w:hint="eastAsia" w:ascii="宋体" w:hAnsi="宋体" w:eastAsia="宋体" w:cs="宋体"/>
                <w:color w:val="auto"/>
                <w:szCs w:val="21"/>
                <w:highlight w:val="none"/>
              </w:rPr>
              <w:t>日历天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特别要求：2027年5月31日前具备控制过流条件</w:t>
            </w:r>
            <w:r>
              <w:rPr>
                <w:rFonts w:hint="eastAsia" w:ascii="宋体" w:hAnsi="宋体" w:eastAsia="宋体" w:cs="宋体"/>
                <w:color w:val="auto"/>
                <w:szCs w:val="21"/>
                <w:highlight w:val="none"/>
                <w:lang w:eastAsia="zh-CN"/>
              </w:rPr>
              <w:t>）</w:t>
            </w:r>
          </w:p>
        </w:tc>
      </w:tr>
      <w:tr w14:paraId="5FFD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4527AE2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56" w:name="_Toc221950043"/>
            <w:r>
              <w:rPr>
                <w:rFonts w:hint="eastAsia" w:ascii="宋体" w:hAnsi="宋体" w:eastAsia="宋体" w:cs="宋体"/>
                <w:color w:val="auto"/>
                <w:szCs w:val="21"/>
                <w:highlight w:val="none"/>
              </w:rPr>
              <w:t>1.3.3</w:t>
            </w:r>
            <w:bookmarkEnd w:id="56"/>
          </w:p>
        </w:tc>
        <w:tc>
          <w:tcPr>
            <w:tcW w:w="1827" w:type="dxa"/>
            <w:noWrap w:val="0"/>
            <w:vAlign w:val="center"/>
          </w:tcPr>
          <w:p w14:paraId="41E4CF7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57" w:name="_Toc221950044"/>
            <w:r>
              <w:rPr>
                <w:rFonts w:hint="eastAsia" w:ascii="宋体" w:hAnsi="宋体" w:eastAsia="宋体" w:cs="宋体"/>
                <w:color w:val="auto"/>
                <w:szCs w:val="21"/>
                <w:highlight w:val="none"/>
              </w:rPr>
              <w:t>质量要求</w:t>
            </w:r>
            <w:bookmarkEnd w:id="57"/>
          </w:p>
        </w:tc>
        <w:tc>
          <w:tcPr>
            <w:tcW w:w="6247" w:type="dxa"/>
            <w:noWrap w:val="0"/>
            <w:vAlign w:val="center"/>
          </w:tcPr>
          <w:p w14:paraId="5B10C9E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合格</w:t>
            </w:r>
          </w:p>
        </w:tc>
      </w:tr>
      <w:tr w14:paraId="635F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051AAC3">
            <w:pPr>
              <w:keepNext w:val="0"/>
              <w:keepLines w:val="0"/>
              <w:widowControl/>
              <w:suppressLineNumbers w:val="0"/>
              <w:topLinePunct/>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1.4.1</w:t>
            </w:r>
          </w:p>
        </w:tc>
        <w:tc>
          <w:tcPr>
            <w:tcW w:w="1827" w:type="dxa"/>
            <w:noWrap w:val="0"/>
            <w:vAlign w:val="center"/>
          </w:tcPr>
          <w:p w14:paraId="7A82F3BF">
            <w:pPr>
              <w:keepNext w:val="0"/>
              <w:keepLines w:val="0"/>
              <w:widowControl/>
              <w:suppressLineNumbers w:val="0"/>
              <w:topLinePunct/>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投标人资质条件、能力和信誉</w:t>
            </w:r>
          </w:p>
        </w:tc>
        <w:tc>
          <w:tcPr>
            <w:tcW w:w="6247" w:type="dxa"/>
            <w:noWrap w:val="0"/>
            <w:vAlign w:val="center"/>
          </w:tcPr>
          <w:p w14:paraId="5EE3FDB1">
            <w:pPr>
              <w:keepNext w:val="0"/>
              <w:keepLines w:val="0"/>
              <w:widowControl w:val="0"/>
              <w:suppressLineNumbers w:val="0"/>
              <w:autoSpaceDE w:val="0"/>
              <w:autoSpaceDN w:val="0"/>
              <w:adjustRightInd w:val="0"/>
              <w:spacing w:before="0" w:beforeAutospacing="0" w:after="0" w:afterAutospacing="0" w:line="360" w:lineRule="auto"/>
              <w:ind w:left="0" w:right="0"/>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详见招标公告“3.投标人资格要求”</w:t>
            </w:r>
          </w:p>
        </w:tc>
      </w:tr>
      <w:tr w14:paraId="4FA89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156130D7">
            <w:pPr>
              <w:keepNext w:val="0"/>
              <w:keepLines w:val="0"/>
              <w:widowControl/>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w:t>
            </w:r>
          </w:p>
        </w:tc>
        <w:tc>
          <w:tcPr>
            <w:tcW w:w="1827" w:type="dxa"/>
            <w:noWrap w:val="0"/>
            <w:vAlign w:val="center"/>
          </w:tcPr>
          <w:p w14:paraId="27C539A1">
            <w:pPr>
              <w:keepNext w:val="0"/>
              <w:keepLines w:val="0"/>
              <w:widowControl/>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是否接受联合体投标</w:t>
            </w:r>
          </w:p>
        </w:tc>
        <w:tc>
          <w:tcPr>
            <w:tcW w:w="6247" w:type="dxa"/>
            <w:noWrap w:val="0"/>
            <w:vAlign w:val="center"/>
          </w:tcPr>
          <w:p w14:paraId="531D3932">
            <w:pPr>
              <w:keepNext w:val="0"/>
              <w:keepLines w:val="0"/>
              <w:widowControl/>
              <w:suppressLineNumbers w:val="0"/>
              <w:autoSpaceDE w:val="0"/>
              <w:autoSpaceDN w:val="0"/>
              <w:adjustRightInd w:val="0"/>
              <w:spacing w:before="0" w:beforeAutospacing="0" w:after="0" w:afterAutospacing="0" w:line="360" w:lineRule="auto"/>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 xml:space="preserve">不接受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sym w:font="Wingdings" w:char="00A8"/>
            </w:r>
            <w:r>
              <w:rPr>
                <w:rFonts w:hint="eastAsia" w:ascii="宋体" w:hAnsi="宋体" w:eastAsia="宋体" w:cs="宋体"/>
                <w:color w:val="auto"/>
                <w:szCs w:val="21"/>
                <w:highlight w:val="none"/>
              </w:rPr>
              <w:t>接受，应满足下列要求：</w:t>
            </w:r>
          </w:p>
        </w:tc>
      </w:tr>
      <w:tr w14:paraId="35BD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59BB59C">
            <w:pPr>
              <w:keepNext w:val="0"/>
              <w:keepLines w:val="0"/>
              <w:widowControl/>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1.9</w:t>
            </w:r>
          </w:p>
        </w:tc>
        <w:tc>
          <w:tcPr>
            <w:tcW w:w="1827" w:type="dxa"/>
            <w:noWrap w:val="0"/>
            <w:vAlign w:val="center"/>
          </w:tcPr>
          <w:p w14:paraId="188A567E">
            <w:pPr>
              <w:keepNext w:val="0"/>
              <w:keepLines w:val="0"/>
              <w:widowControl/>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踏勘现场</w:t>
            </w:r>
          </w:p>
        </w:tc>
        <w:tc>
          <w:tcPr>
            <w:tcW w:w="6247" w:type="dxa"/>
            <w:noWrap w:val="0"/>
            <w:vAlign w:val="center"/>
          </w:tcPr>
          <w:p w14:paraId="5E817017">
            <w:pPr>
              <w:keepNext w:val="0"/>
              <w:keepLines w:val="0"/>
              <w:widowControl/>
              <w:suppressLineNumbers w:val="0"/>
              <w:autoSpaceDE w:val="0"/>
              <w:autoSpaceDN w:val="0"/>
              <w:adjustRightInd w:val="0"/>
              <w:spacing w:before="0" w:beforeAutospacing="0" w:after="0" w:afterAutospacing="0" w:line="360" w:lineRule="auto"/>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 xml:space="preserve">组织         </w:t>
            </w: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不组织</w:t>
            </w:r>
          </w:p>
        </w:tc>
      </w:tr>
      <w:tr w14:paraId="08A85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455E08F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w:t>
            </w:r>
          </w:p>
        </w:tc>
        <w:tc>
          <w:tcPr>
            <w:tcW w:w="1827" w:type="dxa"/>
            <w:noWrap w:val="0"/>
            <w:vAlign w:val="center"/>
          </w:tcPr>
          <w:p w14:paraId="03E0C0C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投标预备会</w:t>
            </w:r>
          </w:p>
        </w:tc>
        <w:tc>
          <w:tcPr>
            <w:tcW w:w="6247" w:type="dxa"/>
            <w:noWrap w:val="0"/>
            <w:vAlign w:val="center"/>
          </w:tcPr>
          <w:p w14:paraId="2E2B8B77">
            <w:pPr>
              <w:keepNext w:val="0"/>
              <w:keepLines w:val="0"/>
              <w:widowControl/>
              <w:suppressLineNumbers w:val="0"/>
              <w:autoSpaceDE w:val="0"/>
              <w:autoSpaceDN w:val="0"/>
              <w:adjustRightInd w:val="0"/>
              <w:spacing w:before="0" w:beforeAutospacing="0" w:after="0" w:afterAutospacing="0" w:line="360" w:lineRule="auto"/>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 xml:space="preserve">召开         </w:t>
            </w: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不召开</w:t>
            </w:r>
          </w:p>
        </w:tc>
      </w:tr>
      <w:tr w14:paraId="627E6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7485D36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1.10.3</w:t>
            </w:r>
          </w:p>
        </w:tc>
        <w:tc>
          <w:tcPr>
            <w:tcW w:w="1827" w:type="dxa"/>
            <w:noWrap w:val="0"/>
            <w:vAlign w:val="center"/>
          </w:tcPr>
          <w:p w14:paraId="3C4EAC0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投标截止时间</w:t>
            </w:r>
          </w:p>
        </w:tc>
        <w:tc>
          <w:tcPr>
            <w:tcW w:w="6247" w:type="dxa"/>
            <w:noWrap w:val="0"/>
            <w:vAlign w:val="center"/>
          </w:tcPr>
          <w:p w14:paraId="4ADBD137">
            <w:pPr>
              <w:keepNext w:val="0"/>
              <w:keepLines w:val="0"/>
              <w:widowControl/>
              <w:suppressLineNumbers w:val="0"/>
              <w:autoSpaceDE w:val="0"/>
              <w:autoSpaceDN w:val="0"/>
              <w:adjustRightInd w:val="0"/>
              <w:spacing w:before="0" w:beforeAutospacing="0" w:after="0" w:afterAutospacing="0" w:line="360" w:lineRule="auto"/>
              <w:ind w:left="0" w:leftChars="0" w:right="0" w:rightChars="0"/>
              <w:jc w:val="left"/>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lang w:val="en-US" w:eastAsia="zh-CN"/>
              </w:rPr>
              <w:t>2026年09月16日上午9时00分</w:t>
            </w:r>
            <w:r>
              <w:rPr>
                <w:rFonts w:hint="eastAsia" w:ascii="宋体" w:hAnsi="宋体" w:eastAsia="宋体" w:cs="宋体"/>
                <w:b/>
                <w:bCs/>
                <w:color w:val="auto"/>
                <w:szCs w:val="21"/>
                <w:highlight w:val="none"/>
                <w:lang w:val="en-US" w:eastAsia="zh-CN"/>
              </w:rPr>
              <w:t>（北京时间）</w:t>
            </w:r>
          </w:p>
        </w:tc>
      </w:tr>
      <w:tr w14:paraId="0FAC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5" w:type="dxa"/>
            <w:noWrap w:val="0"/>
            <w:vAlign w:val="center"/>
          </w:tcPr>
          <w:p w14:paraId="5C81F7F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w:t>
            </w:r>
          </w:p>
        </w:tc>
        <w:tc>
          <w:tcPr>
            <w:tcW w:w="1827" w:type="dxa"/>
            <w:noWrap w:val="0"/>
            <w:vAlign w:val="center"/>
          </w:tcPr>
          <w:p w14:paraId="5DD1F9F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w:t>
            </w:r>
          </w:p>
        </w:tc>
        <w:tc>
          <w:tcPr>
            <w:tcW w:w="6247" w:type="dxa"/>
            <w:noWrap w:val="0"/>
            <w:vAlign w:val="center"/>
          </w:tcPr>
          <w:p w14:paraId="6C90CF8D">
            <w:pPr>
              <w:keepNext w:val="0"/>
              <w:keepLines w:val="0"/>
              <w:widowControl/>
              <w:suppressLineNumbers w:val="0"/>
              <w:adjustRightInd w:val="0"/>
              <w:snapToGrid w:val="0"/>
              <w:spacing w:before="0" w:beforeAutospacing="0" w:after="0" w:afterAutospacing="0" w:line="360" w:lineRule="auto"/>
              <w:ind w:left="0" w:leftChars="0" w:right="0" w:rightChars="0" w:firstLine="0" w:firstLineChars="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不允许非法分包。专业分包需经招标人书面同意。</w:t>
            </w:r>
          </w:p>
        </w:tc>
      </w:tr>
      <w:tr w14:paraId="488E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4C2FF18">
            <w:pPr>
              <w:keepNext w:val="0"/>
              <w:keepLines w:val="0"/>
              <w:widowControl/>
              <w:suppressLineNumbers w:val="0"/>
              <w:spacing w:before="0" w:beforeAutospacing="0" w:after="0" w:afterAutospacing="0" w:line="360"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w:t>
            </w:r>
            <w:r>
              <w:rPr>
                <w:rFonts w:hint="eastAsia" w:ascii="宋体" w:hAnsi="宋体" w:eastAsia="宋体" w:cs="宋体"/>
                <w:color w:val="auto"/>
                <w:szCs w:val="21"/>
                <w:highlight w:val="none"/>
                <w:lang w:val="en-US" w:eastAsia="zh-CN"/>
              </w:rPr>
              <w:t>.1</w:t>
            </w:r>
          </w:p>
        </w:tc>
        <w:tc>
          <w:tcPr>
            <w:tcW w:w="1827" w:type="dxa"/>
            <w:noWrap w:val="0"/>
            <w:vAlign w:val="center"/>
          </w:tcPr>
          <w:p w14:paraId="5B4F00F8">
            <w:pPr>
              <w:keepNext w:val="0"/>
              <w:keepLines w:val="0"/>
              <w:widowControl/>
              <w:suppressLineNumbers w:val="0"/>
              <w:spacing w:before="0" w:beforeAutospacing="0" w:after="0" w:afterAutospacing="0" w:line="360"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实质性要求和条件</w:t>
            </w:r>
          </w:p>
        </w:tc>
        <w:tc>
          <w:tcPr>
            <w:tcW w:w="6247" w:type="dxa"/>
            <w:noWrap w:val="0"/>
            <w:vAlign w:val="center"/>
          </w:tcPr>
          <w:p w14:paraId="2A5C5ABF">
            <w:pPr>
              <w:keepNext w:val="0"/>
              <w:keepLines w:val="0"/>
              <w:widowControl/>
              <w:suppressLineNumbers w:val="0"/>
              <w:autoSpaceDE/>
              <w:autoSpaceDN/>
              <w:adjustRightInd w:val="0"/>
              <w:snapToGrid w:val="0"/>
              <w:spacing w:before="0" w:beforeAutospacing="0" w:after="0" w:afterAutospacing="0" w:line="360" w:lineRule="auto"/>
              <w:ind w:left="0" w:leftChars="0" w:right="0" w:rightChars="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招标文件已明确的形式评审标准、资格</w:t>
            </w:r>
            <w:r>
              <w:rPr>
                <w:rFonts w:hint="eastAsia" w:ascii="宋体" w:hAnsi="宋体" w:eastAsia="宋体" w:cs="宋体"/>
                <w:color w:val="auto"/>
                <w:kern w:val="0"/>
                <w:szCs w:val="21"/>
                <w:highlight w:val="none"/>
                <w:lang w:val="en-US" w:eastAsia="zh-CN"/>
              </w:rPr>
              <w:t>评审</w:t>
            </w:r>
            <w:r>
              <w:rPr>
                <w:rFonts w:hint="eastAsia" w:ascii="宋体" w:hAnsi="宋体" w:eastAsia="宋体" w:cs="宋体"/>
                <w:color w:val="auto"/>
                <w:kern w:val="0"/>
                <w:szCs w:val="21"/>
                <w:highlight w:val="none"/>
              </w:rPr>
              <w:t>标准、响应性评审标准</w:t>
            </w:r>
            <w:r>
              <w:rPr>
                <w:rFonts w:hint="eastAsia" w:ascii="宋体" w:hAnsi="宋体" w:eastAsia="宋体" w:cs="宋体"/>
                <w:color w:val="auto"/>
                <w:kern w:val="0"/>
                <w:szCs w:val="21"/>
                <w:highlight w:val="none"/>
                <w:lang w:val="en-US" w:eastAsia="zh-CN"/>
              </w:rPr>
              <w:t>；</w:t>
            </w:r>
          </w:p>
        </w:tc>
      </w:tr>
      <w:tr w14:paraId="0656E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0D49464A">
            <w:pPr>
              <w:keepNext w:val="0"/>
              <w:keepLines w:val="0"/>
              <w:widowControl/>
              <w:suppressLineNumbers w:val="0"/>
              <w:spacing w:before="0" w:beforeAutospacing="0" w:after="0" w:afterAutospacing="0" w:line="360"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1.12.2</w:t>
            </w:r>
          </w:p>
        </w:tc>
        <w:tc>
          <w:tcPr>
            <w:tcW w:w="1827" w:type="dxa"/>
            <w:noWrap w:val="0"/>
            <w:vAlign w:val="center"/>
          </w:tcPr>
          <w:p w14:paraId="0926136F">
            <w:pPr>
              <w:keepNext w:val="0"/>
              <w:keepLines w:val="0"/>
              <w:widowControl/>
              <w:suppressLineNumbers w:val="0"/>
              <w:spacing w:before="0" w:beforeAutospacing="0" w:after="0" w:afterAutospacing="0" w:line="360"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偏离</w:t>
            </w:r>
          </w:p>
        </w:tc>
        <w:tc>
          <w:tcPr>
            <w:tcW w:w="6247" w:type="dxa"/>
            <w:noWrap w:val="0"/>
            <w:vAlign w:val="center"/>
          </w:tcPr>
          <w:p w14:paraId="61597302">
            <w:pPr>
              <w:keepNext w:val="0"/>
              <w:keepLines w:val="0"/>
              <w:widowControl w:val="0"/>
              <w:suppressLineNumbers w:val="0"/>
              <w:wordWrap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口不允许</w:t>
            </w:r>
          </w:p>
          <w:p w14:paraId="6A12D5A8">
            <w:pPr>
              <w:keepNext w:val="0"/>
              <w:keepLines w:val="0"/>
              <w:widowControl w:val="0"/>
              <w:suppressLineNumbers w:val="0"/>
              <w:wordWrap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sym w:font="Wingdings" w:char="00FE"/>
            </w:r>
            <w:r>
              <w:rPr>
                <w:rFonts w:hint="eastAsia" w:ascii="宋体" w:hAnsi="宋体" w:eastAsia="宋体" w:cs="宋体"/>
                <w:color w:val="auto"/>
                <w:kern w:val="0"/>
                <w:szCs w:val="21"/>
                <w:highlight w:val="none"/>
              </w:rPr>
              <w:t>允许</w:t>
            </w:r>
          </w:p>
          <w:p w14:paraId="486C6255">
            <w:pPr>
              <w:keepNext w:val="0"/>
              <w:keepLines w:val="0"/>
              <w:widowControl w:val="0"/>
              <w:suppressLineNumbers w:val="0"/>
              <w:wordWrap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偏差范围:细微偏差</w:t>
            </w:r>
          </w:p>
          <w:p w14:paraId="62DAA0EA">
            <w:pPr>
              <w:keepNext w:val="0"/>
              <w:keepLines w:val="0"/>
              <w:widowControl w:val="0"/>
              <w:suppressLineNumbers w:val="0"/>
              <w:wordWrap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细微偏差不影响投标文件的有效性，以下情形按细微偏差处理:</w:t>
            </w:r>
          </w:p>
          <w:p w14:paraId="20DCE8E6">
            <w:pPr>
              <w:keepNext w:val="0"/>
              <w:keepLines w:val="0"/>
              <w:widowControl w:val="0"/>
              <w:suppressLineNumbers w:val="0"/>
              <w:wordWrap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①出现第三章“评标办法</w:t>
            </w:r>
            <w:r>
              <w:rPr>
                <w:rFonts w:hint="eastAsia" w:ascii="宋体" w:hAnsi="宋体" w:eastAsia="宋体" w:cs="宋体"/>
                <w:color w:val="auto"/>
                <w:kern w:val="0"/>
                <w:szCs w:val="21"/>
                <w:highlight w:val="none"/>
                <w:lang w:val="en-US" w:eastAsia="zh-CN"/>
              </w:rPr>
              <w:t>及定标办法</w:t>
            </w:r>
            <w:r>
              <w:rPr>
                <w:rFonts w:hint="eastAsia" w:ascii="宋体" w:hAnsi="宋体" w:eastAsia="宋体" w:cs="宋体"/>
                <w:color w:val="auto"/>
                <w:kern w:val="0"/>
                <w:szCs w:val="21"/>
                <w:highlight w:val="none"/>
              </w:rPr>
              <w:t>”规定的算术性错误，在按照第三章“评标办法</w:t>
            </w:r>
            <w:r>
              <w:rPr>
                <w:rFonts w:hint="eastAsia" w:ascii="宋体" w:hAnsi="宋体" w:eastAsia="宋体" w:cs="宋体"/>
                <w:color w:val="auto"/>
                <w:kern w:val="0"/>
                <w:szCs w:val="21"/>
                <w:highlight w:val="none"/>
                <w:lang w:val="en-US" w:eastAsia="zh-CN"/>
              </w:rPr>
              <w:t>及定标办法</w:t>
            </w:r>
            <w:r>
              <w:rPr>
                <w:rFonts w:hint="eastAsia" w:ascii="宋体" w:hAnsi="宋体" w:eastAsia="宋体" w:cs="宋体"/>
                <w:color w:val="auto"/>
                <w:kern w:val="0"/>
                <w:szCs w:val="21"/>
                <w:highlight w:val="none"/>
              </w:rPr>
              <w:t>”的规定对投标价进行算术性错误修正后，最终投标报价未超过最高投标限价(如有)的情形;</w:t>
            </w:r>
          </w:p>
          <w:p w14:paraId="179B89E1">
            <w:pPr>
              <w:keepNext w:val="0"/>
              <w:keepLines w:val="0"/>
              <w:widowControl w:val="0"/>
              <w:suppressLineNumbers w:val="0"/>
              <w:wordWrap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②投标文件页码不连续、个别文字有遗漏错误等不影响投标文件实质性内容的偏差。</w:t>
            </w:r>
          </w:p>
          <w:p w14:paraId="0AD2DF63">
            <w:pPr>
              <w:keepNext w:val="0"/>
              <w:keepLines w:val="0"/>
              <w:widowControl w:val="0"/>
              <w:suppressLineNumbers w:val="0"/>
              <w:wordWrap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③</w:t>
            </w:r>
            <w:r>
              <w:rPr>
                <w:rFonts w:hint="eastAsia" w:ascii="宋体" w:hAnsi="宋体" w:eastAsia="宋体" w:cs="宋体"/>
                <w:color w:val="auto"/>
                <w:kern w:val="0"/>
                <w:szCs w:val="21"/>
                <w:highlight w:val="none"/>
              </w:rPr>
              <w:t>投标文件在实质上响应招标文件要求,但个别地方存在漏项或者提供了不完整的信息和数据等情况,并且补正这些遗漏或者不完整不会对其他投标人造成不公平的结果。</w:t>
            </w:r>
          </w:p>
          <w:p w14:paraId="6F3660EB">
            <w:pPr>
              <w:keepNext w:val="0"/>
              <w:keepLines w:val="0"/>
              <w:widowControl w:val="0"/>
              <w:suppressLineNumbers w:val="0"/>
              <w:wordWrap w:val="0"/>
              <w:autoSpaceDE/>
              <w:autoSpaceDN/>
              <w:adjustRightInd w:val="0"/>
              <w:snapToGrid w:val="0"/>
              <w:spacing w:before="0" w:beforeAutospacing="0" w:after="0" w:afterAutospacing="0" w:line="360" w:lineRule="auto"/>
              <w:ind w:left="0" w:leftChars="0" w:right="0" w:rightChars="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④</w:t>
            </w:r>
            <w:r>
              <w:rPr>
                <w:rFonts w:hint="eastAsia" w:ascii="宋体" w:hAnsi="宋体" w:eastAsia="宋体" w:cs="宋体"/>
                <w:color w:val="auto"/>
                <w:kern w:val="0"/>
                <w:szCs w:val="21"/>
                <w:highlight w:val="none"/>
              </w:rPr>
              <w:t>投标文件中有含义不明确的内容、明显文字或者计算错误，评标委员会认为需要投标人作出必要澄清、说明的。</w:t>
            </w:r>
          </w:p>
        </w:tc>
      </w:tr>
      <w:tr w14:paraId="442D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vMerge w:val="restart"/>
            <w:noWrap w:val="0"/>
            <w:vAlign w:val="center"/>
          </w:tcPr>
          <w:p w14:paraId="1EC0F19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2.2.1</w:t>
            </w:r>
          </w:p>
        </w:tc>
        <w:tc>
          <w:tcPr>
            <w:tcW w:w="1827" w:type="dxa"/>
            <w:vMerge w:val="restart"/>
            <w:noWrap w:val="0"/>
            <w:vAlign w:val="center"/>
          </w:tcPr>
          <w:p w14:paraId="506305F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投标人要求澄清招标文件</w:t>
            </w:r>
          </w:p>
        </w:tc>
        <w:tc>
          <w:tcPr>
            <w:tcW w:w="6247" w:type="dxa"/>
            <w:noWrap w:val="0"/>
            <w:vAlign w:val="center"/>
          </w:tcPr>
          <w:p w14:paraId="7C78C21F">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时间：递交投标文件截止时间17日之前</w:t>
            </w:r>
          </w:p>
        </w:tc>
      </w:tr>
      <w:tr w14:paraId="1CCF1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vMerge w:val="continue"/>
            <w:noWrap w:val="0"/>
            <w:vAlign w:val="center"/>
          </w:tcPr>
          <w:p w14:paraId="58ED73D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827" w:type="dxa"/>
            <w:vMerge w:val="continue"/>
            <w:noWrap w:val="0"/>
            <w:vAlign w:val="center"/>
          </w:tcPr>
          <w:p w14:paraId="0E2556F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7" w:type="dxa"/>
            <w:noWrap w:val="0"/>
            <w:vAlign w:val="center"/>
          </w:tcPr>
          <w:p w14:paraId="3D69C219">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形式：通过</w:t>
            </w:r>
            <w:r>
              <w:rPr>
                <w:rFonts w:hint="eastAsia" w:ascii="宋体" w:hAnsi="宋体" w:eastAsia="宋体" w:cs="宋体"/>
                <w:color w:val="auto"/>
                <w:kern w:val="0"/>
                <w:szCs w:val="21"/>
                <w:highlight w:val="none"/>
                <w:lang w:eastAsia="zh-CN"/>
              </w:rPr>
              <w:t>驻马店市公共资源交易电子交易平台</w:t>
            </w:r>
            <w:r>
              <w:rPr>
                <w:rFonts w:hint="eastAsia" w:ascii="宋体" w:hAnsi="宋体" w:eastAsia="宋体" w:cs="宋体"/>
                <w:color w:val="auto"/>
                <w:kern w:val="0"/>
                <w:szCs w:val="21"/>
                <w:highlight w:val="none"/>
              </w:rPr>
              <w:t>提出</w:t>
            </w:r>
          </w:p>
        </w:tc>
      </w:tr>
      <w:tr w14:paraId="3B06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00C45E9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2.2.2</w:t>
            </w:r>
          </w:p>
        </w:tc>
        <w:tc>
          <w:tcPr>
            <w:tcW w:w="1827" w:type="dxa"/>
            <w:noWrap w:val="0"/>
            <w:vAlign w:val="center"/>
          </w:tcPr>
          <w:p w14:paraId="39669A7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招标文件澄清发出的形式</w:t>
            </w:r>
          </w:p>
        </w:tc>
        <w:tc>
          <w:tcPr>
            <w:tcW w:w="6247" w:type="dxa"/>
            <w:noWrap w:val="0"/>
            <w:vAlign w:val="center"/>
          </w:tcPr>
          <w:p w14:paraId="003D6BA9">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通过</w:t>
            </w:r>
            <w:r>
              <w:rPr>
                <w:rFonts w:hint="eastAsia" w:ascii="宋体" w:hAnsi="宋体" w:eastAsia="宋体" w:cs="宋体"/>
                <w:color w:val="auto"/>
                <w:kern w:val="0"/>
                <w:szCs w:val="21"/>
                <w:highlight w:val="none"/>
                <w:lang w:eastAsia="zh-CN"/>
              </w:rPr>
              <w:t>驻马店市公共资源交易电子交易平台</w:t>
            </w:r>
            <w:r>
              <w:rPr>
                <w:rFonts w:hint="eastAsia" w:ascii="宋体" w:hAnsi="宋体" w:eastAsia="宋体" w:cs="宋体"/>
                <w:color w:val="auto"/>
                <w:kern w:val="0"/>
                <w:szCs w:val="21"/>
                <w:highlight w:val="none"/>
              </w:rPr>
              <w:t>发布，投标人须重新下载最新的“答疑文件”，并以此编制投标文件。</w:t>
            </w:r>
          </w:p>
        </w:tc>
      </w:tr>
      <w:tr w14:paraId="58566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0A7AC7B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p>
          <w:p w14:paraId="067A4FE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2.2.3</w:t>
            </w:r>
          </w:p>
        </w:tc>
        <w:tc>
          <w:tcPr>
            <w:tcW w:w="1827" w:type="dxa"/>
            <w:noWrap w:val="0"/>
            <w:vAlign w:val="center"/>
          </w:tcPr>
          <w:p w14:paraId="53752CA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投标人确认收到招标文件澄清</w:t>
            </w:r>
          </w:p>
        </w:tc>
        <w:tc>
          <w:tcPr>
            <w:tcW w:w="6247" w:type="dxa"/>
            <w:noWrap w:val="0"/>
            <w:vAlign w:val="center"/>
          </w:tcPr>
          <w:p w14:paraId="45614361">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spacing w:val="0"/>
                <w:kern w:val="0"/>
                <w:szCs w:val="21"/>
                <w:highlight w:val="none"/>
              </w:rPr>
              <w:t>所有澄清均通过“</w:t>
            </w:r>
            <w:r>
              <w:rPr>
                <w:rFonts w:hint="eastAsia" w:ascii="宋体" w:hAnsi="宋体" w:eastAsia="宋体" w:cs="宋体"/>
                <w:color w:val="auto"/>
                <w:spacing w:val="0"/>
                <w:kern w:val="0"/>
                <w:szCs w:val="21"/>
                <w:highlight w:val="none"/>
                <w:lang w:eastAsia="zh-CN"/>
              </w:rPr>
              <w:t>驻马店市公共资源交易平台</w:t>
            </w:r>
            <w:r>
              <w:rPr>
                <w:rFonts w:hint="eastAsia" w:ascii="宋体" w:hAnsi="宋体" w:eastAsia="宋体" w:cs="宋体"/>
                <w:color w:val="auto"/>
                <w:spacing w:val="0"/>
                <w:kern w:val="0"/>
                <w:szCs w:val="21"/>
                <w:highlight w:val="none"/>
              </w:rPr>
              <w:t>”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5CA4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2FD0878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2.3.1</w:t>
            </w:r>
          </w:p>
        </w:tc>
        <w:tc>
          <w:tcPr>
            <w:tcW w:w="1827" w:type="dxa"/>
            <w:noWrap w:val="0"/>
            <w:vAlign w:val="center"/>
          </w:tcPr>
          <w:p w14:paraId="77C1B7F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招标文件修改发出的形式</w:t>
            </w:r>
          </w:p>
        </w:tc>
        <w:tc>
          <w:tcPr>
            <w:tcW w:w="6247" w:type="dxa"/>
            <w:noWrap w:val="0"/>
            <w:vAlign w:val="center"/>
          </w:tcPr>
          <w:p w14:paraId="62B4D96E">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通过</w:t>
            </w:r>
            <w:r>
              <w:rPr>
                <w:rFonts w:hint="eastAsia" w:ascii="宋体" w:hAnsi="宋体" w:eastAsia="宋体" w:cs="宋体"/>
                <w:color w:val="auto"/>
                <w:kern w:val="0"/>
                <w:szCs w:val="21"/>
                <w:highlight w:val="none"/>
                <w:lang w:eastAsia="zh-CN"/>
              </w:rPr>
              <w:t>驻马店市公共资源交易电子交易平台</w:t>
            </w:r>
            <w:r>
              <w:rPr>
                <w:rFonts w:hint="eastAsia" w:ascii="宋体" w:hAnsi="宋体" w:eastAsia="宋体" w:cs="宋体"/>
                <w:color w:val="auto"/>
                <w:kern w:val="0"/>
                <w:szCs w:val="21"/>
                <w:highlight w:val="none"/>
              </w:rPr>
              <w:t>发布，投标人须重新下载最新的“答疑文件”，并以此编制投标文件。</w:t>
            </w:r>
          </w:p>
        </w:tc>
      </w:tr>
      <w:tr w14:paraId="579ED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1F9E335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p>
          <w:p w14:paraId="0B07689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2.3.2</w:t>
            </w:r>
          </w:p>
        </w:tc>
        <w:tc>
          <w:tcPr>
            <w:tcW w:w="1827" w:type="dxa"/>
            <w:noWrap w:val="0"/>
            <w:vAlign w:val="center"/>
          </w:tcPr>
          <w:p w14:paraId="6FDDFC3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投标人确认收到招标文件修改</w:t>
            </w:r>
          </w:p>
        </w:tc>
        <w:tc>
          <w:tcPr>
            <w:tcW w:w="6247" w:type="dxa"/>
            <w:noWrap w:val="0"/>
            <w:vAlign w:val="center"/>
          </w:tcPr>
          <w:p w14:paraId="777AFA97">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spacing w:val="0"/>
                <w:kern w:val="0"/>
                <w:szCs w:val="21"/>
                <w:highlight w:val="none"/>
              </w:rPr>
              <w:t>所有修改均通过“</w:t>
            </w:r>
            <w:r>
              <w:rPr>
                <w:rFonts w:hint="eastAsia" w:ascii="宋体" w:hAnsi="宋体" w:eastAsia="宋体" w:cs="宋体"/>
                <w:color w:val="auto"/>
                <w:spacing w:val="0"/>
                <w:kern w:val="0"/>
                <w:szCs w:val="21"/>
                <w:highlight w:val="none"/>
                <w:lang w:eastAsia="zh-CN"/>
              </w:rPr>
              <w:t>驻马店市公共资源交易平台</w:t>
            </w:r>
            <w:r>
              <w:rPr>
                <w:rFonts w:hint="eastAsia" w:ascii="宋体" w:hAnsi="宋体" w:eastAsia="宋体" w:cs="宋体"/>
                <w:color w:val="auto"/>
                <w:spacing w:val="0"/>
                <w:kern w:val="0"/>
                <w:szCs w:val="21"/>
                <w:highlight w:val="none"/>
              </w:rPr>
              <w:t>”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69D4D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0CC42DD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w:t>
            </w:r>
          </w:p>
        </w:tc>
        <w:tc>
          <w:tcPr>
            <w:tcW w:w="1827" w:type="dxa"/>
            <w:noWrap w:val="0"/>
            <w:vAlign w:val="center"/>
          </w:tcPr>
          <w:p w14:paraId="57E9439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247" w:type="dxa"/>
            <w:noWrap w:val="0"/>
            <w:vAlign w:val="center"/>
          </w:tcPr>
          <w:p w14:paraId="5E7F140B">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90</w:t>
            </w:r>
            <w:r>
              <w:rPr>
                <w:rFonts w:hint="eastAsia" w:ascii="宋体" w:hAnsi="宋体" w:eastAsia="宋体" w:cs="宋体"/>
                <w:color w:val="auto"/>
                <w:kern w:val="0"/>
                <w:szCs w:val="21"/>
                <w:highlight w:val="none"/>
              </w:rPr>
              <w:t>日历天（从投标截止之日算起）</w:t>
            </w:r>
          </w:p>
        </w:tc>
      </w:tr>
      <w:tr w14:paraId="64F18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1A849FD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w:t>
            </w:r>
          </w:p>
        </w:tc>
        <w:tc>
          <w:tcPr>
            <w:tcW w:w="1827" w:type="dxa"/>
            <w:noWrap w:val="0"/>
            <w:vAlign w:val="center"/>
          </w:tcPr>
          <w:p w14:paraId="11BDDA9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6247" w:type="dxa"/>
            <w:noWrap w:val="0"/>
            <w:vAlign w:val="center"/>
          </w:tcPr>
          <w:p w14:paraId="497394B5">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是否要求提交投标保证金</w:t>
            </w:r>
          </w:p>
          <w:p w14:paraId="1D02DB85">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bCs/>
                <w:color w:val="auto"/>
                <w:kern w:val="0"/>
                <w:szCs w:val="21"/>
                <w:highlight w:val="none"/>
              </w:rPr>
            </w:pP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szCs w:val="21"/>
                <w:highlight w:val="none"/>
              </w:rPr>
              <w:instrText xml:space="preserve">,√)</w:instrText>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要求</w:t>
            </w:r>
          </w:p>
          <w:p w14:paraId="3C52132A">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投标保证金的金额：</w:t>
            </w:r>
            <w:r>
              <w:rPr>
                <w:rFonts w:hint="eastAsia" w:ascii="宋体" w:hAnsi="宋体" w:eastAsia="宋体" w:cs="宋体"/>
                <w:b/>
                <w:bCs/>
                <w:color w:val="auto"/>
                <w:szCs w:val="21"/>
                <w:highlight w:val="none"/>
              </w:rPr>
              <w:t>人民币</w:t>
            </w:r>
            <w:r>
              <w:rPr>
                <w:rFonts w:hint="eastAsia" w:ascii="宋体" w:hAnsi="宋体" w:eastAsia="宋体" w:cs="宋体"/>
                <w:b/>
                <w:bCs/>
                <w:color w:val="auto"/>
                <w:szCs w:val="21"/>
                <w:highlight w:val="none"/>
                <w:lang w:val="en-US" w:eastAsia="zh-CN"/>
              </w:rPr>
              <w:t>伍拾</w:t>
            </w:r>
            <w:r>
              <w:rPr>
                <w:rFonts w:hint="eastAsia" w:ascii="宋体" w:hAnsi="宋体" w:eastAsia="宋体" w:cs="宋体"/>
                <w:b/>
                <w:bCs/>
                <w:color w:val="auto"/>
                <w:szCs w:val="21"/>
                <w:highlight w:val="none"/>
              </w:rPr>
              <w:t>万元整</w:t>
            </w:r>
            <w:r>
              <w:rPr>
                <w:rFonts w:hint="eastAsia" w:ascii="宋体" w:hAnsi="宋体" w:eastAsia="宋体" w:cs="宋体"/>
                <w:bCs/>
                <w:color w:val="auto"/>
                <w:kern w:val="0"/>
                <w:szCs w:val="21"/>
                <w:highlight w:val="none"/>
              </w:rPr>
              <w:t>；</w:t>
            </w:r>
          </w:p>
          <w:p w14:paraId="0558DFDF">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投标保证金提交截止时间：同投标截止时间</w:t>
            </w:r>
          </w:p>
          <w:p w14:paraId="6382A2B2">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投标保证金递交形式：</w:t>
            </w:r>
            <w:r>
              <w:rPr>
                <w:rFonts w:hint="eastAsia" w:ascii="宋体" w:hAnsi="宋体" w:eastAsia="宋体" w:cs="宋体"/>
                <w:b/>
                <w:bCs/>
                <w:color w:val="auto"/>
                <w:kern w:val="0"/>
                <w:szCs w:val="21"/>
                <w:highlight w:val="none"/>
              </w:rPr>
              <w:t>银行转账、电子保函等。</w:t>
            </w:r>
          </w:p>
          <w:p w14:paraId="465242B2">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3B25BFED">
            <w:pPr>
              <w:keepNext w:val="0"/>
              <w:keepLines w:val="0"/>
              <w:widowControl/>
              <w:suppressLineNumbers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投标人将投标保证金于开标时间前登录交易系统从本公司基本账户一次性足额存至驻马店市公共资源</w:t>
            </w:r>
            <w:r>
              <w:rPr>
                <w:rFonts w:hint="eastAsia" w:ascii="宋体" w:hAnsi="宋体" w:eastAsia="宋体" w:cs="宋体"/>
                <w:color w:val="auto"/>
                <w:kern w:val="0"/>
                <w:szCs w:val="21"/>
                <w:highlight w:val="none"/>
                <w:lang w:eastAsia="zh-CN"/>
              </w:rPr>
              <w:t>交易平台</w:t>
            </w:r>
            <w:r>
              <w:rPr>
                <w:rFonts w:hint="eastAsia" w:ascii="宋体" w:hAnsi="宋体" w:eastAsia="宋体" w:cs="宋体"/>
                <w:color w:val="auto"/>
                <w:kern w:val="0"/>
                <w:szCs w:val="21"/>
                <w:highlight w:val="none"/>
              </w:rPr>
              <w:t>指定账户,不得以现金提交，逾期到账的投标保证金不予受理。（未从基本账户汇出或未按时到账者视为无效）。如联合体投标，应当以联合体中牵头人的名义提交保证金。</w:t>
            </w:r>
          </w:p>
          <w:p w14:paraId="03B57482">
            <w:pPr>
              <w:keepNext w:val="0"/>
              <w:keepLines w:val="0"/>
              <w:widowControl/>
              <w:suppressLineNumbers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2、电子投标保函缴纳方式：</w:t>
            </w:r>
          </w:p>
          <w:p w14:paraId="47D6E73D">
            <w:pPr>
              <w:keepNext w:val="0"/>
              <w:keepLines w:val="0"/>
              <w:widowControl/>
              <w:suppressLineNumbers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①投标人必须首先确认本企业诚信库内填写的基本账户相关信息真实准确；</w:t>
            </w:r>
          </w:p>
          <w:p w14:paraId="6FB6186F">
            <w:pPr>
              <w:keepNext w:val="0"/>
              <w:keepLines w:val="0"/>
              <w:widowControl/>
              <w:suppressLineNumbers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②企业可以在</w:t>
            </w:r>
            <w:r>
              <w:rPr>
                <w:rFonts w:hint="eastAsia" w:ascii="宋体" w:hAnsi="宋体" w:eastAsia="宋体" w:cs="宋体"/>
                <w:color w:val="auto"/>
                <w:kern w:val="0"/>
                <w:szCs w:val="21"/>
                <w:highlight w:val="none"/>
                <w:lang w:eastAsia="zh-CN"/>
              </w:rPr>
              <w:t>交易平台</w:t>
            </w:r>
            <w:r>
              <w:rPr>
                <w:rFonts w:hint="eastAsia" w:ascii="宋体" w:hAnsi="宋体" w:eastAsia="宋体" w:cs="宋体"/>
                <w:color w:val="auto"/>
                <w:kern w:val="0"/>
                <w:szCs w:val="21"/>
                <w:highlight w:val="none"/>
              </w:rPr>
              <w:t>电子交易系统业务管理“电子保函申请”功能中自主选择电子保函平台、承保机构办理电子保函业务；</w:t>
            </w:r>
          </w:p>
          <w:p w14:paraId="036657DF">
            <w:pPr>
              <w:keepNext w:val="0"/>
              <w:keepLines w:val="0"/>
              <w:widowControl/>
              <w:suppressLineNumbers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③办理电子投标保函费用必须出自投标人基本账户；</w:t>
            </w:r>
          </w:p>
          <w:p w14:paraId="5B3E3515">
            <w:pPr>
              <w:keepNext w:val="0"/>
              <w:keepLines w:val="0"/>
              <w:widowControl/>
              <w:suppressLineNumbers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④投标截止时间前投标人应按照以上要求在保函平台中申请并生成电子投标保函。否则开标现场交易系统将无法获取到该投标单位的电子投标保函，视为未交纳投标保证金，其投标文件将被拒绝，不能参加开标活动。</w:t>
            </w:r>
          </w:p>
          <w:p w14:paraId="4F9F7061">
            <w:pPr>
              <w:keepNext w:val="0"/>
              <w:keepLines w:val="0"/>
              <w:widowControl/>
              <w:suppressLineNumbers w:val="0"/>
              <w:adjustRightInd w:val="0"/>
              <w:snapToGrid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交易平台技术咨询：0396-2613088</w:t>
            </w:r>
          </w:p>
          <w:p w14:paraId="735DB433">
            <w:pPr>
              <w:keepNext w:val="0"/>
              <w:keepLines w:val="0"/>
              <w:widowControl/>
              <w:suppressLineNumbers w:val="0"/>
              <w:spacing w:before="0" w:beforeAutospacing="0" w:after="0" w:afterAutospacing="0" w:line="360" w:lineRule="auto"/>
              <w:ind w:left="0" w:right="0" w:firstLine="210" w:firstLineChars="100"/>
              <w:jc w:val="left"/>
              <w:rPr>
                <w:rFonts w:hint="eastAsia" w:ascii="宋体" w:hAnsi="宋体" w:eastAsia="宋体" w:cs="宋体"/>
                <w:color w:val="auto"/>
                <w:szCs w:val="21"/>
                <w:highlight w:val="none"/>
              </w:rPr>
            </w:pPr>
            <w:bookmarkStart w:id="58" w:name="_Toc18413"/>
            <w:bookmarkStart w:id="59" w:name="_Toc1162"/>
            <w:bookmarkStart w:id="60" w:name="_Toc4244"/>
            <w:bookmarkStart w:id="61" w:name="_Toc14157"/>
            <w:bookmarkStart w:id="62" w:name="_Toc17049"/>
            <w:r>
              <w:rPr>
                <w:rFonts w:hint="eastAsia" w:ascii="宋体" w:hAnsi="宋体" w:eastAsia="宋体" w:cs="宋体"/>
                <w:color w:val="auto"/>
                <w:kern w:val="0"/>
                <w:szCs w:val="21"/>
                <w:highlight w:val="none"/>
              </w:rPr>
              <w:t>□不要求</w:t>
            </w:r>
            <w:bookmarkEnd w:id="58"/>
            <w:bookmarkEnd w:id="59"/>
            <w:bookmarkEnd w:id="60"/>
            <w:bookmarkEnd w:id="61"/>
            <w:bookmarkEnd w:id="62"/>
          </w:p>
        </w:tc>
      </w:tr>
      <w:tr w14:paraId="48BBD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19A4D9B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3.4.4</w:t>
            </w:r>
          </w:p>
        </w:tc>
        <w:tc>
          <w:tcPr>
            <w:tcW w:w="1827" w:type="dxa"/>
            <w:noWrap w:val="0"/>
            <w:vAlign w:val="center"/>
          </w:tcPr>
          <w:p w14:paraId="5FDB7B4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投标保证金不予退</w:t>
            </w:r>
            <w:r>
              <w:rPr>
                <w:rFonts w:hint="eastAsia" w:ascii="宋体" w:hAnsi="宋体" w:eastAsia="宋体" w:cs="宋体"/>
                <w:color w:val="auto"/>
                <w:szCs w:val="21"/>
                <w:highlight w:val="none"/>
                <w:lang w:val="en-US" w:eastAsia="zh-CN"/>
              </w:rPr>
              <w:t>还</w:t>
            </w:r>
            <w:r>
              <w:rPr>
                <w:rFonts w:hint="eastAsia" w:ascii="宋体" w:hAnsi="宋体" w:eastAsia="宋体" w:cs="宋体"/>
                <w:color w:val="auto"/>
                <w:szCs w:val="21"/>
                <w:highlight w:val="none"/>
              </w:rPr>
              <w:t>情形</w:t>
            </w:r>
          </w:p>
        </w:tc>
        <w:tc>
          <w:tcPr>
            <w:tcW w:w="6247" w:type="dxa"/>
            <w:noWrap w:val="0"/>
            <w:vAlign w:val="center"/>
          </w:tcPr>
          <w:p w14:paraId="73E71E33">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 w:val="21"/>
                <w:szCs w:val="21"/>
                <w:highlight w:val="none"/>
              </w:rPr>
              <w:t>有串通投标、弄虚作假、行贿等违法行为的</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被查实存在影响中标结果的违法行为的。</w:t>
            </w:r>
          </w:p>
        </w:tc>
      </w:tr>
      <w:tr w14:paraId="37F9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50A3325F">
            <w:pPr>
              <w:keepNext w:val="0"/>
              <w:keepLines w:val="0"/>
              <w:widowControl/>
              <w:suppressLineNumbers w:val="0"/>
              <w:spacing w:before="0" w:beforeLines="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3.5.2</w:t>
            </w:r>
          </w:p>
        </w:tc>
        <w:tc>
          <w:tcPr>
            <w:tcW w:w="1827" w:type="dxa"/>
            <w:shd w:val="clear" w:color="auto" w:fill="auto"/>
            <w:noWrap w:val="0"/>
            <w:vAlign w:val="center"/>
          </w:tcPr>
          <w:p w14:paraId="7F286F25">
            <w:pPr>
              <w:keepNext w:val="0"/>
              <w:keepLines w:val="0"/>
              <w:pageBreakBefore w:val="0"/>
              <w:widowControl/>
              <w:suppressLineNumbers w:val="0"/>
              <w:kinsoku/>
              <w:wordWrap/>
              <w:overflowPunct/>
              <w:topLinePunct w:val="0"/>
              <w:bidi w:val="0"/>
              <w:snapToGrid/>
              <w:spacing w:before="0" w:beforeLines="0" w:beforeAutospacing="0" w:after="0" w:afterAutospacing="0" w:line="360" w:lineRule="auto"/>
              <w:ind w:left="0" w:leftChars="0" w:right="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近年财务状况的年份要求</w:t>
            </w:r>
          </w:p>
        </w:tc>
        <w:tc>
          <w:tcPr>
            <w:tcW w:w="6247" w:type="dxa"/>
            <w:shd w:val="clear" w:color="auto" w:fill="auto"/>
            <w:noWrap w:val="0"/>
            <w:vAlign w:val="center"/>
          </w:tcPr>
          <w:p w14:paraId="5A82ADED">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Autospacing="0" w:line="360" w:lineRule="auto"/>
              <w:ind w:left="0" w:leftChars="0" w:right="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23年</w:t>
            </w: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24年</w:t>
            </w:r>
            <w:r>
              <w:rPr>
                <w:rFonts w:hint="eastAsia" w:ascii="宋体" w:hAnsi="宋体" w:eastAsia="宋体" w:cs="宋体"/>
                <w:caps w:val="0"/>
                <w:smallCaps w:val="0"/>
                <w:color w:val="auto"/>
                <w:spacing w:val="0"/>
                <w:w w:val="100"/>
                <w:position w:val="0"/>
                <w:sz w:val="21"/>
                <w:szCs w:val="21"/>
                <w:highlight w:val="none"/>
                <w:lang w:eastAsia="zh-CN"/>
              </w:rPr>
              <w:t>、202</w:t>
            </w:r>
            <w:r>
              <w:rPr>
                <w:rFonts w:hint="eastAsia" w:ascii="宋体" w:hAnsi="宋体" w:eastAsia="宋体" w:cs="宋体"/>
                <w:caps w:val="0"/>
                <w:smallCaps w:val="0"/>
                <w:color w:val="auto"/>
                <w:spacing w:val="0"/>
                <w:w w:val="100"/>
                <w:position w:val="0"/>
                <w:sz w:val="21"/>
                <w:szCs w:val="21"/>
                <w:highlight w:val="none"/>
                <w:lang w:val="en-US" w:eastAsia="zh-CN"/>
              </w:rPr>
              <w:t>5年</w:t>
            </w:r>
          </w:p>
        </w:tc>
      </w:tr>
      <w:tr w14:paraId="09C88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shd w:val="clear" w:color="auto" w:fill="auto"/>
            <w:noWrap w:val="0"/>
            <w:vAlign w:val="center"/>
          </w:tcPr>
          <w:p w14:paraId="0678105E">
            <w:pPr>
              <w:keepNext w:val="0"/>
              <w:keepLines w:val="0"/>
              <w:pageBreakBefore w:val="0"/>
              <w:widowControl w:val="0"/>
              <w:suppressLineNumbers w:val="0"/>
              <w:kinsoku/>
              <w:wordWrap/>
              <w:overflowPunct/>
              <w:topLinePunct w:val="0"/>
              <w:bidi w:val="0"/>
              <w:adjustRightInd w:val="0"/>
              <w:snapToGrid/>
              <w:spacing w:before="0" w:beforeLines="0" w:beforeAutospacing="0" w:after="0" w:afterAutospacing="0" w:line="360" w:lineRule="auto"/>
              <w:ind w:left="0" w:leftChars="0" w:right="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3.5.3</w:t>
            </w:r>
          </w:p>
        </w:tc>
        <w:tc>
          <w:tcPr>
            <w:tcW w:w="1827" w:type="dxa"/>
            <w:shd w:val="clear" w:color="auto" w:fill="auto"/>
            <w:noWrap w:val="0"/>
            <w:vAlign w:val="center"/>
          </w:tcPr>
          <w:p w14:paraId="2131FB1F">
            <w:pPr>
              <w:keepNext w:val="0"/>
              <w:keepLines w:val="0"/>
              <w:pageBreakBefore w:val="0"/>
              <w:widowControl/>
              <w:suppressLineNumbers w:val="0"/>
              <w:kinsoku/>
              <w:wordWrap/>
              <w:overflowPunct/>
              <w:topLinePunct w:val="0"/>
              <w:bidi w:val="0"/>
              <w:snapToGrid/>
              <w:spacing w:before="0" w:beforeLines="0" w:beforeAutospacing="0" w:after="0" w:afterAutospacing="0" w:line="360" w:lineRule="auto"/>
              <w:ind w:left="0" w:leftChars="0" w:right="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近年类似项目情况的时间要求</w:t>
            </w:r>
          </w:p>
        </w:tc>
        <w:tc>
          <w:tcPr>
            <w:tcW w:w="6247" w:type="dxa"/>
            <w:shd w:val="clear" w:color="auto" w:fill="auto"/>
            <w:noWrap w:val="0"/>
            <w:vAlign w:val="center"/>
          </w:tcPr>
          <w:p w14:paraId="69C57D25">
            <w:pPr>
              <w:keepNext w:val="0"/>
              <w:keepLines w:val="0"/>
              <w:widowControl/>
              <w:suppressLineNumbers w:val="0"/>
              <w:bidi w:val="0"/>
              <w:spacing w:before="0" w:beforeLines="0" w:beforeAutospacing="0" w:after="0" w:afterAutospacing="0" w:line="360" w:lineRule="auto"/>
              <w:ind w:left="0" w:leftChars="0" w:right="0"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2021年8月1日以来</w:t>
            </w:r>
          </w:p>
        </w:tc>
      </w:tr>
      <w:tr w14:paraId="6EC0B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085B022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3.7.3</w:t>
            </w:r>
          </w:p>
        </w:tc>
        <w:tc>
          <w:tcPr>
            <w:tcW w:w="1827" w:type="dxa"/>
            <w:noWrap w:val="0"/>
            <w:vAlign w:val="center"/>
          </w:tcPr>
          <w:p w14:paraId="3054B22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投标文件签字或盖章要求</w:t>
            </w:r>
          </w:p>
        </w:tc>
        <w:tc>
          <w:tcPr>
            <w:tcW w:w="6247" w:type="dxa"/>
            <w:noWrap w:val="0"/>
            <w:vAlign w:val="center"/>
          </w:tcPr>
          <w:p w14:paraId="18513C8B">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上传的加密电子投标文件在要求签字盖章的地方加盖电子印章。投标人如授权委托代理人，投标人制作电子投标文件时，先上传签字并盖章后的授权委托书扫描件，再使用CA锁加盖电子公章和法定代表人签字电子章。</w:t>
            </w:r>
          </w:p>
        </w:tc>
      </w:tr>
      <w:tr w14:paraId="2E05C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shd w:val="clear" w:color="auto" w:fill="auto"/>
            <w:noWrap w:val="0"/>
            <w:vAlign w:val="center"/>
          </w:tcPr>
          <w:p w14:paraId="127E5AAB">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0" w:firstLine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4.1.1</w:t>
            </w:r>
          </w:p>
        </w:tc>
        <w:tc>
          <w:tcPr>
            <w:tcW w:w="1827" w:type="dxa"/>
            <w:shd w:val="clear" w:color="auto" w:fill="auto"/>
            <w:noWrap w:val="0"/>
            <w:vAlign w:val="center"/>
          </w:tcPr>
          <w:p w14:paraId="0E3F949D">
            <w:pPr>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投标文件加密要求</w:t>
            </w:r>
          </w:p>
        </w:tc>
        <w:tc>
          <w:tcPr>
            <w:tcW w:w="6247" w:type="dxa"/>
            <w:shd w:val="clear" w:color="auto" w:fill="auto"/>
            <w:noWrap w:val="0"/>
            <w:vAlign w:val="center"/>
          </w:tcPr>
          <w:p w14:paraId="2B45257E">
            <w:pPr>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right="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按照电子招标投标交易平台的要求加密投标文件</w:t>
            </w:r>
          </w:p>
        </w:tc>
      </w:tr>
      <w:tr w14:paraId="6D88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645A445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w:t>
            </w:r>
          </w:p>
        </w:tc>
        <w:tc>
          <w:tcPr>
            <w:tcW w:w="1827" w:type="dxa"/>
            <w:noWrap w:val="0"/>
            <w:vAlign w:val="center"/>
          </w:tcPr>
          <w:p w14:paraId="369ED44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递交投标文件地点</w:t>
            </w:r>
          </w:p>
        </w:tc>
        <w:tc>
          <w:tcPr>
            <w:tcW w:w="6247" w:type="dxa"/>
            <w:noWrap w:val="0"/>
            <w:vAlign w:val="center"/>
          </w:tcPr>
          <w:p w14:paraId="5A1A3D9D">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驻马店市公共资源交易平台</w:t>
            </w:r>
            <w:r>
              <w:rPr>
                <w:rFonts w:hint="eastAsia" w:ascii="宋体" w:hAnsi="宋体" w:eastAsia="宋体" w:cs="宋体"/>
                <w:color w:val="auto"/>
                <w:kern w:val="0"/>
                <w:szCs w:val="21"/>
                <w:highlight w:val="none"/>
              </w:rPr>
              <w:t>系统</w:t>
            </w:r>
            <w:r>
              <w:rPr>
                <w:rFonts w:hint="eastAsia" w:ascii="宋体" w:hAnsi="宋体" w:eastAsia="宋体" w:cs="宋体"/>
                <w:color w:val="auto"/>
                <w:kern w:val="0"/>
                <w:szCs w:val="21"/>
                <w:highlight w:val="none"/>
                <w:lang w:eastAsia="zh-CN"/>
              </w:rPr>
              <w:t>；</w:t>
            </w:r>
          </w:p>
          <w:p w14:paraId="6ACD046E">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投标人应在投标截止时间前上传加密的电子投标文件（*.zmdtf）到会员系统的指定位置。上传时必须得到电脑“上传成功”的确认回复后方为上传成功。请投标人在上传前务必认真检查上传投标文件是否完整、正确。</w:t>
            </w:r>
          </w:p>
        </w:tc>
      </w:tr>
      <w:tr w14:paraId="6259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404EE72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5.1</w:t>
            </w:r>
          </w:p>
        </w:tc>
        <w:tc>
          <w:tcPr>
            <w:tcW w:w="1827" w:type="dxa"/>
            <w:noWrap w:val="0"/>
            <w:vAlign w:val="center"/>
          </w:tcPr>
          <w:p w14:paraId="61C8AF2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开标时间和地点</w:t>
            </w:r>
          </w:p>
        </w:tc>
        <w:tc>
          <w:tcPr>
            <w:tcW w:w="6247" w:type="dxa"/>
            <w:noWrap w:val="0"/>
            <w:vAlign w:val="center"/>
          </w:tcPr>
          <w:p w14:paraId="26A99BD1">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开标时间：2026年</w:t>
            </w:r>
            <w:r>
              <w:rPr>
                <w:rFonts w:hint="eastAsia" w:ascii="宋体" w:hAnsi="宋体" w:eastAsia="宋体" w:cs="宋体"/>
                <w:b/>
                <w:bCs/>
                <w:color w:val="auto"/>
                <w:kern w:val="0"/>
                <w:szCs w:val="21"/>
                <w:highlight w:val="none"/>
                <w:lang w:val="en-US" w:eastAsia="zh-CN"/>
              </w:rPr>
              <w:t>09</w:t>
            </w:r>
            <w:r>
              <w:rPr>
                <w:rFonts w:hint="eastAsia" w:ascii="宋体" w:hAnsi="宋体" w:eastAsia="宋体" w:cs="宋体"/>
                <w:b/>
                <w:bCs/>
                <w:color w:val="auto"/>
                <w:kern w:val="0"/>
                <w:szCs w:val="21"/>
                <w:highlight w:val="none"/>
              </w:rPr>
              <w:t>月</w:t>
            </w:r>
            <w:r>
              <w:rPr>
                <w:rFonts w:hint="eastAsia" w:ascii="宋体" w:hAnsi="宋体" w:eastAsia="宋体" w:cs="宋体"/>
                <w:b/>
                <w:bCs/>
                <w:color w:val="auto"/>
                <w:kern w:val="0"/>
                <w:szCs w:val="21"/>
                <w:highlight w:val="none"/>
                <w:lang w:val="en-US" w:eastAsia="zh-CN"/>
              </w:rPr>
              <w:t>16</w:t>
            </w:r>
            <w:r>
              <w:rPr>
                <w:rFonts w:hint="eastAsia" w:ascii="宋体" w:hAnsi="宋体" w:eastAsia="宋体" w:cs="宋体"/>
                <w:b/>
                <w:bCs/>
                <w:color w:val="auto"/>
                <w:kern w:val="0"/>
                <w:szCs w:val="21"/>
                <w:highlight w:val="none"/>
              </w:rPr>
              <w:t>日9时00分</w:t>
            </w:r>
            <w:r>
              <w:rPr>
                <w:rFonts w:hint="eastAsia" w:ascii="宋体" w:hAnsi="宋体" w:eastAsia="宋体" w:cs="宋体"/>
                <w:b/>
                <w:bCs/>
                <w:color w:val="auto"/>
                <w:kern w:val="0"/>
                <w:szCs w:val="21"/>
                <w:highlight w:val="none"/>
                <w:lang w:eastAsia="zh-CN"/>
              </w:rPr>
              <w:t>（北京时间）</w:t>
            </w:r>
          </w:p>
          <w:p w14:paraId="26FF9A1F">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开标地点：驻马店市公共资源</w:t>
            </w:r>
            <w:r>
              <w:rPr>
                <w:rFonts w:hint="eastAsia" w:ascii="宋体" w:hAnsi="宋体" w:eastAsia="宋体" w:cs="宋体"/>
                <w:b/>
                <w:bCs/>
                <w:color w:val="auto"/>
                <w:kern w:val="0"/>
                <w:szCs w:val="21"/>
                <w:highlight w:val="none"/>
                <w:lang w:eastAsia="zh-CN"/>
              </w:rPr>
              <w:t>交易平台</w:t>
            </w:r>
            <w:r>
              <w:rPr>
                <w:rFonts w:hint="eastAsia" w:ascii="宋体" w:hAnsi="宋体" w:eastAsia="宋体" w:cs="宋体"/>
                <w:b/>
                <w:bCs/>
                <w:color w:val="auto"/>
                <w:kern w:val="0"/>
                <w:szCs w:val="21"/>
                <w:highlight w:val="none"/>
              </w:rPr>
              <w:t>不见面开标大厅</w:t>
            </w:r>
          </w:p>
          <w:p w14:paraId="464D406E">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u w:val="single"/>
              </w:rPr>
              <w:t xml:space="preserve">（电子投标文件必须凭制作投标文件所用的 CA </w:t>
            </w:r>
            <w:r>
              <w:rPr>
                <w:rFonts w:hint="eastAsia" w:ascii="宋体" w:hAnsi="宋体" w:eastAsia="宋体" w:cs="宋体"/>
                <w:b/>
                <w:bCs/>
                <w:color w:val="auto"/>
                <w:szCs w:val="21"/>
                <w:highlight w:val="none"/>
                <w:u w:val="single"/>
                <w:lang w:eastAsia="zh-CN"/>
              </w:rPr>
              <w:t>密钥</w:t>
            </w:r>
            <w:r>
              <w:rPr>
                <w:rFonts w:hint="eastAsia" w:ascii="宋体" w:hAnsi="宋体" w:eastAsia="宋体" w:cs="宋体"/>
                <w:b/>
                <w:bCs/>
                <w:color w:val="auto"/>
                <w:szCs w:val="21"/>
                <w:highlight w:val="none"/>
                <w:u w:val="single"/>
              </w:rPr>
              <w:t>在30分钟内完成解密）。</w:t>
            </w:r>
          </w:p>
        </w:tc>
      </w:tr>
      <w:tr w14:paraId="6255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33215D9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5.2</w:t>
            </w:r>
          </w:p>
        </w:tc>
        <w:tc>
          <w:tcPr>
            <w:tcW w:w="1827" w:type="dxa"/>
            <w:noWrap w:val="0"/>
            <w:vAlign w:val="center"/>
          </w:tcPr>
          <w:p w14:paraId="6490FD4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开标程序</w:t>
            </w:r>
          </w:p>
        </w:tc>
        <w:tc>
          <w:tcPr>
            <w:tcW w:w="6247" w:type="dxa"/>
            <w:noWrap w:val="0"/>
            <w:vAlign w:val="center"/>
          </w:tcPr>
          <w:p w14:paraId="27CAD9AB">
            <w:pPr>
              <w:keepNext w:val="0"/>
              <w:keepLines w:val="0"/>
              <w:widowControl/>
              <w:suppressLineNumbers w:val="0"/>
              <w:wordWrap w:val="0"/>
              <w:adjustRightInd w:val="0"/>
              <w:snapToGrid w:val="0"/>
              <w:spacing w:before="0" w:beforeAutospacing="0" w:after="0" w:afterAutospacing="0" w:line="36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3D624B67">
            <w:pPr>
              <w:keepNext w:val="0"/>
              <w:keepLines w:val="0"/>
              <w:widowControl/>
              <w:suppressLineNumbers w:val="0"/>
              <w:spacing w:before="0" w:beforeAutospacing="0" w:after="0" w:afterAutospacing="0" w:line="360" w:lineRule="auto"/>
              <w:ind w:left="105" w:right="0" w:hanging="105" w:hangingChars="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2、在投标截止时间前，各投标人必须在网上开标系统内完成签到，否则其投标按无效标处理，系统内投标文件将被退回。</w:t>
            </w:r>
          </w:p>
        </w:tc>
      </w:tr>
      <w:tr w14:paraId="3725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04370C3B">
            <w:pPr>
              <w:keepNext w:val="0"/>
              <w:keepLines w:val="0"/>
              <w:widowControl/>
              <w:suppressLineNumbers w:val="0"/>
              <w:spacing w:before="0" w:beforeAutospacing="0" w:after="0" w:afterAutospacing="0" w:line="360" w:lineRule="auto"/>
              <w:ind w:left="105" w:right="0" w:hanging="105" w:hanging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5.3</w:t>
            </w:r>
          </w:p>
        </w:tc>
        <w:tc>
          <w:tcPr>
            <w:tcW w:w="1827" w:type="dxa"/>
            <w:noWrap w:val="0"/>
            <w:vAlign w:val="center"/>
          </w:tcPr>
          <w:p w14:paraId="7D7CB155">
            <w:pPr>
              <w:keepNext w:val="0"/>
              <w:keepLines w:val="0"/>
              <w:widowControl/>
              <w:suppressLineNumbers w:val="0"/>
              <w:spacing w:before="0" w:beforeAutospacing="0" w:after="0" w:afterAutospacing="0" w:line="360" w:lineRule="auto"/>
              <w:ind w:left="105" w:right="0" w:hanging="105" w:hanging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开标异议</w:t>
            </w:r>
          </w:p>
        </w:tc>
        <w:tc>
          <w:tcPr>
            <w:tcW w:w="6247" w:type="dxa"/>
            <w:noWrap w:val="0"/>
            <w:vAlign w:val="center"/>
          </w:tcPr>
          <w:p w14:paraId="03B26BAE">
            <w:pPr>
              <w:keepNext w:val="0"/>
              <w:keepLines w:val="0"/>
              <w:widowControl/>
              <w:suppressLineNumbers w:val="0"/>
              <w:spacing w:before="0" w:beforeAutospacing="0" w:after="0" w:afterAutospacing="0" w:line="360" w:lineRule="auto"/>
              <w:ind w:left="105" w:right="0" w:hanging="105" w:hangingChars="5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投标人对开标有异议的，应当在开标</w:t>
            </w:r>
            <w:r>
              <w:rPr>
                <w:rFonts w:hint="eastAsia" w:ascii="宋体" w:hAnsi="宋体" w:eastAsia="宋体" w:cs="宋体"/>
                <w:color w:val="auto"/>
                <w:szCs w:val="21"/>
                <w:highlight w:val="none"/>
                <w:lang w:val="en-US" w:eastAsia="zh-CN"/>
              </w:rPr>
              <w:t>环节</w:t>
            </w:r>
            <w:r>
              <w:rPr>
                <w:rFonts w:hint="eastAsia" w:ascii="宋体" w:hAnsi="宋体" w:eastAsia="宋体" w:cs="宋体"/>
                <w:color w:val="auto"/>
                <w:szCs w:val="21"/>
                <w:highlight w:val="none"/>
              </w:rPr>
              <w:t>提出，招标人当场作出答复，并制作记录</w:t>
            </w:r>
            <w:r>
              <w:rPr>
                <w:rFonts w:hint="eastAsia" w:ascii="宋体" w:hAnsi="宋体" w:eastAsia="宋体" w:cs="宋体"/>
                <w:color w:val="auto"/>
                <w:szCs w:val="21"/>
                <w:highlight w:val="none"/>
                <w:lang w:eastAsia="zh-CN"/>
              </w:rPr>
              <w:t>。</w:t>
            </w:r>
          </w:p>
        </w:tc>
      </w:tr>
      <w:tr w14:paraId="129C6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1A40AC6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w:t>
            </w:r>
          </w:p>
        </w:tc>
        <w:tc>
          <w:tcPr>
            <w:tcW w:w="1827" w:type="dxa"/>
            <w:noWrap w:val="0"/>
            <w:vAlign w:val="center"/>
          </w:tcPr>
          <w:p w14:paraId="374F4E1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评标委员会的组建</w:t>
            </w:r>
          </w:p>
        </w:tc>
        <w:tc>
          <w:tcPr>
            <w:tcW w:w="6247" w:type="dxa"/>
            <w:noWrap w:val="0"/>
            <w:vAlign w:val="center"/>
          </w:tcPr>
          <w:p w14:paraId="2FB0D66C">
            <w:pPr>
              <w:keepNext w:val="0"/>
              <w:keepLines w:val="0"/>
              <w:widowControl w:val="0"/>
              <w:suppressLineNumbers w:val="0"/>
              <w:autoSpaceDE w:val="0"/>
              <w:autoSpaceDN w:val="0"/>
              <w:adjustRightInd w:val="0"/>
              <w:spacing w:before="0" w:beforeAutospacing="0" w:after="0" w:afterAutospacing="0" w:line="288" w:lineRule="auto"/>
              <w:ind w:left="0" w:right="-34" w:rightChars="-16"/>
              <w:jc w:val="both"/>
              <w:rPr>
                <w:rFonts w:hint="eastAsia" w:ascii="宋体" w:hAnsi="宋体" w:eastAsia="宋体" w:cs="宋体"/>
                <w:color w:val="auto"/>
                <w:kern w:val="0"/>
                <w:sz w:val="21"/>
                <w:szCs w:val="21"/>
                <w:highlight w:val="none"/>
              </w:rPr>
            </w:pPr>
            <w:bookmarkStart w:id="63" w:name="_Toc221950077"/>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u w:val="single"/>
                <w:lang w:val="en-US" w:eastAsia="zh-CN"/>
              </w:rPr>
              <w:t xml:space="preserve">7 </w:t>
            </w:r>
            <w:r>
              <w:rPr>
                <w:rFonts w:hint="eastAsia" w:ascii="宋体" w:hAnsi="宋体" w:eastAsia="宋体" w:cs="宋体"/>
                <w:color w:val="auto"/>
                <w:kern w:val="0"/>
                <w:sz w:val="21"/>
                <w:szCs w:val="21"/>
                <w:highlight w:val="none"/>
              </w:rPr>
              <w:t>人组成；</w:t>
            </w:r>
          </w:p>
          <w:p w14:paraId="71351375">
            <w:pPr>
              <w:keepNext w:val="0"/>
              <w:keepLines w:val="0"/>
              <w:widowControl w:val="0"/>
              <w:suppressLineNumbers w:val="0"/>
              <w:autoSpaceDE/>
              <w:autoSpaceDN/>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其中</w:t>
            </w:r>
          </w:p>
          <w:p w14:paraId="4C1B1280">
            <w:pPr>
              <w:keepNext w:val="0"/>
              <w:keepLines w:val="0"/>
              <w:widowControl w:val="0"/>
              <w:suppressLineNumbers w:val="0"/>
              <w:wordWrap w:val="0"/>
              <w:autoSpaceDE/>
              <w:autoSpaceDN/>
              <w:adjustRightInd w:val="0"/>
              <w:snapToGrid w:val="0"/>
              <w:spacing w:before="0" w:beforeAutospacing="0" w:after="0" w:afterAutospacing="0" w:line="400" w:lineRule="exact"/>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招标人代表</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u w:val="single"/>
                <w:lang w:val="en-US" w:eastAsia="zh-CN"/>
              </w:rPr>
              <w:t>2</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人（招标人代表应当从招标人本单位、本级系统内正式工作人员或河南省综合评标专家库本行业专家中产生。）</w:t>
            </w:r>
          </w:p>
          <w:p w14:paraId="37A02E42">
            <w:pPr>
              <w:keepNext w:val="0"/>
              <w:keepLines w:val="0"/>
              <w:widowControl w:val="0"/>
              <w:suppressLineNumbers w:val="0"/>
              <w:autoSpaceDE/>
              <w:autoSpaceDN/>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0"/>
                <w:highlight w:val="none"/>
              </w:rPr>
              <w:t>评标专家</w:t>
            </w:r>
            <w:r>
              <w:rPr>
                <w:rFonts w:hint="eastAsia" w:ascii="宋体" w:hAnsi="宋体" w:eastAsia="宋体" w:cs="宋体"/>
                <w:color w:val="auto"/>
                <w:kern w:val="2"/>
                <w:sz w:val="21"/>
                <w:szCs w:val="20"/>
                <w:highlight w:val="none"/>
                <w:u w:val="single"/>
              </w:rPr>
              <w:t xml:space="preserve"> </w:t>
            </w:r>
            <w:r>
              <w:rPr>
                <w:rFonts w:hint="eastAsia" w:ascii="宋体" w:hAnsi="宋体" w:eastAsia="宋体" w:cs="宋体"/>
                <w:color w:val="auto"/>
                <w:kern w:val="2"/>
                <w:sz w:val="21"/>
                <w:szCs w:val="21"/>
                <w:highlight w:val="none"/>
                <w:u w:val="single"/>
                <w:lang w:val="en-US" w:eastAsia="zh-CN"/>
              </w:rPr>
              <w:t xml:space="preserve">5 </w:t>
            </w:r>
            <w:r>
              <w:rPr>
                <w:rFonts w:hint="eastAsia" w:ascii="宋体" w:hAnsi="宋体" w:eastAsia="宋体" w:cs="宋体"/>
                <w:color w:val="auto"/>
                <w:kern w:val="2"/>
                <w:sz w:val="21"/>
                <w:szCs w:val="20"/>
                <w:highlight w:val="none"/>
              </w:rPr>
              <w:t>人</w:t>
            </w:r>
            <w:r>
              <w:rPr>
                <w:rFonts w:hint="eastAsia" w:ascii="宋体" w:hAnsi="宋体" w:eastAsia="宋体" w:cs="宋体"/>
                <w:color w:val="auto"/>
                <w:kern w:val="2"/>
                <w:sz w:val="21"/>
                <w:szCs w:val="21"/>
                <w:highlight w:val="none"/>
              </w:rPr>
              <w:t>；</w:t>
            </w:r>
          </w:p>
          <w:p w14:paraId="4E130EB6">
            <w:pPr>
              <w:keepNext w:val="0"/>
              <w:keepLines w:val="0"/>
              <w:widowControl w:val="0"/>
              <w:suppressLineNumbers w:val="0"/>
              <w:autoSpaceDE/>
              <w:autoSpaceDN/>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评标专家确定方式：</w:t>
            </w:r>
          </w:p>
          <w:p w14:paraId="77B8190F">
            <w:pPr>
              <w:keepNext w:val="0"/>
              <w:keepLines w:val="0"/>
              <w:widowControl w:val="0"/>
              <w:suppressLineNumbers w:val="0"/>
              <w:autoSpaceDE/>
              <w:autoSpaceDN/>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kern w:val="2"/>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kern w:val="2"/>
                <w:sz w:val="21"/>
                <w:szCs w:val="21"/>
                <w:highlight w:val="none"/>
              </w:rPr>
              <w:t>（默认）</w:t>
            </w:r>
          </w:p>
          <w:p w14:paraId="0EB9754F">
            <w:pPr>
              <w:widowControl/>
              <w:jc w:val="left"/>
              <w:rPr>
                <w:rFonts w:ascii="Calibri" w:hAnsi="Calibri" w:eastAsia="宋体" w:cs="Times New Roman"/>
                <w:szCs w:val="22"/>
              </w:rPr>
            </w:pPr>
            <w:r>
              <w:rPr>
                <w:rFonts w:hint="eastAsia" w:ascii="宋体" w:hAnsi="宋体" w:eastAsia="宋体" w:cs="宋体"/>
                <w:color w:val="auto"/>
                <w:kern w:val="2"/>
                <w:sz w:val="21"/>
                <w:szCs w:val="21"/>
                <w:highlight w:val="none"/>
                <w:lang w:val="en-US" w:eastAsia="zh-CN" w:bidi="ar-SA"/>
              </w:rPr>
              <w:t>□其他：</w:t>
            </w:r>
            <w:r>
              <w:rPr>
                <w:rFonts w:hint="eastAsia" w:ascii="宋体" w:hAnsi="宋体" w:eastAsia="宋体" w:cs="宋体"/>
                <w:color w:val="auto"/>
                <w:kern w:val="2"/>
                <w:sz w:val="21"/>
                <w:szCs w:val="21"/>
                <w:highlight w:val="none"/>
                <w:u w:val="single"/>
                <w:lang w:val="en-US" w:eastAsia="zh-CN" w:bidi="ar-SA"/>
              </w:rPr>
              <w:t xml:space="preserve">    /    </w:t>
            </w:r>
            <w:bookmarkEnd w:id="63"/>
          </w:p>
          <w:p w14:paraId="3335D250">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rPr>
            </w:pPr>
          </w:p>
        </w:tc>
      </w:tr>
      <w:tr w14:paraId="1391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59" w:hRule="atLeast"/>
        </w:trPr>
        <w:tc>
          <w:tcPr>
            <w:tcW w:w="1125" w:type="dxa"/>
            <w:noWrap w:val="0"/>
            <w:vAlign w:val="center"/>
          </w:tcPr>
          <w:p w14:paraId="4DACF6B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7.1</w:t>
            </w:r>
          </w:p>
        </w:tc>
        <w:tc>
          <w:tcPr>
            <w:tcW w:w="1827" w:type="dxa"/>
            <w:noWrap w:val="0"/>
            <w:vAlign w:val="center"/>
          </w:tcPr>
          <w:p w14:paraId="3E6134FA">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是否授权评标委员会确定中标人</w:t>
            </w:r>
          </w:p>
        </w:tc>
        <w:tc>
          <w:tcPr>
            <w:tcW w:w="6247" w:type="dxa"/>
            <w:noWrap w:val="0"/>
            <w:vAlign w:val="center"/>
          </w:tcPr>
          <w:p w14:paraId="769F50E8">
            <w:pPr>
              <w:keepNext w:val="0"/>
              <w:keepLines w:val="0"/>
              <w:widowControl/>
              <w:numPr>
                <w:ilvl w:val="0"/>
                <w:numId w:val="0"/>
              </w:numPr>
              <w:suppressLineNumbers w:val="0"/>
              <w:autoSpaceDE/>
              <w:autoSpaceDN/>
              <w:adjustRightInd/>
              <w:spacing w:before="0" w:beforeAutospacing="0" w:after="0" w:afterAutospacing="0" w:line="360"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口</w:t>
            </w:r>
            <w:r>
              <w:rPr>
                <w:rFonts w:hint="eastAsia" w:ascii="宋体" w:hAnsi="宋体" w:eastAsia="宋体" w:cs="宋体"/>
                <w:color w:val="auto"/>
                <w:szCs w:val="21"/>
                <w:highlight w:val="none"/>
                <w:lang w:eastAsia="zh-CN"/>
              </w:rPr>
              <w:t>是</w:t>
            </w:r>
          </w:p>
          <w:p w14:paraId="5E63923F">
            <w:pPr>
              <w:keepNext w:val="0"/>
              <w:keepLines w:val="0"/>
              <w:widowControl/>
              <w:numPr>
                <w:ilvl w:val="0"/>
                <w:numId w:val="0"/>
              </w:numPr>
              <w:suppressLineNumbers w:val="0"/>
              <w:autoSpaceDE/>
              <w:autoSpaceDN/>
              <w:adjustRightInd/>
              <w:spacing w:before="0" w:beforeAutospacing="0" w:after="0" w:afterAutospacing="0" w:line="360"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lang w:val="en-US" w:eastAsia="zh-CN"/>
              </w:rPr>
              <w:t>否</w:t>
            </w:r>
          </w:p>
          <w:p w14:paraId="5DD370FC">
            <w:pPr>
              <w:keepNext w:val="0"/>
              <w:keepLines w:val="0"/>
              <w:widowControl/>
              <w:numPr>
                <w:ilvl w:val="0"/>
                <w:numId w:val="0"/>
              </w:numPr>
              <w:suppressLineNumbers w:val="0"/>
              <w:spacing w:before="0" w:beforeAutospacing="0" w:after="0" w:afterAutospacing="0" w:line="360"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推荐中标候选人：</w:t>
            </w:r>
          </w:p>
          <w:p w14:paraId="5FC72EBF">
            <w:pPr>
              <w:keepNext w:val="0"/>
              <w:keepLines w:val="0"/>
              <w:widowControl/>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评标委员会对进入详细评审阶段的有效投标人按照招标文件要求进行评审，并按得分由高到低顺序推荐中标候选人。</w:t>
            </w:r>
          </w:p>
          <w:p w14:paraId="546988E3">
            <w:pPr>
              <w:keepNext w:val="0"/>
              <w:keepLines w:val="0"/>
              <w:widowControl/>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（1）当有效投标人数量为3至10家（含10家）时，全部推荐为中标候选人；</w:t>
            </w:r>
          </w:p>
          <w:p w14:paraId="4FE0E2CE">
            <w:pPr>
              <w:keepNext w:val="0"/>
              <w:keepLines w:val="0"/>
              <w:widowControl/>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（2）当有效投标人数量大于10家时，</w:t>
            </w:r>
            <w:r>
              <w:rPr>
                <w:rFonts w:hint="eastAsia" w:ascii="宋体" w:hAnsi="宋体" w:eastAsia="宋体" w:cs="宋体"/>
                <w:color w:val="auto"/>
                <w:sz w:val="21"/>
                <w:szCs w:val="21"/>
                <w:highlight w:val="none"/>
                <w:lang w:val="en-US" w:eastAsia="zh-CN"/>
              </w:rPr>
              <w:t>推荐前10名为中标候选人。10名内末位总得分并列的同时推荐为中标候选人。</w:t>
            </w:r>
          </w:p>
        </w:tc>
      </w:tr>
      <w:tr w14:paraId="0A7AC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46A65F8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w:t>
            </w:r>
          </w:p>
        </w:tc>
        <w:tc>
          <w:tcPr>
            <w:tcW w:w="1827" w:type="dxa"/>
            <w:noWrap w:val="0"/>
            <w:vAlign w:val="center"/>
          </w:tcPr>
          <w:p w14:paraId="0623E55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履约担保</w:t>
            </w:r>
          </w:p>
        </w:tc>
        <w:tc>
          <w:tcPr>
            <w:tcW w:w="6247" w:type="dxa"/>
            <w:noWrap w:val="0"/>
            <w:vAlign w:val="center"/>
          </w:tcPr>
          <w:p w14:paraId="3E23CE72">
            <w:pPr>
              <w:keepNext w:val="0"/>
              <w:keepLines w:val="0"/>
              <w:widowControl/>
              <w:suppressLineNumbers w:val="0"/>
              <w:autoSpaceDE w:val="0"/>
              <w:autoSpaceDN w:val="0"/>
              <w:adjustRightInd w:val="0"/>
              <w:snapToGrid w:val="0"/>
              <w:spacing w:before="0" w:beforeAutospacing="0" w:after="0" w:afterAutospacing="0" w:line="360" w:lineRule="auto"/>
              <w:ind w:left="0" w:right="-34" w:rightChars="-1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履约担保的形式：现金转账或保函</w:t>
            </w:r>
          </w:p>
          <w:p w14:paraId="73BF4ADD">
            <w:pPr>
              <w:keepNext w:val="0"/>
              <w:keepLines w:val="0"/>
              <w:widowControl/>
              <w:suppressLineNumbers w:val="0"/>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履约保证金金额：金额为合同额的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%，期限为</w:t>
            </w:r>
            <w:r>
              <w:rPr>
                <w:rFonts w:hint="eastAsia" w:ascii="宋体" w:hAnsi="宋体" w:eastAsia="宋体" w:cs="宋体"/>
                <w:color w:val="auto"/>
                <w:sz w:val="21"/>
                <w:szCs w:val="21"/>
                <w:highlight w:val="none"/>
                <w:lang w:val="en-US" w:eastAsia="zh-CN"/>
              </w:rPr>
              <w:t>合同工程（完工）验收日止</w:t>
            </w:r>
            <w:r>
              <w:rPr>
                <w:rFonts w:hint="eastAsia" w:ascii="宋体" w:hAnsi="宋体" w:eastAsia="宋体" w:cs="宋体"/>
                <w:color w:val="auto"/>
                <w:sz w:val="21"/>
                <w:szCs w:val="21"/>
                <w:highlight w:val="none"/>
              </w:rPr>
              <w:t>。</w:t>
            </w:r>
          </w:p>
          <w:p w14:paraId="3AD03110">
            <w:pPr>
              <w:keepNext w:val="0"/>
              <w:keepLines w:val="0"/>
              <w:widowControl/>
              <w:suppressLineNumbers w:val="0"/>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Cs w:val="21"/>
                <w:highlight w:val="none"/>
              </w:rPr>
              <w:t>递交时间：招标人确定中标人后，中标人应在接到招标人通知后5日内，将保证金打入招标人指定账户或按照招标人要求的形式提交其他保证。逾期未缴纳的取消其中标资格（投标时应对缴纳时间、缴纳金额做出响应，否则将被否决其投标）</w:t>
            </w:r>
            <w:r>
              <w:rPr>
                <w:rFonts w:hint="eastAsia" w:ascii="宋体" w:hAnsi="宋体" w:eastAsia="宋体" w:cs="宋体"/>
                <w:color w:val="auto"/>
                <w:szCs w:val="21"/>
                <w:highlight w:val="none"/>
              </w:rPr>
              <w:t>。</w:t>
            </w:r>
          </w:p>
        </w:tc>
      </w:tr>
      <w:tr w14:paraId="0C326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2A1676F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8074" w:type="dxa"/>
            <w:gridSpan w:val="2"/>
            <w:noWrap w:val="0"/>
            <w:vAlign w:val="center"/>
          </w:tcPr>
          <w:p w14:paraId="6F63900F">
            <w:pPr>
              <w:keepNext w:val="0"/>
              <w:keepLines w:val="0"/>
              <w:widowControl/>
              <w:suppressLineNumbers w:val="0"/>
              <w:spacing w:before="0" w:beforeAutospacing="0" w:after="0" w:afterAutospacing="0" w:line="360" w:lineRule="auto"/>
              <w:ind w:left="0" w:right="0" w:firstLine="464" w:firstLineChars="220"/>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需要补充的其他内容</w:t>
            </w:r>
          </w:p>
        </w:tc>
      </w:tr>
      <w:tr w14:paraId="78AA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3CB4AB9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w:t>
            </w:r>
          </w:p>
        </w:tc>
        <w:tc>
          <w:tcPr>
            <w:tcW w:w="1827" w:type="dxa"/>
            <w:noWrap w:val="0"/>
            <w:vAlign w:val="center"/>
          </w:tcPr>
          <w:p w14:paraId="039DF13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类似</w:t>
            </w:r>
            <w:r>
              <w:rPr>
                <w:rFonts w:hint="eastAsia" w:ascii="宋体" w:hAnsi="宋体" w:eastAsia="宋体" w:cs="宋体"/>
                <w:b/>
                <w:bCs/>
                <w:color w:val="auto"/>
                <w:szCs w:val="21"/>
                <w:highlight w:val="none"/>
                <w:lang w:val="en-US" w:eastAsia="zh-CN"/>
              </w:rPr>
              <w:t>项目</w:t>
            </w:r>
          </w:p>
        </w:tc>
        <w:tc>
          <w:tcPr>
            <w:tcW w:w="6247" w:type="dxa"/>
            <w:noWrap w:val="0"/>
            <w:vAlign w:val="center"/>
          </w:tcPr>
          <w:p w14:paraId="4227B7A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类似项目是指：</w:t>
            </w:r>
            <w:r>
              <w:rPr>
                <w:rFonts w:hint="eastAsia" w:ascii="宋体" w:hAnsi="宋体" w:eastAsia="宋体" w:cs="宋体"/>
                <w:b/>
                <w:bCs/>
                <w:color w:val="auto"/>
                <w:szCs w:val="21"/>
                <w:highlight w:val="none"/>
              </w:rPr>
              <w:t>大型水库或大（1）型水闸工程（包括新建、改建、扩建、除险加固）的主体工程</w:t>
            </w:r>
          </w:p>
        </w:tc>
      </w:tr>
      <w:tr w14:paraId="3FB8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17D16DA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w:t>
            </w:r>
          </w:p>
        </w:tc>
        <w:tc>
          <w:tcPr>
            <w:tcW w:w="1827" w:type="dxa"/>
            <w:noWrap w:val="0"/>
            <w:vAlign w:val="center"/>
          </w:tcPr>
          <w:p w14:paraId="0F5AAA7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最高限价</w:t>
            </w:r>
          </w:p>
        </w:tc>
        <w:tc>
          <w:tcPr>
            <w:tcW w:w="6247" w:type="dxa"/>
            <w:noWrap w:val="0"/>
            <w:vAlign w:val="center"/>
          </w:tcPr>
          <w:p w14:paraId="3C549963">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本标段的最高限价为</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小写：</w:t>
            </w:r>
            <w:r>
              <w:rPr>
                <w:rFonts w:hint="eastAsia" w:ascii="宋体" w:hAnsi="宋体" w:eastAsia="宋体" w:cs="宋体"/>
                <w:b/>
                <w:bCs/>
                <w:color w:val="auto"/>
                <w:szCs w:val="21"/>
                <w:highlight w:val="none"/>
                <w:lang w:eastAsia="zh-CN"/>
              </w:rPr>
              <w:t>93862557.75</w:t>
            </w:r>
            <w:r>
              <w:rPr>
                <w:rFonts w:hint="eastAsia" w:ascii="宋体" w:hAnsi="宋体" w:eastAsia="宋体" w:cs="宋体"/>
                <w:b/>
                <w:bCs/>
                <w:color w:val="auto"/>
                <w:szCs w:val="21"/>
                <w:highlight w:val="none"/>
              </w:rPr>
              <w:t>元</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大写：玖仟叁佰捌拾陆万贰仟伍佰伍拾柒元柒角伍分</w:t>
            </w:r>
          </w:p>
          <w:p w14:paraId="0A930139">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投标报价超过最高限价</w:t>
            </w:r>
            <w:r>
              <w:rPr>
                <w:rFonts w:hint="eastAsia" w:ascii="宋体" w:hAnsi="宋体" w:eastAsia="宋体" w:cs="宋体"/>
                <w:b/>
                <w:bCs/>
                <w:color w:val="auto"/>
                <w:szCs w:val="21"/>
                <w:highlight w:val="none"/>
                <w:lang w:val="en-US" w:eastAsia="zh-CN"/>
              </w:rPr>
              <w:t>或未按规定计取施工安全生产专项费</w:t>
            </w:r>
            <w:r>
              <w:rPr>
                <w:rFonts w:hint="eastAsia" w:ascii="宋体" w:hAnsi="宋体" w:eastAsia="宋体" w:cs="宋体"/>
                <w:b/>
                <w:bCs/>
                <w:color w:val="auto"/>
                <w:szCs w:val="21"/>
                <w:highlight w:val="none"/>
              </w:rPr>
              <w:t>的按无效标处理。</w:t>
            </w:r>
          </w:p>
        </w:tc>
      </w:tr>
      <w:tr w14:paraId="5937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129A5C11">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lang w:val="en-US" w:eastAsia="zh-CN"/>
              </w:rPr>
              <w:t>4</w:t>
            </w:r>
          </w:p>
        </w:tc>
        <w:tc>
          <w:tcPr>
            <w:tcW w:w="1827" w:type="dxa"/>
            <w:noWrap w:val="0"/>
            <w:vAlign w:val="center"/>
          </w:tcPr>
          <w:p w14:paraId="1E1AF7DD">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中标后</w:t>
            </w:r>
            <w:r>
              <w:rPr>
                <w:rFonts w:hint="eastAsia" w:ascii="宋体" w:hAnsi="宋体" w:eastAsia="宋体" w:cs="宋体"/>
                <w:color w:val="auto"/>
                <w:szCs w:val="21"/>
                <w:highlight w:val="none"/>
                <w:lang w:eastAsia="zh-CN"/>
              </w:rPr>
              <w:t>需提交</w:t>
            </w:r>
            <w:r>
              <w:rPr>
                <w:rFonts w:hint="eastAsia" w:ascii="宋体" w:hAnsi="宋体" w:eastAsia="宋体" w:cs="宋体"/>
                <w:color w:val="auto"/>
                <w:szCs w:val="21"/>
                <w:highlight w:val="none"/>
              </w:rPr>
              <w:t>的投标文件</w:t>
            </w:r>
          </w:p>
        </w:tc>
        <w:tc>
          <w:tcPr>
            <w:tcW w:w="6247" w:type="dxa"/>
            <w:noWrap w:val="0"/>
            <w:vAlign w:val="center"/>
          </w:tcPr>
          <w:p w14:paraId="28D1EBDE">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与上传的电子投标文件内容完全相同的纸质投标文件</w:t>
            </w:r>
            <w:r>
              <w:rPr>
                <w:rFonts w:hint="eastAsia" w:ascii="宋体" w:hAnsi="宋体" w:eastAsia="宋体" w:cs="宋体"/>
                <w:color w:val="auto"/>
                <w:szCs w:val="21"/>
                <w:highlight w:val="none"/>
                <w:lang w:val="en-US" w:eastAsia="zh-CN"/>
              </w:rPr>
              <w:t>（份数及形式以招标人实际通知为准）。</w:t>
            </w:r>
          </w:p>
        </w:tc>
      </w:tr>
      <w:tr w14:paraId="3690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795FF830">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10.5</w:t>
            </w:r>
          </w:p>
        </w:tc>
        <w:tc>
          <w:tcPr>
            <w:tcW w:w="1827" w:type="dxa"/>
            <w:noWrap w:val="0"/>
            <w:vAlign w:val="center"/>
          </w:tcPr>
          <w:p w14:paraId="787006B8">
            <w:pPr>
              <w:keepNext w:val="0"/>
              <w:keepLines w:val="0"/>
              <w:pageBreakBefore w:val="0"/>
              <w:widowControl/>
              <w:suppressLineNumbers w:val="0"/>
              <w:kinsoku/>
              <w:wordWrap/>
              <w:overflowPunct/>
              <w:topLinePunct w:val="0"/>
              <w:autoSpaceDE w:val="0"/>
              <w:autoSpaceDN w:val="0"/>
              <w:bidi w:val="0"/>
              <w:snapToGrid/>
              <w:spacing w:before="0" w:beforeAutospacing="0" w:after="0" w:afterAutospacing="0" w:line="360" w:lineRule="auto"/>
              <w:ind w:left="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农民工工资保证金</w:t>
            </w:r>
          </w:p>
        </w:tc>
        <w:tc>
          <w:tcPr>
            <w:tcW w:w="6247" w:type="dxa"/>
            <w:noWrap w:val="0"/>
            <w:vAlign w:val="center"/>
          </w:tcPr>
          <w:p w14:paraId="7994329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left"/>
              <w:textAlignment w:val="auto"/>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施工单位（中标人）</w:t>
            </w:r>
            <w:r>
              <w:rPr>
                <w:rFonts w:hint="eastAsia" w:ascii="宋体" w:hAnsi="宋体" w:eastAsia="宋体" w:cs="宋体"/>
                <w:b w:val="0"/>
                <w:bCs w:val="0"/>
                <w:i w:val="0"/>
                <w:iCs w:val="0"/>
                <w:color w:val="auto"/>
                <w:kern w:val="2"/>
                <w:sz w:val="21"/>
                <w:szCs w:val="21"/>
                <w:highlight w:val="none"/>
                <w:u w:val="none"/>
                <w:lang w:val="en-US" w:eastAsia="zh-CN" w:bidi="ar-SA"/>
              </w:rPr>
              <w:t>应按《河南省工程建设领域农民工工资保证金实施办法》（豫人社规〔2022〕4号）规定缴纳或储存农民工工资保证金，专项用于支付本项目农民工工资，并承诺保证不拖欠农民工工资，一旦其承包的工程项目中出现拖欠农民工工资情况的，可由招标人从其保证金中预先列支。由投标人在投标文件中承诺。</w:t>
            </w:r>
          </w:p>
          <w:p w14:paraId="0B5C8EC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left"/>
              <w:textAlignment w:val="auto"/>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2"/>
                <w:sz w:val="21"/>
                <w:szCs w:val="21"/>
                <w:highlight w:val="none"/>
                <w:u w:val="none"/>
                <w:lang w:val="en-US" w:eastAsia="zh-CN" w:bidi="ar-SA"/>
              </w:rPr>
              <w:t>金额（比例）：签约合同价的2%；</w:t>
            </w:r>
          </w:p>
          <w:p w14:paraId="18D3F0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2"/>
                <w:sz w:val="21"/>
                <w:szCs w:val="21"/>
                <w:highlight w:val="none"/>
                <w:u w:val="none"/>
                <w:lang w:val="en-US" w:eastAsia="zh-CN" w:bidi="ar-SA"/>
              </w:rPr>
              <w:t>形式：现金转账或保函；</w:t>
            </w:r>
          </w:p>
          <w:p w14:paraId="10C2149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left"/>
              <w:textAlignment w:val="auto"/>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2"/>
                <w:sz w:val="21"/>
                <w:szCs w:val="21"/>
                <w:highlight w:val="none"/>
                <w:u w:val="none"/>
                <w:lang w:val="en-US" w:eastAsia="zh-CN" w:bidi="ar-SA"/>
              </w:rPr>
              <w:t>注：①属于《河南省工程建设领域农民工工资保证金实施办法》（豫人社规〔2022〕4号）办法规定的免除储存工资保证金情形的或储存比例下浮或储存比例上浮情形的，以该工程实际发生或符合的情形为准。②农民工工资保证金的缴纳返还时间及返还金额以《河南省工程建设领域农民工工资保证金实施办法》（豫人社规〔2022〕4号）办法规定为准。③按照《河南省工程建设领域农民工工资专用账户管理实施细则》《河南省工程建设领域农民工工资保证金实施办法》和《河南省水利厅关于规范设置水利工程建设项目农民工维权信息告示牌的通知》要求，严格落实专用账户、实名制管理、银行代发、工资保证金、维权信息公示等制度。</w:t>
            </w:r>
          </w:p>
        </w:tc>
      </w:tr>
      <w:tr w14:paraId="2203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4DED463B">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10.6</w:t>
            </w:r>
          </w:p>
        </w:tc>
        <w:tc>
          <w:tcPr>
            <w:tcW w:w="1827" w:type="dxa"/>
            <w:noWrap w:val="0"/>
            <w:vAlign w:val="center"/>
          </w:tcPr>
          <w:p w14:paraId="3D9B3712">
            <w:pPr>
              <w:keepNext w:val="0"/>
              <w:keepLines w:val="0"/>
              <w:pageBreakBefore w:val="0"/>
              <w:widowControl/>
              <w:suppressLineNumbers w:val="0"/>
              <w:kinsoku/>
              <w:wordWrap/>
              <w:overflowPunct/>
              <w:topLinePunct w:val="0"/>
              <w:bidi w:val="0"/>
              <w:snapToGrid/>
              <w:spacing w:before="0" w:beforeAutospacing="0" w:after="0" w:afterAutospacing="0" w:line="360" w:lineRule="auto"/>
              <w:ind w:left="105" w:leftChars="50" w:right="0"/>
              <w:jc w:val="center"/>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原件</w:t>
            </w:r>
          </w:p>
        </w:tc>
        <w:tc>
          <w:tcPr>
            <w:tcW w:w="6247" w:type="dxa"/>
            <w:noWrap w:val="0"/>
            <w:vAlign w:val="center"/>
          </w:tcPr>
          <w:p w14:paraId="01341E5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投标人无需到达现场提交原件资料。</w:t>
            </w:r>
            <w:r>
              <w:rPr>
                <w:rFonts w:hint="eastAsia" w:ascii="宋体" w:hAnsi="宋体" w:eastAsia="宋体" w:cs="宋体"/>
                <w:b/>
                <w:bCs/>
                <w:i w:val="0"/>
                <w:iCs w:val="0"/>
                <w:color w:val="auto"/>
                <w:kern w:val="2"/>
                <w:sz w:val="21"/>
                <w:szCs w:val="21"/>
                <w:highlight w:val="none"/>
                <w:lang w:val="en-US" w:eastAsia="zh-CN" w:bidi="ar-SA"/>
              </w:rPr>
              <w:t>投标人自行对此次投标提供的所有资料和证明文件等材料的真实性负责，若弄虚作假被查实，承担相应法律责任，并按规定接受相关处罚，如中标，中标结果无效。</w:t>
            </w:r>
          </w:p>
        </w:tc>
      </w:tr>
      <w:tr w14:paraId="4FCF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09487E2E">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210" w:firstLineChars="1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10.7</w:t>
            </w:r>
          </w:p>
          <w:p w14:paraId="796D2EC9">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textAlignment w:val="auto"/>
              <w:rPr>
                <w:rFonts w:hint="eastAsia" w:ascii="宋体" w:hAnsi="宋体" w:eastAsia="宋体" w:cs="宋体"/>
                <w:color w:val="auto"/>
                <w:kern w:val="2"/>
                <w:sz w:val="21"/>
                <w:szCs w:val="21"/>
                <w:highlight w:val="none"/>
                <w:lang w:val="en-US" w:eastAsia="zh-CN" w:bidi="ar-SA"/>
              </w:rPr>
            </w:pPr>
          </w:p>
        </w:tc>
        <w:tc>
          <w:tcPr>
            <w:tcW w:w="1827" w:type="dxa"/>
            <w:noWrap w:val="0"/>
            <w:vAlign w:val="center"/>
          </w:tcPr>
          <w:p w14:paraId="64712EAB">
            <w:pPr>
              <w:keepNext w:val="0"/>
              <w:keepLines w:val="0"/>
              <w:pageBreakBefore w:val="0"/>
              <w:widowControl/>
              <w:suppressLineNumbers w:val="0"/>
              <w:kinsoku/>
              <w:wordWrap/>
              <w:overflowPunct/>
              <w:topLinePunct w:val="0"/>
              <w:bidi w:val="0"/>
              <w:snapToGrid/>
              <w:spacing w:before="0" w:beforeAutospacing="0" w:after="0" w:afterAutospacing="0" w:line="360" w:lineRule="auto"/>
              <w:ind w:left="105" w:leftChars="50" w:right="0"/>
              <w:jc w:val="center"/>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远程开标事项说明</w:t>
            </w:r>
          </w:p>
        </w:tc>
        <w:tc>
          <w:tcPr>
            <w:tcW w:w="6247" w:type="dxa"/>
            <w:noWrap w:val="0"/>
            <w:vAlign w:val="center"/>
          </w:tcPr>
          <w:p w14:paraId="36E5E58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（1）本项目采用电子化进行招标。投标人应当在投标文件递交截止时间前，在线准时参加开标活动并进行文件解密、答疑澄清等。</w:t>
            </w:r>
          </w:p>
          <w:p w14:paraId="2BF83756">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（2）因投标人自身原因而导致投标文件无法导入电子招标投标交易平台电子开标、评标系统，该投标视为无效投标，投标人自行承担由此导致的全部责任。</w:t>
            </w:r>
          </w:p>
          <w:p w14:paraId="15D8972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（3）若在整个投标、开标、评标等招标过程中，由于系统异常出现特殊情况时，招标人将上报监督部门，依据监督部门意见暂停或推迟投标、开标、评标等招标事宜。</w:t>
            </w:r>
          </w:p>
          <w:p w14:paraId="302B2077">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（4）本项目在驻马店市公共资源交易平台实施网上招投标，具体操作流程请登录驻马店市公共资源交易平台网站电子交易平台查看。</w:t>
            </w:r>
          </w:p>
          <w:p w14:paraId="4141A5C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outlineLvl w:val="9"/>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注：上述内容描述如有新变化，应根据驻马店市公共资源交易平台最新规定执行。</w:t>
            </w:r>
          </w:p>
        </w:tc>
      </w:tr>
      <w:tr w14:paraId="366E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3719808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10.8</w:t>
            </w:r>
          </w:p>
        </w:tc>
        <w:tc>
          <w:tcPr>
            <w:tcW w:w="1827" w:type="dxa"/>
            <w:noWrap w:val="0"/>
            <w:vAlign w:val="center"/>
          </w:tcPr>
          <w:p w14:paraId="66D374D8">
            <w:pPr>
              <w:keepNext w:val="0"/>
              <w:keepLines w:val="0"/>
              <w:pageBreakBefore w:val="0"/>
              <w:widowControl/>
              <w:suppressLineNumbers w:val="0"/>
              <w:kinsoku/>
              <w:wordWrap/>
              <w:overflowPunct/>
              <w:topLinePunct w:val="0"/>
              <w:bidi w:val="0"/>
              <w:snapToGrid/>
              <w:spacing w:before="260" w:beforeAutospacing="0" w:after="260" w:afterAutospacing="0" w:line="360" w:lineRule="auto"/>
              <w:ind w:left="0" w:right="0"/>
              <w:jc w:val="center"/>
              <w:textAlignment w:val="auto"/>
              <w:outlineLvl w:val="1"/>
              <w:rPr>
                <w:rFonts w:hint="eastAsia" w:ascii="宋体" w:hAnsi="宋体" w:eastAsia="宋体" w:cs="宋体"/>
                <w:b w:val="0"/>
                <w:bCs w:val="0"/>
                <w:color w:val="auto"/>
                <w:kern w:val="2"/>
                <w:sz w:val="21"/>
                <w:szCs w:val="21"/>
                <w:highlight w:val="none"/>
                <w:lang w:val="en-US" w:eastAsia="zh-CN" w:bidi="ar-SA"/>
              </w:rPr>
            </w:pPr>
            <w:bookmarkStart w:id="64" w:name="_Toc10864"/>
            <w:bookmarkStart w:id="65" w:name="_Toc21563"/>
            <w:bookmarkStart w:id="66" w:name="_Toc28742"/>
            <w:bookmarkStart w:id="67" w:name="_Toc31576"/>
            <w:bookmarkStart w:id="68" w:name="_Toc13107"/>
            <w:bookmarkStart w:id="69" w:name="_Toc21114"/>
            <w:bookmarkStart w:id="70" w:name="_Toc10883"/>
            <w:bookmarkStart w:id="71" w:name="_Toc17276"/>
            <w:bookmarkStart w:id="72" w:name="_Toc6322"/>
            <w:r>
              <w:rPr>
                <w:rFonts w:hint="eastAsia" w:ascii="宋体" w:hAnsi="宋体" w:eastAsia="宋体" w:cs="宋体"/>
                <w:b w:val="0"/>
                <w:bCs w:val="0"/>
                <w:color w:val="auto"/>
                <w:kern w:val="2"/>
                <w:sz w:val="21"/>
                <w:szCs w:val="21"/>
                <w:highlight w:val="none"/>
                <w:lang w:val="en-US" w:eastAsia="zh-CN" w:bidi="ar-SA"/>
              </w:rPr>
              <w:t>招标代理服务费</w:t>
            </w:r>
            <w:bookmarkEnd w:id="64"/>
            <w:bookmarkEnd w:id="65"/>
            <w:bookmarkEnd w:id="66"/>
            <w:bookmarkEnd w:id="67"/>
            <w:bookmarkEnd w:id="68"/>
            <w:bookmarkEnd w:id="69"/>
            <w:bookmarkEnd w:id="70"/>
            <w:bookmarkEnd w:id="71"/>
            <w:bookmarkEnd w:id="72"/>
          </w:p>
        </w:tc>
        <w:tc>
          <w:tcPr>
            <w:tcW w:w="6247" w:type="dxa"/>
            <w:noWrap w:val="0"/>
            <w:vAlign w:val="center"/>
          </w:tcPr>
          <w:p w14:paraId="16693947">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auto"/>
              <w:outlineLvl w:val="1"/>
              <w:rPr>
                <w:rFonts w:hint="eastAsia" w:ascii="宋体" w:hAnsi="宋体" w:eastAsia="宋体" w:cs="宋体"/>
                <w:b w:val="0"/>
                <w:bCs w:val="0"/>
                <w:color w:val="auto"/>
                <w:kern w:val="2"/>
                <w:sz w:val="21"/>
                <w:szCs w:val="21"/>
                <w:highlight w:val="none"/>
                <w:lang w:val="en-US" w:eastAsia="zh-CN" w:bidi="ar-SA"/>
              </w:rPr>
            </w:pPr>
            <w:bookmarkStart w:id="73" w:name="_Toc3880"/>
            <w:r>
              <w:rPr>
                <w:rFonts w:hint="eastAsia" w:ascii="宋体" w:hAnsi="宋体" w:eastAsia="宋体" w:cs="宋体"/>
                <w:b w:val="0"/>
                <w:bCs/>
                <w:color w:val="auto"/>
                <w:kern w:val="2"/>
                <w:sz w:val="21"/>
                <w:szCs w:val="21"/>
                <w:highlight w:val="none"/>
                <w:lang w:val="en-US" w:eastAsia="zh-CN" w:bidi="ar-SA"/>
              </w:rPr>
              <w:t>按照合同约定执行</w:t>
            </w:r>
            <w:bookmarkEnd w:id="73"/>
          </w:p>
        </w:tc>
      </w:tr>
      <w:tr w14:paraId="3CA74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5D566A4E">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leftChars="0" w:right="0" w:right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10.9</w:t>
            </w:r>
          </w:p>
        </w:tc>
        <w:tc>
          <w:tcPr>
            <w:tcW w:w="1827" w:type="dxa"/>
            <w:noWrap w:val="0"/>
            <w:vAlign w:val="center"/>
          </w:tcPr>
          <w:p w14:paraId="7489212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105" w:leftChars="50" w:right="0"/>
              <w:jc w:val="center"/>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投标保证金退还事项说明</w:t>
            </w:r>
          </w:p>
        </w:tc>
        <w:tc>
          <w:tcPr>
            <w:tcW w:w="6247" w:type="dxa"/>
            <w:noWrap w:val="0"/>
            <w:vAlign w:val="top"/>
          </w:tcPr>
          <w:p w14:paraId="53CD6AC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投标保证金退还事项说明详见驻马店市公共资源交易平台的相关规定。</w:t>
            </w:r>
          </w:p>
        </w:tc>
      </w:tr>
      <w:tr w14:paraId="0E64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7" w:hRule="atLeast"/>
        </w:trPr>
        <w:tc>
          <w:tcPr>
            <w:tcW w:w="1125" w:type="dxa"/>
            <w:noWrap w:val="0"/>
            <w:vAlign w:val="center"/>
          </w:tcPr>
          <w:p w14:paraId="103F710D">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10.11</w:t>
            </w:r>
          </w:p>
        </w:tc>
        <w:tc>
          <w:tcPr>
            <w:tcW w:w="1827" w:type="dxa"/>
            <w:noWrap w:val="0"/>
            <w:vAlign w:val="center"/>
          </w:tcPr>
          <w:p w14:paraId="2D66909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评定分离规定</w:t>
            </w:r>
          </w:p>
        </w:tc>
        <w:tc>
          <w:tcPr>
            <w:tcW w:w="6247" w:type="dxa"/>
            <w:noWrap w:val="0"/>
            <w:vAlign w:val="top"/>
          </w:tcPr>
          <w:p w14:paraId="2A862356">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本项目采用评定分离方式确定中标人，评标委员会按照招标文件规定的方法和数量推荐中标候选人。招标人在收到评标报告后10日内完成定标工作。</w:t>
            </w:r>
          </w:p>
          <w:p w14:paraId="3D289DB2">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定标方法：核查随机法。</w:t>
            </w:r>
          </w:p>
        </w:tc>
      </w:tr>
      <w:tr w14:paraId="700B2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7" w:hRule="atLeast"/>
        </w:trPr>
        <w:tc>
          <w:tcPr>
            <w:tcW w:w="1125" w:type="dxa"/>
            <w:noWrap w:val="0"/>
            <w:vAlign w:val="center"/>
          </w:tcPr>
          <w:p w14:paraId="581DF20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bookmarkStart w:id="74" w:name="_Toc144974497"/>
            <w:bookmarkStart w:id="75" w:name="_Toc221950083"/>
            <w:bookmarkStart w:id="76" w:name="_Toc168476047"/>
            <w:bookmarkStart w:id="77" w:name="_Toc222029482"/>
            <w:bookmarkStart w:id="78" w:name="_Toc229305342"/>
            <w:bookmarkStart w:id="79" w:name="_Toc168475644"/>
            <w:bookmarkStart w:id="80" w:name="_Toc222030984"/>
            <w:bookmarkStart w:id="81" w:name="_Toc222032651"/>
            <w:bookmarkStart w:id="82" w:name="_Toc222033833"/>
            <w:r>
              <w:rPr>
                <w:rFonts w:hint="eastAsia" w:ascii="宋体" w:hAnsi="宋体" w:eastAsia="宋体" w:cs="宋体"/>
                <w:b/>
                <w:bCs/>
                <w:color w:val="auto"/>
                <w:kern w:val="2"/>
                <w:sz w:val="21"/>
                <w:szCs w:val="21"/>
                <w:highlight w:val="none"/>
                <w:lang w:val="en-US" w:eastAsia="zh-CN" w:bidi="ar-SA"/>
              </w:rPr>
              <w:t>10.12</w:t>
            </w:r>
          </w:p>
        </w:tc>
        <w:tc>
          <w:tcPr>
            <w:tcW w:w="1827" w:type="dxa"/>
            <w:noWrap w:val="0"/>
            <w:vAlign w:val="center"/>
          </w:tcPr>
          <w:p w14:paraId="630EAD8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施工安全生产专项</w:t>
            </w:r>
          </w:p>
        </w:tc>
        <w:tc>
          <w:tcPr>
            <w:tcW w:w="6247" w:type="dxa"/>
            <w:noWrap w:val="0"/>
            <w:vAlign w:val="top"/>
          </w:tcPr>
          <w:p w14:paraId="2354AFF3">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val="0"/>
                <w:bCs w:val="0"/>
                <w:i w:val="0"/>
                <w:iCs w:val="0"/>
                <w:caps w:val="0"/>
                <w:color w:val="auto"/>
                <w:spacing w:val="0"/>
                <w:kern w:val="0"/>
                <w:sz w:val="21"/>
                <w:szCs w:val="21"/>
                <w:highlight w:val="none"/>
                <w:shd w:val="clear" w:color="auto" w:fill="auto"/>
                <w:lang w:val="en-US" w:eastAsia="zh-CN" w:bidi="ar"/>
              </w:rPr>
              <w:t>本项目施工安全生产专项费按照《河南省水利厅关于加强水利工程施工安全生产专项计列使用管理的通知》（豫水建【2025】11号）实施。未按规定计列、未按规定提供安全生产专项费使用方案的按无效标处理。</w:t>
            </w:r>
          </w:p>
        </w:tc>
      </w:tr>
      <w:tr w14:paraId="2981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328FA6B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10.13</w:t>
            </w:r>
          </w:p>
        </w:tc>
        <w:tc>
          <w:tcPr>
            <w:tcW w:w="1827" w:type="dxa"/>
            <w:noWrap w:val="0"/>
            <w:vAlign w:val="center"/>
          </w:tcPr>
          <w:p w14:paraId="4A19A5E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w:t>
            </w:r>
          </w:p>
        </w:tc>
        <w:tc>
          <w:tcPr>
            <w:tcW w:w="6247" w:type="dxa"/>
            <w:noWrap w:val="0"/>
            <w:vAlign w:val="center"/>
          </w:tcPr>
          <w:p w14:paraId="7798DAAD">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遵照驻马店市公共资源交易平台规定。</w:t>
            </w:r>
          </w:p>
        </w:tc>
      </w:tr>
      <w:tr w14:paraId="07FF7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3EBF701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10.14</w:t>
            </w:r>
          </w:p>
        </w:tc>
        <w:tc>
          <w:tcPr>
            <w:tcW w:w="1827" w:type="dxa"/>
            <w:noWrap w:val="0"/>
            <w:vAlign w:val="center"/>
          </w:tcPr>
          <w:p w14:paraId="078C47F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资格审查资料的特殊要求</w:t>
            </w:r>
          </w:p>
        </w:tc>
        <w:tc>
          <w:tcPr>
            <w:tcW w:w="6247" w:type="dxa"/>
            <w:noWrap w:val="0"/>
            <w:vAlign w:val="center"/>
          </w:tcPr>
          <w:p w14:paraId="45DF941E">
            <w:pPr>
              <w:keepNext w:val="0"/>
              <w:keepLines w:val="0"/>
              <w:widowControl w:val="0"/>
              <w:numPr>
                <w:ilvl w:val="0"/>
                <w:numId w:val="0"/>
              </w:numPr>
              <w:suppressLineNumbers w:val="0"/>
              <w:wordWrap/>
              <w:autoSpaceDE w:val="0"/>
              <w:autoSpaceDN w:val="0"/>
              <w:adjustRightInd w:val="0"/>
              <w:snapToGrid/>
              <w:spacing w:before="0" w:beforeAutospacing="0" w:after="0" w:afterAutospacing="0" w:line="360" w:lineRule="auto"/>
              <w:ind w:left="0" w:right="0"/>
              <w:outlineLvl w:val="9"/>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投标人无需递交纸质投标文件及原件，投标企业应在项目开标前，将项目经理、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及“资格审查材料（不见面开标）”菜单中选取的信息为准。</w:t>
            </w:r>
          </w:p>
          <w:p w14:paraId="01A6579B">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（注：各投标企业应如实填报诚信库信息，因交易主体自行填报信息的错误、缺项、虚假而造成的后果由交易主体自行承担。）</w:t>
            </w:r>
          </w:p>
        </w:tc>
      </w:tr>
      <w:tr w14:paraId="23D39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599E5B0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10.15</w:t>
            </w:r>
          </w:p>
        </w:tc>
        <w:tc>
          <w:tcPr>
            <w:tcW w:w="1827" w:type="dxa"/>
            <w:noWrap w:val="0"/>
            <w:vAlign w:val="center"/>
          </w:tcPr>
          <w:p w14:paraId="2D3D5485">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不良行为记录</w:t>
            </w:r>
          </w:p>
        </w:tc>
        <w:tc>
          <w:tcPr>
            <w:tcW w:w="6247" w:type="dxa"/>
            <w:noWrap w:val="0"/>
            <w:vAlign w:val="center"/>
          </w:tcPr>
          <w:p w14:paraId="327AA731">
            <w:pPr>
              <w:keepNext w:val="0"/>
              <w:keepLines w:val="0"/>
              <w:widowControl/>
              <w:suppressLineNumbers w:val="0"/>
              <w:wordWrap w:val="0"/>
              <w:adjustRightInd w:val="0"/>
              <w:snapToGrid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Cs w:val="21"/>
                <w:highlight w:val="none"/>
              </w:rPr>
              <w:t>不良行为记录是指：不良行为记录是指违反有关工程建设的法律、法规、规章或强制性标准，经县级以上</w:t>
            </w:r>
            <w:r>
              <w:rPr>
                <w:rFonts w:hint="eastAsia" w:ascii="宋体" w:hAnsi="宋体" w:eastAsia="宋体" w:cs="宋体"/>
                <w:color w:val="auto"/>
                <w:szCs w:val="21"/>
                <w:highlight w:val="none"/>
                <w:lang w:val="en-US" w:eastAsia="zh-CN"/>
              </w:rPr>
              <w:t>水</w:t>
            </w:r>
            <w:r>
              <w:rPr>
                <w:rFonts w:hint="eastAsia" w:ascii="宋体" w:hAnsi="宋体" w:eastAsia="宋体" w:cs="宋体"/>
                <w:color w:val="auto"/>
                <w:szCs w:val="21"/>
                <w:highlight w:val="none"/>
              </w:rPr>
              <w:t>行政主管部门或其委托的执法监督机构查实和行政处罚，形成的不良行为记录</w:t>
            </w:r>
            <w:r>
              <w:rPr>
                <w:rFonts w:hint="eastAsia" w:ascii="宋体" w:hAnsi="宋体" w:eastAsia="宋体" w:cs="宋体"/>
                <w:color w:val="auto"/>
                <w:szCs w:val="21"/>
                <w:highlight w:val="none"/>
                <w:lang w:eastAsia="zh-CN"/>
              </w:rPr>
              <w:t>。</w:t>
            </w:r>
          </w:p>
        </w:tc>
      </w:tr>
      <w:tr w14:paraId="5E88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6217281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10.16</w:t>
            </w:r>
          </w:p>
        </w:tc>
        <w:tc>
          <w:tcPr>
            <w:tcW w:w="1827" w:type="dxa"/>
            <w:noWrap w:val="0"/>
            <w:vAlign w:val="center"/>
          </w:tcPr>
          <w:p w14:paraId="02F73D6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特别说明</w:t>
            </w:r>
          </w:p>
        </w:tc>
        <w:tc>
          <w:tcPr>
            <w:tcW w:w="6247" w:type="dxa"/>
            <w:noWrap w:val="0"/>
            <w:vAlign w:val="top"/>
          </w:tcPr>
          <w:p w14:paraId="7391F960">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（1）投标人在全国水利建设市场监管平台公开的信用信息隐瞒真实情况、弄虚作假或提交的相关证明材料弄虚作假被查实的，取消其中标候选人、中标人资格，并按有关规定进行处理。</w:t>
            </w:r>
          </w:p>
          <w:p w14:paraId="5E7209CA">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（2）网页查询</w:t>
            </w:r>
            <w:r>
              <w:rPr>
                <w:rFonts w:hint="eastAsia" w:ascii="宋体" w:hAnsi="宋体" w:eastAsia="宋体" w:cs="宋体"/>
                <w:color w:val="auto"/>
                <w:kern w:val="2"/>
                <w:sz w:val="21"/>
                <w:szCs w:val="21"/>
                <w:highlight w:val="none"/>
                <w:lang w:val="en-US" w:eastAsia="zh-CN" w:bidi="ar-SA"/>
              </w:rPr>
              <w:t>如遇网址或者查询菜单（搜索栏）、功能、内容等有调整或变化，可以提供调整或变化后的查询证明材料。</w:t>
            </w:r>
          </w:p>
          <w:p w14:paraId="6946817B">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r>
              <w:rPr>
                <w:rFonts w:hint="eastAsia" w:ascii="宋体" w:hAnsi="宋体" w:eastAsia="宋体" w:cs="宋体"/>
                <w:b/>
                <w:bCs/>
                <w:color w:val="auto"/>
                <w:kern w:val="2"/>
                <w:sz w:val="21"/>
                <w:szCs w:val="21"/>
                <w:highlight w:val="none"/>
                <w:lang w:val="en-US" w:eastAsia="zh-CN" w:bidi="ar-SA"/>
              </w:rPr>
              <w:t>本投标须知前附表是对投标人须知正文的具体补充和修改，如有不一致的，均以本表为准。</w:t>
            </w:r>
          </w:p>
        </w:tc>
      </w:tr>
      <w:tr w14:paraId="36D6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199" w:type="dxa"/>
            <w:gridSpan w:val="3"/>
            <w:noWrap w:val="0"/>
            <w:vAlign w:val="center"/>
          </w:tcPr>
          <w:p w14:paraId="13431CE8">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温馨提示：投标文件资料中涉及有关全国水利建设市场监管平台信息内容应完全展开显示（如人员、业绩等），投标人可在提供的证明材料上用记号笔等形式予以标注。</w:t>
            </w:r>
          </w:p>
        </w:tc>
      </w:tr>
    </w:tbl>
    <w:p w14:paraId="36145AD0">
      <w:pPr>
        <w:widowControl/>
        <w:spacing w:before="0" w:after="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r>
    </w:p>
    <w:p w14:paraId="6230FC7F">
      <w:pPr>
        <w:widowControl w:val="0"/>
        <w:wordWrap w:val="0"/>
        <w:spacing w:before="0" w:beforeLines="0" w:after="0" w:line="360" w:lineRule="auto"/>
        <w:ind w:firstLine="0" w:firstLineChars="0"/>
        <w:jc w:val="left"/>
        <w:outlineLvl w:val="1"/>
        <w:rPr>
          <w:rFonts w:hint="eastAsia" w:ascii="宋体" w:hAnsi="宋体" w:eastAsia="宋体" w:cs="宋体"/>
          <w:b/>
          <w:bCs/>
          <w:color w:val="auto"/>
          <w:sz w:val="21"/>
          <w:szCs w:val="21"/>
          <w:highlight w:val="none"/>
          <w:lang w:val="en-US" w:eastAsia="zh-CN"/>
        </w:rPr>
      </w:pPr>
      <w:bookmarkStart w:id="83" w:name="_Toc1632"/>
      <w:r>
        <w:rPr>
          <w:rFonts w:hint="eastAsia" w:ascii="宋体" w:hAnsi="宋体" w:eastAsia="宋体" w:cs="宋体"/>
          <w:b/>
          <w:bCs/>
          <w:color w:val="auto"/>
          <w:sz w:val="21"/>
          <w:szCs w:val="21"/>
          <w:highlight w:val="none"/>
          <w:lang w:val="en-US" w:eastAsia="zh-CN"/>
        </w:rPr>
        <w:t>1.总则</w:t>
      </w:r>
      <w:bookmarkEnd w:id="83"/>
    </w:p>
    <w:bookmarkEnd w:id="74"/>
    <w:bookmarkEnd w:id="75"/>
    <w:bookmarkEnd w:id="76"/>
    <w:bookmarkEnd w:id="77"/>
    <w:bookmarkEnd w:id="78"/>
    <w:bookmarkEnd w:id="79"/>
    <w:bookmarkEnd w:id="80"/>
    <w:bookmarkEnd w:id="81"/>
    <w:bookmarkEnd w:id="82"/>
    <w:p w14:paraId="0B1B55C7">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84" w:name="_Toc221950086"/>
      <w:r>
        <w:rPr>
          <w:rFonts w:hint="eastAsia" w:ascii="宋体" w:hAnsi="宋体" w:eastAsia="宋体" w:cs="宋体"/>
          <w:b/>
          <w:bCs/>
          <w:color w:val="auto"/>
          <w:sz w:val="21"/>
          <w:szCs w:val="21"/>
          <w:highlight w:val="none"/>
        </w:rPr>
        <w:t>1.1 项目概况</w:t>
      </w:r>
    </w:p>
    <w:p w14:paraId="0ECC0F63">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根据《中华人民共和国招标投标法》等有关</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和规章的规定，本招标项目已具备招标条件，现对本标段施工进行招标。</w:t>
      </w:r>
    </w:p>
    <w:p w14:paraId="43FE17E5">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本招标项目招标人：见投标人须知前附表。</w:t>
      </w:r>
    </w:p>
    <w:p w14:paraId="7505CAC1">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本标段招标代理机构：见投标人须知前附表。</w:t>
      </w:r>
    </w:p>
    <w:p w14:paraId="03E3E8C4">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本招标项目名称</w:t>
      </w:r>
      <w:r>
        <w:rPr>
          <w:rFonts w:hint="eastAsia" w:ascii="宋体" w:hAnsi="宋体" w:eastAsia="宋体" w:cs="宋体"/>
          <w:color w:val="auto"/>
          <w:sz w:val="21"/>
          <w:szCs w:val="21"/>
          <w:highlight w:val="none"/>
          <w:lang w:val="en-US" w:eastAsia="zh-CN"/>
        </w:rPr>
        <w:t>及标段名称</w:t>
      </w:r>
      <w:r>
        <w:rPr>
          <w:rFonts w:hint="eastAsia" w:ascii="宋体" w:hAnsi="宋体" w:eastAsia="宋体" w:cs="宋体"/>
          <w:color w:val="auto"/>
          <w:sz w:val="21"/>
          <w:szCs w:val="21"/>
          <w:highlight w:val="none"/>
        </w:rPr>
        <w:t>：见投标人须知前附表。</w:t>
      </w:r>
    </w:p>
    <w:p w14:paraId="08AAC84B">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本标段建设地点：见投标人须知前附表。</w:t>
      </w:r>
    </w:p>
    <w:p w14:paraId="244219CB">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本招标项目现场管理机构：见投标人须知前附表。</w:t>
      </w:r>
    </w:p>
    <w:p w14:paraId="4E7A53FE">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bookmarkStart w:id="85" w:name="_Toc221950087"/>
      <w:r>
        <w:rPr>
          <w:rFonts w:hint="eastAsia" w:ascii="宋体" w:hAnsi="宋体" w:eastAsia="宋体" w:cs="宋体"/>
          <w:color w:val="auto"/>
          <w:sz w:val="21"/>
          <w:szCs w:val="21"/>
          <w:highlight w:val="none"/>
        </w:rPr>
        <w:t>1.1.7 本招标项目设计人：见投标人须知前附表。</w:t>
      </w:r>
      <w:bookmarkEnd w:id="85"/>
    </w:p>
    <w:p w14:paraId="7DE48A7C">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bookmarkStart w:id="86" w:name="_Toc221950088"/>
      <w:r>
        <w:rPr>
          <w:rFonts w:hint="eastAsia" w:ascii="宋体" w:hAnsi="宋体" w:eastAsia="宋体" w:cs="宋体"/>
          <w:color w:val="auto"/>
          <w:sz w:val="21"/>
          <w:szCs w:val="21"/>
          <w:highlight w:val="none"/>
        </w:rPr>
        <w:t>1.1.8 本招标项目监理人：见投标人须知前附表。</w:t>
      </w:r>
      <w:bookmarkEnd w:id="86"/>
    </w:p>
    <w:p w14:paraId="55D7AA5D">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bookmarkStart w:id="87" w:name="_Toc221950089"/>
      <w:r>
        <w:rPr>
          <w:rFonts w:hint="eastAsia" w:ascii="宋体" w:hAnsi="宋体" w:eastAsia="宋体" w:cs="宋体"/>
          <w:color w:val="auto"/>
          <w:sz w:val="21"/>
          <w:szCs w:val="21"/>
          <w:highlight w:val="none"/>
        </w:rPr>
        <w:t>1.1.9 本招标项目代建机构：见投标人须知前附表。</w:t>
      </w:r>
      <w:bookmarkEnd w:id="87"/>
    </w:p>
    <w:p w14:paraId="4F18E7BC">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88" w:name="_Toc186623593"/>
      <w:bookmarkStart w:id="89" w:name="_Toc186623280"/>
      <w:r>
        <w:rPr>
          <w:rFonts w:hint="eastAsia" w:ascii="宋体" w:hAnsi="宋体" w:eastAsia="宋体" w:cs="宋体"/>
          <w:b/>
          <w:bCs/>
          <w:color w:val="auto"/>
          <w:sz w:val="21"/>
          <w:szCs w:val="21"/>
          <w:highlight w:val="none"/>
        </w:rPr>
        <w:t>1.2 资金来源和落实情况</w:t>
      </w:r>
      <w:bookmarkEnd w:id="88"/>
      <w:bookmarkEnd w:id="89"/>
    </w:p>
    <w:p w14:paraId="7E2EE278">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本招标项目的资金来源：见投标人须知前附表。</w:t>
      </w:r>
    </w:p>
    <w:p w14:paraId="7A5B51AD">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本招标项目的出资比例：见投标人须知前附表。</w:t>
      </w:r>
    </w:p>
    <w:p w14:paraId="7D1C6DAC">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本招标项目的资金落实情况：见投标人须知前附表。</w:t>
      </w:r>
    </w:p>
    <w:p w14:paraId="3B8DDFA1">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90" w:name="_Toc186623594"/>
      <w:bookmarkStart w:id="91" w:name="_Toc186623281"/>
      <w:r>
        <w:rPr>
          <w:rFonts w:hint="eastAsia" w:ascii="宋体" w:hAnsi="宋体" w:eastAsia="宋体" w:cs="宋体"/>
          <w:b/>
          <w:bCs/>
          <w:color w:val="auto"/>
          <w:sz w:val="21"/>
          <w:szCs w:val="21"/>
          <w:highlight w:val="none"/>
        </w:rPr>
        <w:t>1.3 招标范围、计划工期和质量要求</w:t>
      </w:r>
      <w:bookmarkEnd w:id="90"/>
      <w:bookmarkEnd w:id="91"/>
    </w:p>
    <w:p w14:paraId="4C04FC06">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本次招标范围：见投标人须知前附表。</w:t>
      </w:r>
    </w:p>
    <w:p w14:paraId="69A46E49">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本标段的计划工期：见投标人须知前附表。</w:t>
      </w:r>
    </w:p>
    <w:p w14:paraId="1EC549B4">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本标段的质量要求：见投标人须知前附表。</w:t>
      </w:r>
    </w:p>
    <w:p w14:paraId="51AF45D6">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92" w:name="_Toc186623596"/>
      <w:bookmarkStart w:id="93" w:name="_Toc186623283"/>
      <w:r>
        <w:rPr>
          <w:rFonts w:hint="eastAsia" w:ascii="宋体" w:hAnsi="宋体" w:eastAsia="宋体" w:cs="宋体"/>
          <w:b/>
          <w:bCs/>
          <w:color w:val="auto"/>
          <w:sz w:val="21"/>
          <w:szCs w:val="21"/>
          <w:highlight w:val="none"/>
        </w:rPr>
        <w:t>1.4 投标人资格要求</w:t>
      </w:r>
      <w:bookmarkEnd w:id="92"/>
      <w:bookmarkEnd w:id="93"/>
    </w:p>
    <w:p w14:paraId="30044428">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投标人应具备承担本标段施工的资质条件、能力和信誉。</w:t>
      </w:r>
    </w:p>
    <w:p w14:paraId="203A5829">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（1）资质条件：见投标人须知前附表；</w:t>
      </w:r>
    </w:p>
    <w:p w14:paraId="44C60EB1">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项目经理要求：</w:t>
      </w:r>
      <w:r>
        <w:rPr>
          <w:rFonts w:hint="eastAsia" w:ascii="宋体" w:hAnsi="宋体" w:eastAsia="宋体" w:cs="宋体"/>
          <w:color w:val="auto"/>
          <w:sz w:val="21"/>
          <w:szCs w:val="21"/>
          <w:highlight w:val="none"/>
        </w:rPr>
        <w:t>见投标人须知前附表；</w:t>
      </w:r>
    </w:p>
    <w:p w14:paraId="163E1EA4">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财务要求：见投标人须知前附表；</w:t>
      </w:r>
    </w:p>
    <w:p w14:paraId="75ECF821">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监管平台要求</w:t>
      </w:r>
      <w:r>
        <w:rPr>
          <w:rFonts w:hint="eastAsia" w:ascii="宋体" w:hAnsi="宋体" w:eastAsia="宋体" w:cs="宋体"/>
          <w:color w:val="auto"/>
          <w:sz w:val="21"/>
          <w:szCs w:val="21"/>
          <w:highlight w:val="none"/>
        </w:rPr>
        <w:t>：见投标人须知前附表；</w:t>
      </w:r>
    </w:p>
    <w:p w14:paraId="54C48282">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）信誉要求：见投标人须知前附表</w:t>
      </w:r>
      <w:r>
        <w:rPr>
          <w:rFonts w:hint="eastAsia" w:ascii="宋体" w:hAnsi="宋体" w:eastAsia="宋体" w:cs="宋体"/>
          <w:color w:val="auto"/>
          <w:sz w:val="21"/>
          <w:szCs w:val="21"/>
          <w:highlight w:val="none"/>
          <w:lang w:eastAsia="zh-CN"/>
        </w:rPr>
        <w:t>；</w:t>
      </w:r>
    </w:p>
    <w:p w14:paraId="6670B986">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）其他要求：见投标人须知前附表。</w:t>
      </w:r>
    </w:p>
    <w:p w14:paraId="0CFDF0FF">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投标人须知前附表规定接受联合体投标的，联合体除应符合本章1.4.1项和投标人须知前附表的要求外，还应遵守以下规定：</w:t>
      </w:r>
    </w:p>
    <w:p w14:paraId="247CB7B6">
      <w:pPr>
        <w:widowControl w:val="0"/>
        <w:numPr>
          <w:ilvl w:val="0"/>
          <w:numId w:val="0"/>
        </w:numPr>
        <w:wordWrap w:val="0"/>
        <w:spacing w:before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联合体各方应按招标文件提供的格式签订联合体协议书，明确联合体牵头人和各方权利和义务，并承诺就中标项目向招标人承担连带责任；</w:t>
      </w:r>
    </w:p>
    <w:p w14:paraId="4DF32A90">
      <w:pPr>
        <w:widowControl w:val="0"/>
        <w:numPr>
          <w:ilvl w:val="0"/>
          <w:numId w:val="0"/>
        </w:numPr>
        <w:wordWrap w:val="0"/>
        <w:spacing w:beforeLines="0" w:line="360" w:lineRule="auto"/>
        <w:ind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由同一专业的单位组成的联合体，按照资质等级较低的单位确定资质等级；</w:t>
      </w:r>
    </w:p>
    <w:p w14:paraId="7EA36FE4">
      <w:pPr>
        <w:widowControl w:val="0"/>
        <w:numPr>
          <w:ilvl w:val="0"/>
          <w:numId w:val="0"/>
        </w:numPr>
        <w:wordWrap w:val="0"/>
        <w:spacing w:before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联合体各方不得再以自己名义单独或参加其他联合体在本招标项目中投标，否则各相关投标均无效。</w:t>
      </w:r>
    </w:p>
    <w:p w14:paraId="4BEACB99">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投标人不得存在下列情形之一：</w:t>
      </w:r>
    </w:p>
    <w:p w14:paraId="088E26B8">
      <w:pPr>
        <w:keepNext w:val="0"/>
        <w:keepLines w:val="0"/>
        <w:pageBreakBefore w:val="0"/>
        <w:widowControl w:val="0"/>
        <w:kinsoku/>
        <w:wordWrap w:val="0"/>
        <w:overflowPunct/>
        <w:topLinePunct w:val="0"/>
        <w:autoSpaceDE/>
        <w:autoSpaceDN/>
        <w:bidi w:val="0"/>
        <w:adjustRightInd/>
        <w:snapToGrid/>
        <w:spacing w:before="0" w:before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（1）为招标人不具有独立法人资格的附属机构（单位）；</w:t>
      </w:r>
    </w:p>
    <w:p w14:paraId="7BD0F252">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（2）为本标段前期准备提供设计或咨询服务的，但设计施工总承包的除外；</w:t>
      </w:r>
    </w:p>
    <w:p w14:paraId="6457A8CE">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（3）为本标段的监理人；</w:t>
      </w:r>
    </w:p>
    <w:p w14:paraId="6EA8C2B0">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（4）为本标段的代建人；</w:t>
      </w:r>
    </w:p>
    <w:p w14:paraId="1B7A83BD">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（5）为本标段提供招标代理服务的；</w:t>
      </w:r>
    </w:p>
    <w:p w14:paraId="3003D816">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（6）与本标段的监理人或代建人或招标代理机构同为一个法定代表人的；</w:t>
      </w:r>
    </w:p>
    <w:p w14:paraId="22CF04B9">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（7）与本标段的监理人或代建人或招标代理机构相互控股或参股的；</w:t>
      </w:r>
    </w:p>
    <w:p w14:paraId="57BD0175">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（8）与本标段的监理人或代建人或招标代理机构相互任职或工作的；</w:t>
      </w:r>
    </w:p>
    <w:p w14:paraId="42C67289">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（9）被责令停业的；</w:t>
      </w:r>
    </w:p>
    <w:p w14:paraId="089C65CA">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（10）被暂停或取消投标资格的；</w:t>
      </w:r>
    </w:p>
    <w:p w14:paraId="01B8F455">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（11）财产被接管的；</w:t>
      </w:r>
    </w:p>
    <w:p w14:paraId="1D112276">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（12）在最近三年内有骗取中标或严重违约或重大工程质量问题的。</w:t>
      </w:r>
    </w:p>
    <w:p w14:paraId="241C752A">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（13）单位负责人为同一人或者存在控股、管理关系的不同单位，不得参加同一标段投标或者未划分标段的同一招标项目投标。</w:t>
      </w:r>
    </w:p>
    <w:p w14:paraId="4B6404CF">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94" w:name="_Toc186623284"/>
      <w:bookmarkStart w:id="95" w:name="_Toc186623597"/>
      <w:r>
        <w:rPr>
          <w:rFonts w:hint="eastAsia" w:ascii="宋体" w:hAnsi="宋体" w:eastAsia="宋体" w:cs="宋体"/>
          <w:b/>
          <w:bCs/>
          <w:color w:val="auto"/>
          <w:sz w:val="21"/>
          <w:szCs w:val="21"/>
          <w:highlight w:val="none"/>
        </w:rPr>
        <w:t>1.5 费用承担</w:t>
      </w:r>
      <w:bookmarkEnd w:id="94"/>
      <w:bookmarkEnd w:id="95"/>
    </w:p>
    <w:p w14:paraId="2A49A478">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74AC0089">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96" w:name="_Toc186623598"/>
      <w:bookmarkStart w:id="97" w:name="_Toc186623285"/>
      <w:r>
        <w:rPr>
          <w:rFonts w:hint="eastAsia" w:ascii="宋体" w:hAnsi="宋体" w:eastAsia="宋体" w:cs="宋体"/>
          <w:b/>
          <w:bCs/>
          <w:color w:val="auto"/>
          <w:sz w:val="21"/>
          <w:szCs w:val="21"/>
          <w:highlight w:val="none"/>
        </w:rPr>
        <w:t>1.6 保密</w:t>
      </w:r>
      <w:bookmarkEnd w:id="96"/>
      <w:bookmarkEnd w:id="97"/>
    </w:p>
    <w:p w14:paraId="56EED303">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参与招标投标活动的各方应对招标文件和投标文件中的商业和技术等秘密保密，违者应对由此造成的后果承担法律责任。</w:t>
      </w:r>
    </w:p>
    <w:p w14:paraId="22EFC502">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98" w:name="_Toc186623599"/>
      <w:bookmarkStart w:id="99" w:name="_Toc186623286"/>
      <w:r>
        <w:rPr>
          <w:rFonts w:hint="eastAsia" w:ascii="宋体" w:hAnsi="宋体" w:eastAsia="宋体" w:cs="宋体"/>
          <w:b/>
          <w:bCs/>
          <w:color w:val="auto"/>
          <w:sz w:val="21"/>
          <w:szCs w:val="21"/>
          <w:highlight w:val="none"/>
        </w:rPr>
        <w:t>1.7 语言文字</w:t>
      </w:r>
      <w:bookmarkEnd w:id="98"/>
      <w:bookmarkEnd w:id="99"/>
    </w:p>
    <w:p w14:paraId="74838CC4">
      <w:pPr>
        <w:widowControl w:val="0"/>
        <w:wordWrap w:val="0"/>
        <w:autoSpaceDE/>
        <w:autoSpaceDN/>
        <w:spacing w:beforeLines="0" w:line="360" w:lineRule="auto"/>
        <w:ind w:firstLine="420" w:firstLineChars="200"/>
        <w:jc w:val="left"/>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rPr>
        <w:t>除</w:t>
      </w:r>
      <w:r>
        <w:rPr>
          <w:rFonts w:hint="eastAsia" w:ascii="宋体" w:hAnsi="宋体" w:eastAsia="宋体" w:cs="宋体"/>
          <w:color w:val="auto"/>
          <w:spacing w:val="-2"/>
          <w:sz w:val="21"/>
          <w:szCs w:val="21"/>
          <w:highlight w:val="none"/>
        </w:rPr>
        <w:t>专用术语外，与招标投标有关的语言均使用中文。必要时专用术语应附有中文注释。</w:t>
      </w:r>
    </w:p>
    <w:p w14:paraId="20A40AB1">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00" w:name="_Toc186623600"/>
      <w:bookmarkStart w:id="101" w:name="_Toc186623287"/>
      <w:r>
        <w:rPr>
          <w:rFonts w:hint="eastAsia" w:ascii="宋体" w:hAnsi="宋体" w:eastAsia="宋体" w:cs="宋体"/>
          <w:b/>
          <w:bCs/>
          <w:color w:val="auto"/>
          <w:sz w:val="21"/>
          <w:szCs w:val="21"/>
          <w:highlight w:val="none"/>
        </w:rPr>
        <w:t>1.8 计量单位</w:t>
      </w:r>
      <w:bookmarkEnd w:id="100"/>
      <w:bookmarkEnd w:id="101"/>
    </w:p>
    <w:p w14:paraId="7C190C6E">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bookmarkEnd w:id="84"/>
    <w:p w14:paraId="1367153A">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02" w:name="_Toc256079536"/>
      <w:bookmarkStart w:id="103" w:name="_Toc221950114"/>
      <w:r>
        <w:rPr>
          <w:rFonts w:hint="eastAsia" w:ascii="宋体" w:hAnsi="宋体" w:eastAsia="宋体" w:cs="宋体"/>
          <w:b/>
          <w:bCs/>
          <w:color w:val="auto"/>
          <w:sz w:val="21"/>
          <w:szCs w:val="21"/>
          <w:highlight w:val="none"/>
        </w:rPr>
        <w:t>1.9 踏勘现场</w:t>
      </w:r>
      <w:bookmarkEnd w:id="102"/>
    </w:p>
    <w:bookmarkEnd w:id="103"/>
    <w:p w14:paraId="65D21201">
      <w:pPr>
        <w:widowControl w:val="0"/>
        <w:tabs>
          <w:tab w:val="left" w:pos="6165"/>
        </w:tabs>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1.9.1</w:t>
      </w:r>
      <w:r>
        <w:rPr>
          <w:rFonts w:hint="eastAsia" w:ascii="宋体" w:hAnsi="宋体" w:eastAsia="宋体" w:cs="宋体"/>
          <w:color w:val="auto"/>
          <w:sz w:val="21"/>
          <w:szCs w:val="21"/>
          <w:highlight w:val="none"/>
          <w:lang w:val="en-US" w:eastAsia="zh-CN"/>
        </w:rPr>
        <w:t xml:space="preserve"> 投标人须知前附表规定组织踏勘现场的，招标人按照招标公告(或投标邀请书)规定的时间和地点组织踏勘现场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ab/>
      </w:r>
    </w:p>
    <w:p w14:paraId="10770CF8">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投标人发生的费用自理。</w:t>
      </w:r>
    </w:p>
    <w:p w14:paraId="57F5CD92">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除招标人的原因外，投标人自行负责在踏勘现场中所发生的人员伤亡和财产损失。</w:t>
      </w:r>
    </w:p>
    <w:p w14:paraId="31ECE1D3">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1.9.4 招标人在踏勘现场中介绍的工程场地和相关的周边环境情况，供投标人在编制投</w:t>
      </w:r>
    </w:p>
    <w:p w14:paraId="7EE149AA">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标文件时参考，招标人不对投标人据此作出的判断和决策负责。</w:t>
      </w:r>
    </w:p>
    <w:p w14:paraId="7DE6BFC6">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04" w:name="_Toc256079537"/>
      <w:r>
        <w:rPr>
          <w:rFonts w:hint="eastAsia" w:ascii="宋体" w:hAnsi="宋体" w:eastAsia="宋体" w:cs="宋体"/>
          <w:b/>
          <w:bCs/>
          <w:color w:val="auto"/>
          <w:sz w:val="21"/>
          <w:szCs w:val="21"/>
          <w:highlight w:val="none"/>
        </w:rPr>
        <w:t>1.10 投标预备会</w:t>
      </w:r>
      <w:bookmarkEnd w:id="104"/>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不召开</w:t>
      </w:r>
      <w:r>
        <w:rPr>
          <w:rFonts w:hint="eastAsia" w:ascii="宋体" w:hAnsi="宋体" w:eastAsia="宋体" w:cs="宋体"/>
          <w:b/>
          <w:bCs/>
          <w:color w:val="auto"/>
          <w:sz w:val="21"/>
          <w:szCs w:val="21"/>
          <w:highlight w:val="none"/>
          <w:lang w:eastAsia="zh-CN"/>
        </w:rPr>
        <w:t>）</w:t>
      </w:r>
    </w:p>
    <w:p w14:paraId="74938995">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bookmarkStart w:id="105" w:name="_Toc221950125"/>
      <w:r>
        <w:rPr>
          <w:rFonts w:hint="eastAsia" w:ascii="宋体" w:hAnsi="宋体" w:eastAsia="宋体" w:cs="宋体"/>
          <w:color w:val="auto"/>
          <w:sz w:val="21"/>
          <w:szCs w:val="21"/>
          <w:highlight w:val="none"/>
        </w:rPr>
        <w:t>1.10.1 投标人须知前附表规定召开投标预备会的，招标人按照招标公告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或投标邀请书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规定的时间和地点召开投标预备会。</w:t>
      </w:r>
    </w:p>
    <w:p w14:paraId="1E927803">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在投标预备会召开前，投标人应以书面形式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包括信函、电报、传真等可以有形地表现所载内容的形式，下同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将需要招标人澄清的问题送达招标人。</w:t>
      </w:r>
    </w:p>
    <w:p w14:paraId="198696B5">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 在投标人须知前附表规定的投标截止时间15天前，招标人将对投标人所提问题的澄清，以书面形式通知所有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招标文件的投标人。该澄清通知为招标文件的组成部分。</w:t>
      </w:r>
    </w:p>
    <w:bookmarkEnd w:id="105"/>
    <w:p w14:paraId="57B71376">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06" w:name="_Toc256079538"/>
      <w:r>
        <w:rPr>
          <w:rFonts w:hint="eastAsia" w:ascii="宋体" w:hAnsi="宋体" w:eastAsia="宋体" w:cs="宋体"/>
          <w:b/>
          <w:bCs/>
          <w:color w:val="auto"/>
          <w:sz w:val="21"/>
          <w:szCs w:val="21"/>
          <w:highlight w:val="none"/>
        </w:rPr>
        <w:t>1.11 分包</w:t>
      </w:r>
      <w:bookmarkEnd w:id="106"/>
    </w:p>
    <w:p w14:paraId="1EAFF6C8">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知前附表规定允许分包的，分包的内容、分包金额、接受分包的第三人资质要求见投标人须知前附表。投标人应在投标文件中明确是否在中标后将中标项目的部分非主体、非关键性工作进行分包。投标人拟分包时，分包人应具备与分包工程的标准和规模相适应的资质和业绩，在人力、设备、资金等方面具有承担分包工程施工的能力。投标人应在投标文件中提供分包协议、分包人的资质证书及营业执照复印件、人员、设备和业绩资料表、分包的工程项目和工程量。</w:t>
      </w:r>
    </w:p>
    <w:p w14:paraId="52D41BB2">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07" w:name="_Toc256079539"/>
      <w:bookmarkStart w:id="108" w:name="_Toc221950134"/>
      <w:bookmarkStart w:id="109" w:name="_Toc179632559"/>
      <w:bookmarkStart w:id="110" w:name="_Toc222032652"/>
      <w:bookmarkStart w:id="111" w:name="_Toc222030985"/>
      <w:bookmarkStart w:id="112" w:name="_Toc19063"/>
      <w:bookmarkStart w:id="113" w:name="_Toc168475657"/>
      <w:bookmarkStart w:id="114" w:name="_Toc229305343"/>
      <w:bookmarkStart w:id="115" w:name="_Toc13600"/>
      <w:bookmarkStart w:id="116" w:name="_Toc15371"/>
      <w:bookmarkStart w:id="117" w:name="_Toc222029483"/>
      <w:bookmarkStart w:id="118" w:name="_Toc222033834"/>
      <w:bookmarkStart w:id="119" w:name="_Toc144974510"/>
      <w:bookmarkStart w:id="120" w:name="_Toc168476060"/>
      <w:bookmarkStart w:id="121" w:name="_Toc221950136"/>
      <w:r>
        <w:rPr>
          <w:rFonts w:hint="eastAsia" w:ascii="宋体" w:hAnsi="宋体" w:eastAsia="宋体" w:cs="宋体"/>
          <w:b/>
          <w:bCs/>
          <w:color w:val="auto"/>
          <w:sz w:val="21"/>
          <w:szCs w:val="21"/>
          <w:highlight w:val="none"/>
        </w:rPr>
        <w:t>1.12 偏离</w:t>
      </w:r>
      <w:bookmarkEnd w:id="107"/>
    </w:p>
    <w:bookmarkEnd w:id="108"/>
    <w:bookmarkEnd w:id="109"/>
    <w:p w14:paraId="5B3E4E0A">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bookmarkStart w:id="122" w:name="_Toc221950135"/>
      <w:r>
        <w:rPr>
          <w:rFonts w:hint="eastAsia" w:ascii="宋体" w:hAnsi="宋体" w:eastAsia="宋体" w:cs="宋体"/>
          <w:color w:val="auto"/>
          <w:sz w:val="21"/>
          <w:szCs w:val="21"/>
          <w:highlight w:val="none"/>
          <w:lang w:val="en-US" w:eastAsia="zh-CN"/>
        </w:rPr>
        <w:t>1.12.1</w:t>
      </w:r>
      <w:bookmarkEnd w:id="122"/>
      <w:r>
        <w:rPr>
          <w:rFonts w:hint="eastAsia" w:ascii="宋体" w:hAnsi="宋体" w:eastAsia="宋体" w:cs="宋体"/>
          <w:color w:val="auto"/>
          <w:sz w:val="21"/>
          <w:szCs w:val="21"/>
          <w:highlight w:val="none"/>
        </w:rPr>
        <w:t>投标文件应当对招标文件的实质性要求和条件作出满足性或更有利于招标人的响应，否则，投标人的投标将被否决。实质性要求和条件见投标人须知前附表。</w:t>
      </w:r>
    </w:p>
    <w:p w14:paraId="211B2A31">
      <w:pPr>
        <w:widowControl w:val="0"/>
        <w:wordWrap w:val="0"/>
        <w:autoSpaceDE/>
        <w:autoSpaceDN/>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1.12.2 投标人须知前附表允许投标文件偏离招标文件某些要求的，偏离应当符合招标文件规定的偏离范围和幅度投标文件不允许偏离招标文件的实质性要求和条件。投标文件偏离招标文件的非实质性要求和条件的，其处理方式见投标人须知前附表。</w:t>
      </w:r>
    </w:p>
    <w:p w14:paraId="4741DBE5">
      <w:pPr>
        <w:widowControl w:val="0"/>
        <w:wordWrap w:val="0"/>
        <w:spacing w:before="0" w:beforeLines="0" w:after="0" w:line="360" w:lineRule="auto"/>
        <w:ind w:firstLine="0" w:firstLineChars="0"/>
        <w:jc w:val="left"/>
        <w:outlineLvl w:val="1"/>
        <w:rPr>
          <w:rFonts w:hint="eastAsia" w:ascii="宋体" w:hAnsi="宋体" w:eastAsia="宋体" w:cs="宋体"/>
          <w:b/>
          <w:bCs/>
          <w:color w:val="auto"/>
          <w:sz w:val="21"/>
          <w:szCs w:val="21"/>
          <w:highlight w:val="none"/>
        </w:rPr>
      </w:pPr>
      <w:bookmarkStart w:id="123" w:name="_Toc8419"/>
      <w:r>
        <w:rPr>
          <w:rFonts w:hint="eastAsia" w:ascii="宋体" w:hAnsi="宋体" w:eastAsia="宋体" w:cs="宋体"/>
          <w:b/>
          <w:bCs/>
          <w:color w:val="auto"/>
          <w:sz w:val="21"/>
          <w:szCs w:val="21"/>
          <w:highlight w:val="none"/>
          <w:lang w:val="en-US" w:eastAsia="zh-CN"/>
        </w:rPr>
        <w:t>2.</w:t>
      </w:r>
      <w:bookmarkStart w:id="124" w:name="_Toc15345"/>
      <w:bookmarkStart w:id="125" w:name="_Toc12020"/>
      <w:r>
        <w:rPr>
          <w:rFonts w:hint="eastAsia" w:ascii="宋体" w:hAnsi="宋体" w:eastAsia="宋体" w:cs="宋体"/>
          <w:b/>
          <w:bCs/>
          <w:color w:val="auto"/>
          <w:sz w:val="21"/>
          <w:szCs w:val="21"/>
          <w:highlight w:val="none"/>
        </w:rPr>
        <w:t>招标文件</w:t>
      </w:r>
      <w:bookmarkEnd w:id="110"/>
      <w:bookmarkEnd w:id="111"/>
      <w:bookmarkEnd w:id="112"/>
      <w:bookmarkEnd w:id="113"/>
      <w:bookmarkEnd w:id="114"/>
      <w:bookmarkEnd w:id="115"/>
      <w:bookmarkEnd w:id="116"/>
      <w:bookmarkEnd w:id="117"/>
      <w:bookmarkEnd w:id="118"/>
      <w:bookmarkEnd w:id="119"/>
      <w:bookmarkEnd w:id="120"/>
      <w:bookmarkEnd w:id="121"/>
      <w:bookmarkEnd w:id="123"/>
      <w:bookmarkEnd w:id="124"/>
      <w:bookmarkEnd w:id="125"/>
    </w:p>
    <w:p w14:paraId="0ED1F43F">
      <w:pPr>
        <w:widowControl w:val="0"/>
        <w:wordWrap w:val="0"/>
        <w:spacing w:beforeLines="0" w:line="360" w:lineRule="auto"/>
        <w:ind w:firstLine="0" w:firstLineChars="0"/>
        <w:jc w:val="left"/>
        <w:outlineLvl w:val="2"/>
        <w:rPr>
          <w:rFonts w:hint="eastAsia" w:ascii="宋体" w:hAnsi="宋体" w:eastAsia="宋体" w:cs="宋体"/>
          <w:b/>
          <w:bCs/>
          <w:color w:val="auto"/>
          <w:sz w:val="21"/>
          <w:szCs w:val="21"/>
          <w:highlight w:val="none"/>
        </w:rPr>
      </w:pPr>
      <w:bookmarkStart w:id="126" w:name="_Toc186623606"/>
      <w:bookmarkStart w:id="127" w:name="_Toc186623293"/>
      <w:bookmarkStart w:id="128" w:name="_Toc221950142"/>
      <w:r>
        <w:rPr>
          <w:rFonts w:hint="eastAsia" w:ascii="宋体" w:hAnsi="宋体" w:eastAsia="宋体" w:cs="宋体"/>
          <w:b/>
          <w:bCs/>
          <w:color w:val="auto"/>
          <w:sz w:val="21"/>
          <w:szCs w:val="21"/>
          <w:highlight w:val="none"/>
        </w:rPr>
        <w:t>2.1 招标文件的组成</w:t>
      </w:r>
      <w:bookmarkEnd w:id="126"/>
      <w:bookmarkEnd w:id="127"/>
    </w:p>
    <w:p w14:paraId="09C57C3F">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57FEFD32">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w:t>
      </w:r>
    </w:p>
    <w:p w14:paraId="1C7263E8">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49B3EE7B">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w:t>
      </w:r>
    </w:p>
    <w:p w14:paraId="036B34B0">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（4）合同条款及格式；</w:t>
      </w:r>
    </w:p>
    <w:p w14:paraId="1010C1D7">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（5）工程量清单；</w:t>
      </w:r>
    </w:p>
    <w:p w14:paraId="1D6EBAE5">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01F2D1BF">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（7）技术标准和要求；</w:t>
      </w:r>
    </w:p>
    <w:p w14:paraId="00E54A5E">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（8）投标文件格式；</w:t>
      </w:r>
    </w:p>
    <w:p w14:paraId="65097E07">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（9）投标人须知前附表规定的其他材料。</w:t>
      </w:r>
    </w:p>
    <w:p w14:paraId="38F6E7FB">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根据本章第1.10款、第2.2款和第2.3款对招标文件所作的澄清、修改，构成招标文件的组成部分。</w:t>
      </w:r>
    </w:p>
    <w:bookmarkEnd w:id="128"/>
    <w:p w14:paraId="0BE09CED">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29" w:name="_Toc33277276"/>
      <w:bookmarkStart w:id="130" w:name="_Toc102"/>
      <w:bookmarkStart w:id="131" w:name="_Toc34814216"/>
      <w:bookmarkStart w:id="132" w:name="_Toc3273450"/>
      <w:bookmarkStart w:id="133" w:name="_Toc222029484"/>
      <w:bookmarkStart w:id="134" w:name="_Toc168476064"/>
      <w:bookmarkStart w:id="135" w:name="_Toc222033835"/>
      <w:bookmarkStart w:id="136" w:name="_Toc168475661"/>
      <w:bookmarkStart w:id="137" w:name="_Toc144974514"/>
      <w:bookmarkStart w:id="138" w:name="_Toc229305344"/>
      <w:bookmarkStart w:id="139" w:name="_Toc222030986"/>
      <w:bookmarkStart w:id="140" w:name="_Toc221950151"/>
      <w:bookmarkStart w:id="141" w:name="_Toc222032653"/>
      <w:r>
        <w:rPr>
          <w:rFonts w:hint="eastAsia" w:ascii="宋体" w:hAnsi="宋体" w:eastAsia="宋体" w:cs="宋体"/>
          <w:b/>
          <w:bCs/>
          <w:color w:val="auto"/>
          <w:sz w:val="21"/>
          <w:szCs w:val="21"/>
          <w:highlight w:val="none"/>
        </w:rPr>
        <w:t>2.2 招标文件的澄清</w:t>
      </w:r>
      <w:bookmarkEnd w:id="129"/>
      <w:bookmarkEnd w:id="130"/>
      <w:bookmarkEnd w:id="131"/>
      <w:bookmarkEnd w:id="132"/>
    </w:p>
    <w:p w14:paraId="1D770E85">
      <w:pPr>
        <w:keepNext w:val="0"/>
        <w:keepLines w:val="0"/>
        <w:pageBreakBefore w:val="0"/>
        <w:widowControl w:val="0"/>
        <w:kinsoku/>
        <w:wordWrap w:val="0"/>
        <w:overflowPunct/>
        <w:topLinePunct w:val="0"/>
        <w:autoSpaceDE/>
        <w:autoSpaceDN/>
        <w:bidi w:val="0"/>
        <w:adjustRightInd w:val="0"/>
        <w:snapToGrid/>
        <w:spacing w:before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56B5744">
      <w:pPr>
        <w:keepNext w:val="0"/>
        <w:keepLines w:val="0"/>
        <w:pageBreakBefore w:val="0"/>
        <w:widowControl w:val="0"/>
        <w:kinsoku/>
        <w:wordWrap w:val="0"/>
        <w:overflowPunct/>
        <w:topLinePunct w:val="0"/>
        <w:autoSpaceDE/>
        <w:autoSpaceDN/>
        <w:bidi w:val="0"/>
        <w:adjustRightInd w:val="0"/>
        <w:snapToGrid/>
        <w:spacing w:before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招标文件的澄清将在投标</w:t>
      </w:r>
      <w:r>
        <w:rPr>
          <w:rFonts w:hint="eastAsia" w:ascii="宋体" w:hAnsi="宋体" w:eastAsia="宋体" w:cs="宋体"/>
          <w:color w:val="auto"/>
          <w:sz w:val="21"/>
          <w:szCs w:val="21"/>
          <w:highlight w:val="none"/>
          <w:lang w:eastAsia="zh-CN"/>
        </w:rPr>
        <w:t>截止时间</w:t>
      </w:r>
      <w:r>
        <w:rPr>
          <w:rFonts w:hint="eastAsia" w:ascii="宋体" w:hAnsi="宋体" w:eastAsia="宋体" w:cs="宋体"/>
          <w:color w:val="auto"/>
          <w:sz w:val="21"/>
          <w:szCs w:val="21"/>
          <w:highlight w:val="none"/>
        </w:rPr>
        <w:t>15天前，以书面形式通知所有</w:t>
      </w:r>
      <w:r>
        <w:rPr>
          <w:rFonts w:hint="eastAsia" w:ascii="宋体" w:hAnsi="宋体" w:eastAsia="宋体" w:cs="宋体"/>
          <w:color w:val="auto"/>
          <w:sz w:val="21"/>
          <w:szCs w:val="21"/>
          <w:highlight w:val="none"/>
          <w:lang w:val="en-US" w:eastAsia="zh-CN"/>
        </w:rPr>
        <w:t>下载</w:t>
      </w:r>
      <w:r>
        <w:rPr>
          <w:rFonts w:hint="eastAsia" w:ascii="宋体" w:hAnsi="宋体" w:eastAsia="宋体" w:cs="宋体"/>
          <w:color w:val="auto"/>
          <w:sz w:val="21"/>
          <w:szCs w:val="21"/>
          <w:highlight w:val="none"/>
        </w:rPr>
        <w:t>招标文件的投标人，但不指明澄清问题的来源。如果澄清通知发出的时间距投标截止时间不足15天，投标截止时间应相应延长。</w:t>
      </w:r>
    </w:p>
    <w:p w14:paraId="362026CE">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2.2.3投标人在收到澄清通知后，应在1天内以书面形式告知招标人，确认已收到该澄清通知。</w:t>
      </w:r>
    </w:p>
    <w:p w14:paraId="6D559E42">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42" w:name="_bookmark36"/>
      <w:bookmarkEnd w:id="142"/>
      <w:bookmarkStart w:id="143" w:name="_Toc15607"/>
      <w:bookmarkStart w:id="144" w:name="_Toc3273451"/>
      <w:bookmarkStart w:id="145" w:name="_Toc34814217"/>
      <w:bookmarkStart w:id="146" w:name="_Toc33277277"/>
      <w:r>
        <w:rPr>
          <w:rFonts w:hint="eastAsia" w:ascii="宋体" w:hAnsi="宋体" w:eastAsia="宋体" w:cs="宋体"/>
          <w:b/>
          <w:bCs/>
          <w:color w:val="auto"/>
          <w:sz w:val="21"/>
          <w:szCs w:val="21"/>
          <w:highlight w:val="none"/>
        </w:rPr>
        <w:t>2.3 招标文件的修改</w:t>
      </w:r>
      <w:bookmarkEnd w:id="143"/>
      <w:bookmarkEnd w:id="144"/>
      <w:bookmarkEnd w:id="145"/>
      <w:bookmarkEnd w:id="146"/>
    </w:p>
    <w:p w14:paraId="7638621A">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在投标截止时间15天前，</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以投标人须知前附表规定的形式修改招标文件，并通知所有已</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招标文件的投标人。如果修改招标文件的时间距投标截止时间不足15天，相应延长投标截止时间。</w:t>
      </w:r>
    </w:p>
    <w:p w14:paraId="2AADB965">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2.3.2投标人收到修改通知后，应在1天内按投标人须知前附表规定的时间和形式通知招标人，确认已收到该修改。</w:t>
      </w:r>
    </w:p>
    <w:p w14:paraId="07F8F23F">
      <w:pPr>
        <w:widowControl w:val="0"/>
        <w:wordWrap w:val="0"/>
        <w:spacing w:before="0" w:beforeLines="0" w:line="360" w:lineRule="auto"/>
        <w:ind w:firstLine="0" w:firstLineChars="0"/>
        <w:jc w:val="left"/>
        <w:outlineLvl w:val="2"/>
        <w:rPr>
          <w:rFonts w:hint="eastAsia" w:ascii="宋体" w:hAnsi="宋体" w:eastAsia="宋体" w:cs="宋体"/>
          <w:b/>
          <w:bCs/>
          <w:color w:val="auto"/>
          <w:sz w:val="21"/>
          <w:szCs w:val="21"/>
          <w:highlight w:val="none"/>
          <w:lang w:eastAsia="zh-CN"/>
        </w:rPr>
      </w:pPr>
      <w:bookmarkStart w:id="147" w:name="_Toc28502"/>
      <w:bookmarkStart w:id="148" w:name="_Toc33277278"/>
      <w:bookmarkStart w:id="149" w:name="_Toc3273452"/>
      <w:bookmarkStart w:id="150" w:name="_Toc34814218"/>
      <w:r>
        <w:rPr>
          <w:rFonts w:hint="eastAsia" w:ascii="宋体" w:hAnsi="宋体" w:eastAsia="宋体" w:cs="宋体"/>
          <w:b/>
          <w:bCs/>
          <w:color w:val="auto"/>
          <w:sz w:val="21"/>
          <w:szCs w:val="21"/>
          <w:highlight w:val="none"/>
        </w:rPr>
        <w:t>2.4 招标文件的异议</w:t>
      </w:r>
      <w:bookmarkEnd w:id="147"/>
      <w:bookmarkEnd w:id="148"/>
      <w:bookmarkEnd w:id="149"/>
      <w:bookmarkEnd w:id="150"/>
    </w:p>
    <w:p w14:paraId="39A0FD55">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投标人或者其他利害关系人对招标文件有异议的，应当在投标截止时间10日前以书面形式提出。招标人将在收到异议之日起3日内作出答复；作出答复前，将暂停招标投标活动。</w:t>
      </w:r>
    </w:p>
    <w:p w14:paraId="777CEBBD">
      <w:pPr>
        <w:keepNext w:val="0"/>
        <w:keepLines w:val="0"/>
        <w:widowControl w:val="0"/>
        <w:wordWrap w:val="0"/>
        <w:adjustRightInd w:val="0"/>
        <w:spacing w:before="0" w:beforeLines="0" w:after="0" w:line="360" w:lineRule="auto"/>
        <w:ind w:firstLine="0" w:firstLineChars="0"/>
        <w:jc w:val="left"/>
        <w:outlineLvl w:val="1"/>
        <w:rPr>
          <w:rFonts w:hint="eastAsia" w:ascii="宋体" w:hAnsi="宋体" w:eastAsia="宋体" w:cs="宋体"/>
          <w:b/>
          <w:bCs/>
          <w:color w:val="auto"/>
          <w:sz w:val="21"/>
          <w:szCs w:val="21"/>
          <w:highlight w:val="none"/>
        </w:rPr>
      </w:pPr>
      <w:bookmarkStart w:id="151" w:name="_Toc30983"/>
      <w:r>
        <w:rPr>
          <w:rFonts w:hint="eastAsia" w:ascii="宋体" w:hAnsi="宋体" w:eastAsia="宋体" w:cs="宋体"/>
          <w:b/>
          <w:bCs/>
          <w:color w:val="auto"/>
          <w:sz w:val="21"/>
          <w:szCs w:val="21"/>
          <w:highlight w:val="none"/>
          <w:lang w:val="en-US" w:eastAsia="zh-CN"/>
        </w:rPr>
        <w:t>3.</w:t>
      </w:r>
      <w:bookmarkStart w:id="152" w:name="_Toc7133"/>
      <w:bookmarkStart w:id="153" w:name="_Toc12520"/>
      <w:bookmarkStart w:id="154" w:name="_Toc12979"/>
      <w:bookmarkStart w:id="155" w:name="_Toc4324"/>
      <w:bookmarkStart w:id="156" w:name="_Toc20933"/>
      <w:r>
        <w:rPr>
          <w:rFonts w:hint="eastAsia" w:ascii="宋体" w:hAnsi="宋体" w:eastAsia="宋体" w:cs="宋体"/>
          <w:b/>
          <w:bCs/>
          <w:color w:val="auto"/>
          <w:sz w:val="21"/>
          <w:szCs w:val="21"/>
          <w:highlight w:val="none"/>
        </w:rPr>
        <w:t>投标文件</w:t>
      </w:r>
      <w:bookmarkEnd w:id="133"/>
      <w:bookmarkEnd w:id="134"/>
      <w:bookmarkEnd w:id="135"/>
      <w:bookmarkEnd w:id="136"/>
      <w:bookmarkEnd w:id="137"/>
      <w:bookmarkEnd w:id="138"/>
      <w:bookmarkEnd w:id="139"/>
      <w:bookmarkEnd w:id="140"/>
      <w:bookmarkEnd w:id="141"/>
      <w:bookmarkEnd w:id="151"/>
      <w:bookmarkEnd w:id="152"/>
      <w:bookmarkEnd w:id="153"/>
      <w:bookmarkEnd w:id="154"/>
      <w:bookmarkEnd w:id="155"/>
      <w:bookmarkEnd w:id="156"/>
    </w:p>
    <w:p w14:paraId="5E12D963">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57" w:name="_Toc186623297"/>
      <w:bookmarkStart w:id="158" w:name="_Toc186623610"/>
      <w:bookmarkStart w:id="159" w:name="_Toc221950165"/>
      <w:r>
        <w:rPr>
          <w:rFonts w:hint="eastAsia" w:ascii="宋体" w:hAnsi="宋体" w:eastAsia="宋体" w:cs="宋体"/>
          <w:b/>
          <w:bCs/>
          <w:color w:val="auto"/>
          <w:sz w:val="21"/>
          <w:szCs w:val="21"/>
          <w:highlight w:val="none"/>
        </w:rPr>
        <w:t>3.1 投标文件的组成</w:t>
      </w:r>
      <w:bookmarkEnd w:id="157"/>
      <w:bookmarkEnd w:id="158"/>
    </w:p>
    <w:p w14:paraId="30D820AC">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投标文件应包括下列内容：</w:t>
      </w:r>
    </w:p>
    <w:p w14:paraId="65E68D89">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（1）投标函及投标函附录；</w:t>
      </w:r>
    </w:p>
    <w:p w14:paraId="24B226C0">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（2）法定代表人身份证明</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授权委托书；</w:t>
      </w:r>
    </w:p>
    <w:p w14:paraId="6DF466D3">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）投标保证金；</w:t>
      </w:r>
    </w:p>
    <w:p w14:paraId="5E007E80">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）已标价工程量清单；</w:t>
      </w:r>
    </w:p>
    <w:p w14:paraId="1305A721">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）施工组织设计；</w:t>
      </w:r>
    </w:p>
    <w:p w14:paraId="3A40B28C">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）投标人基本情况</w:t>
      </w:r>
      <w:r>
        <w:rPr>
          <w:rFonts w:hint="eastAsia" w:ascii="宋体" w:hAnsi="宋体" w:eastAsia="宋体" w:cs="宋体"/>
          <w:color w:val="auto"/>
          <w:sz w:val="21"/>
          <w:szCs w:val="21"/>
          <w:highlight w:val="none"/>
          <w:lang w:eastAsia="zh-CN"/>
        </w:rPr>
        <w:t>；</w:t>
      </w:r>
    </w:p>
    <w:p w14:paraId="37F3C452">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）安全生产专项费使用方案；</w:t>
      </w:r>
    </w:p>
    <w:p w14:paraId="24969EF7">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奖罚情况</w:t>
      </w:r>
      <w:r>
        <w:rPr>
          <w:rFonts w:hint="eastAsia" w:ascii="宋体" w:hAnsi="宋体" w:eastAsia="宋体" w:cs="宋体"/>
          <w:color w:val="auto"/>
          <w:sz w:val="21"/>
          <w:szCs w:val="21"/>
          <w:highlight w:val="none"/>
          <w:lang w:eastAsia="zh-CN"/>
        </w:rPr>
        <w:t>；</w:t>
      </w:r>
    </w:p>
    <w:p w14:paraId="465743C6">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）其他材料。</w:t>
      </w:r>
    </w:p>
    <w:p w14:paraId="2706B483">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60" w:name="_Toc186623298"/>
      <w:bookmarkStart w:id="161" w:name="_Toc186623611"/>
      <w:r>
        <w:rPr>
          <w:rFonts w:hint="eastAsia" w:ascii="宋体" w:hAnsi="宋体" w:eastAsia="宋体" w:cs="宋体"/>
          <w:b/>
          <w:bCs/>
          <w:color w:val="auto"/>
          <w:sz w:val="21"/>
          <w:szCs w:val="21"/>
          <w:highlight w:val="none"/>
        </w:rPr>
        <w:t>3.2 投标报价</w:t>
      </w:r>
      <w:bookmarkEnd w:id="160"/>
      <w:bookmarkEnd w:id="161"/>
    </w:p>
    <w:p w14:paraId="01B1AB9A">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投标人应按第五章“工程量清单”的要求填写相应表格。</w:t>
      </w:r>
    </w:p>
    <w:p w14:paraId="13CF2E86">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投标人在投标截止时间前修改投标函中的投标总报价，应同时修改第五章“工程量清单”中的相应报价。此修改须符合本章第4.3款的有关要求。</w:t>
      </w:r>
    </w:p>
    <w:p w14:paraId="648C2DE6">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3.2.3</w:t>
      </w:r>
      <w:r>
        <w:rPr>
          <w:rFonts w:hint="eastAsia" w:ascii="宋体" w:hAnsi="宋体" w:eastAsia="宋体" w:cs="宋体"/>
          <w:bCs w:val="0"/>
          <w:color w:val="auto"/>
          <w:sz w:val="21"/>
          <w:szCs w:val="21"/>
          <w:highlight w:val="none"/>
          <w:lang w:bidi="ar"/>
        </w:rPr>
        <w:t>为保障工程项目实施，投标人应对工程造价应不低于其成本</w:t>
      </w:r>
      <w:r>
        <w:rPr>
          <w:rFonts w:hint="eastAsia" w:ascii="宋体" w:hAnsi="宋体" w:eastAsia="宋体" w:cs="宋体"/>
          <w:bCs w:val="0"/>
          <w:color w:val="auto"/>
          <w:sz w:val="21"/>
          <w:szCs w:val="21"/>
          <w:highlight w:val="none"/>
          <w:lang w:eastAsia="zh-CN" w:bidi="ar"/>
        </w:rPr>
        <w:t>、以</w:t>
      </w:r>
      <w:r>
        <w:rPr>
          <w:rFonts w:hint="eastAsia" w:ascii="宋体" w:hAnsi="宋体" w:eastAsia="宋体" w:cs="宋体"/>
          <w:bCs w:val="0"/>
          <w:color w:val="auto"/>
          <w:sz w:val="21"/>
          <w:szCs w:val="21"/>
          <w:highlight w:val="none"/>
          <w:lang w:bidi="ar"/>
        </w:rPr>
        <w:t>及是否存在分部分项工程工程量清单单价不平衡报价的情况进行</w:t>
      </w:r>
      <w:r>
        <w:rPr>
          <w:rFonts w:hint="eastAsia" w:ascii="宋体" w:hAnsi="宋体" w:eastAsia="宋体" w:cs="宋体"/>
          <w:color w:val="auto"/>
          <w:sz w:val="21"/>
          <w:szCs w:val="21"/>
          <w:highlight w:val="none"/>
        </w:rPr>
        <w:t>明确承诺</w:t>
      </w:r>
      <w:r>
        <w:rPr>
          <w:rFonts w:hint="eastAsia" w:ascii="宋体" w:hAnsi="宋体" w:eastAsia="宋体" w:cs="宋体"/>
          <w:bCs w:val="0"/>
          <w:color w:val="auto"/>
          <w:sz w:val="21"/>
          <w:szCs w:val="21"/>
          <w:highlight w:val="none"/>
          <w:lang w:bidi="ar"/>
        </w:rPr>
        <w:t>，且有法定代表人</w:t>
      </w:r>
      <w:r>
        <w:rPr>
          <w:rFonts w:hint="eastAsia" w:ascii="宋体" w:hAnsi="宋体" w:eastAsia="宋体" w:cs="宋体"/>
          <w:bCs w:val="0"/>
          <w:color w:val="auto"/>
          <w:sz w:val="21"/>
          <w:szCs w:val="21"/>
          <w:highlight w:val="none"/>
          <w:lang w:val="en-US" w:eastAsia="zh-CN" w:bidi="ar"/>
        </w:rPr>
        <w:t>或授权委托代理人</w:t>
      </w:r>
      <w:r>
        <w:rPr>
          <w:rFonts w:hint="eastAsia" w:ascii="宋体" w:hAnsi="宋体" w:eastAsia="宋体" w:cs="宋体"/>
          <w:bCs w:val="0"/>
          <w:color w:val="auto"/>
          <w:sz w:val="21"/>
          <w:szCs w:val="21"/>
          <w:highlight w:val="none"/>
          <w:lang w:bidi="ar"/>
        </w:rPr>
        <w:t>及本工程相应专业的注册造价工程师审核签字</w:t>
      </w:r>
      <w:r>
        <w:rPr>
          <w:rFonts w:hint="eastAsia" w:ascii="宋体" w:hAnsi="宋体" w:eastAsia="宋体" w:cs="宋体"/>
          <w:bCs w:val="0"/>
          <w:color w:val="auto"/>
          <w:sz w:val="21"/>
          <w:szCs w:val="21"/>
          <w:highlight w:val="none"/>
          <w:lang w:eastAsia="zh-CN" w:bidi="ar"/>
        </w:rPr>
        <w:t>，</w:t>
      </w:r>
      <w:r>
        <w:rPr>
          <w:rFonts w:hint="eastAsia" w:ascii="宋体" w:hAnsi="宋体" w:eastAsia="宋体" w:cs="宋体"/>
          <w:bCs w:val="0"/>
          <w:color w:val="auto"/>
          <w:sz w:val="21"/>
          <w:szCs w:val="21"/>
          <w:highlight w:val="none"/>
          <w:lang w:val="en-US" w:eastAsia="zh-CN" w:bidi="ar"/>
        </w:rPr>
        <w:t>并加</w:t>
      </w:r>
      <w:r>
        <w:rPr>
          <w:rFonts w:hint="eastAsia" w:ascii="宋体" w:hAnsi="宋体" w:eastAsia="宋体" w:cs="宋体"/>
          <w:bCs w:val="0"/>
          <w:color w:val="auto"/>
          <w:sz w:val="21"/>
          <w:szCs w:val="21"/>
          <w:highlight w:val="none"/>
          <w:lang w:bidi="ar"/>
        </w:rPr>
        <w:t>盖注册造价工程师</w:t>
      </w:r>
      <w:r>
        <w:rPr>
          <w:rFonts w:hint="eastAsia" w:ascii="宋体" w:hAnsi="宋体" w:eastAsia="宋体" w:cs="宋体"/>
          <w:bCs w:val="0"/>
          <w:color w:val="auto"/>
          <w:sz w:val="21"/>
          <w:szCs w:val="21"/>
          <w:highlight w:val="none"/>
          <w:lang w:val="en-US" w:eastAsia="zh-CN" w:bidi="ar"/>
        </w:rPr>
        <w:t>执业印</w:t>
      </w:r>
      <w:r>
        <w:rPr>
          <w:rFonts w:hint="eastAsia" w:ascii="宋体" w:hAnsi="宋体" w:eastAsia="宋体" w:cs="宋体"/>
          <w:bCs w:val="0"/>
          <w:color w:val="auto"/>
          <w:sz w:val="21"/>
          <w:szCs w:val="21"/>
          <w:highlight w:val="none"/>
          <w:lang w:bidi="ar"/>
        </w:rPr>
        <w:t>章。</w:t>
      </w:r>
      <w:r>
        <w:rPr>
          <w:rFonts w:hint="eastAsia" w:ascii="宋体" w:hAnsi="宋体" w:eastAsia="宋体" w:cs="宋体"/>
          <w:color w:val="auto"/>
          <w:sz w:val="21"/>
          <w:szCs w:val="21"/>
          <w:highlight w:val="none"/>
        </w:rPr>
        <w:t>否则视为未响应招标文件。</w:t>
      </w:r>
    </w:p>
    <w:p w14:paraId="7F8457FA">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62" w:name="_Toc186623299"/>
      <w:bookmarkStart w:id="163" w:name="_Toc186623612"/>
      <w:r>
        <w:rPr>
          <w:rFonts w:hint="eastAsia" w:ascii="宋体" w:hAnsi="宋体" w:eastAsia="宋体" w:cs="宋体"/>
          <w:b/>
          <w:bCs/>
          <w:color w:val="auto"/>
          <w:sz w:val="21"/>
          <w:szCs w:val="21"/>
          <w:highlight w:val="none"/>
        </w:rPr>
        <w:t>3.3 投标有效期</w:t>
      </w:r>
      <w:bookmarkEnd w:id="162"/>
      <w:bookmarkEnd w:id="163"/>
    </w:p>
    <w:p w14:paraId="1EAD2C0B">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3.3.1在投标人须知前附表规定的投标有效期内，投标人不得要求撤销或修改其投标文件。</w:t>
      </w:r>
    </w:p>
    <w:p w14:paraId="7BDBC740">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5451750">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64" w:name="_Toc186623300"/>
      <w:bookmarkStart w:id="165" w:name="_Toc186623613"/>
      <w:r>
        <w:rPr>
          <w:rFonts w:hint="eastAsia" w:ascii="宋体" w:hAnsi="宋体" w:eastAsia="宋体" w:cs="宋体"/>
          <w:b/>
          <w:bCs/>
          <w:color w:val="auto"/>
          <w:sz w:val="21"/>
          <w:szCs w:val="21"/>
          <w:highlight w:val="none"/>
        </w:rPr>
        <w:t>3.4 投标保证金</w:t>
      </w:r>
      <w:bookmarkEnd w:id="164"/>
      <w:bookmarkEnd w:id="165"/>
    </w:p>
    <w:p w14:paraId="56C9C445">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14:paraId="1BF09E0E">
      <w:pPr>
        <w:widowControl w:val="0"/>
        <w:wordWrap w:val="0"/>
        <w:autoSpaceDE/>
        <w:autoSpaceDN/>
        <w:adjustRightInd w:val="0"/>
        <w:spacing w:beforeLines="0"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3.4.2 投标人不按本章第3.4.1项要求提交投标保证金的，其投标文件作</w:t>
      </w:r>
      <w:r>
        <w:rPr>
          <w:rFonts w:hint="eastAsia" w:ascii="宋体" w:hAnsi="宋体" w:eastAsia="宋体" w:cs="宋体"/>
          <w:b/>
          <w:color w:val="auto"/>
          <w:sz w:val="21"/>
          <w:szCs w:val="21"/>
          <w:highlight w:val="none"/>
          <w:lang w:val="en-US" w:eastAsia="zh-CN"/>
        </w:rPr>
        <w:t>无效标</w:t>
      </w:r>
      <w:r>
        <w:rPr>
          <w:rFonts w:hint="eastAsia" w:ascii="宋体" w:hAnsi="宋体" w:eastAsia="宋体" w:cs="宋体"/>
          <w:b/>
          <w:color w:val="auto"/>
          <w:sz w:val="21"/>
          <w:szCs w:val="21"/>
          <w:highlight w:val="none"/>
        </w:rPr>
        <w:t>处理。</w:t>
      </w:r>
    </w:p>
    <w:p w14:paraId="4454C135">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 </w:t>
      </w:r>
      <w:r>
        <w:rPr>
          <w:rFonts w:hint="eastAsia" w:ascii="宋体" w:hAnsi="宋体" w:eastAsia="宋体" w:cs="宋体"/>
          <w:color w:val="auto"/>
          <w:sz w:val="21"/>
          <w:szCs w:val="21"/>
          <w:highlight w:val="none"/>
          <w:lang w:val="en-US" w:eastAsia="zh-CN"/>
        </w:rPr>
        <w:t>依照驻马店市公共资源交易平台退还投标保证金流程</w:t>
      </w:r>
      <w:r>
        <w:rPr>
          <w:rFonts w:hint="eastAsia" w:ascii="宋体" w:hAnsi="宋体" w:eastAsia="宋体" w:cs="宋体"/>
          <w:color w:val="auto"/>
          <w:sz w:val="21"/>
          <w:szCs w:val="21"/>
          <w:highlight w:val="none"/>
        </w:rPr>
        <w:t>退还向未中标的投标人和中标人退还投标保证金。</w:t>
      </w:r>
    </w:p>
    <w:p w14:paraId="5DBA0025">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4BC4B105">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（1）投标人在规定的投标有效期内撤销或修改其投标文件；</w:t>
      </w:r>
    </w:p>
    <w:p w14:paraId="3537269B">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（2）中标人在收到中标通知书后，无正当理由拒签合同协议书或未按招标文件规定提交履约担保。</w:t>
      </w:r>
    </w:p>
    <w:p w14:paraId="36E56097">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发生投标人须知前附表规定的其他可以不予退还投标保证金的情形</w:t>
      </w:r>
      <w:r>
        <w:rPr>
          <w:rFonts w:hint="eastAsia" w:ascii="宋体" w:hAnsi="宋体" w:eastAsia="宋体" w:cs="宋体"/>
          <w:color w:val="auto"/>
          <w:sz w:val="21"/>
          <w:szCs w:val="21"/>
          <w:highlight w:val="none"/>
          <w:lang w:eastAsia="zh-CN"/>
        </w:rPr>
        <w:t>；</w:t>
      </w:r>
    </w:p>
    <w:p w14:paraId="2083DCFE">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法律法规规定的其他情形。</w:t>
      </w:r>
    </w:p>
    <w:p w14:paraId="2D8013EC">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3.5 资格审查资料</w:t>
      </w:r>
      <w:bookmarkEnd w:id="159"/>
    </w:p>
    <w:p w14:paraId="28956CEE">
      <w:pPr>
        <w:keepNext w:val="0"/>
        <w:keepLines w:val="0"/>
        <w:pageBreakBefore w:val="0"/>
        <w:widowControl w:val="0"/>
        <w:wordWrap w:val="0"/>
        <w:overflowPunct/>
        <w:topLinePunct w:val="0"/>
        <w:autoSpaceDE/>
        <w:autoSpaceDN/>
        <w:bidi w:val="0"/>
        <w:adjustRightInd w:val="0"/>
        <w:snapToGrid/>
        <w:spacing w:beforeLines="0" w:line="360" w:lineRule="auto"/>
        <w:ind w:firstLine="420" w:firstLineChars="200"/>
        <w:jc w:val="left"/>
        <w:textAlignment w:val="auto"/>
        <w:rPr>
          <w:rFonts w:hint="eastAsia" w:ascii="宋体" w:hAnsi="宋体" w:eastAsia="宋体" w:cs="宋体"/>
          <w:color w:val="auto"/>
          <w:sz w:val="21"/>
          <w:szCs w:val="21"/>
          <w:highlight w:val="none"/>
          <w:lang w:eastAsia="zh-CN"/>
        </w:rPr>
      </w:pPr>
      <w:bookmarkStart w:id="166" w:name="_Toc221950168"/>
      <w:bookmarkStart w:id="167" w:name="_Toc221950172"/>
      <w:r>
        <w:rPr>
          <w:rFonts w:hint="eastAsia" w:ascii="宋体" w:hAnsi="宋体" w:eastAsia="宋体" w:cs="宋体"/>
          <w:color w:val="auto"/>
          <w:sz w:val="21"/>
          <w:szCs w:val="21"/>
          <w:highlight w:val="none"/>
          <w:lang w:eastAsia="zh-CN"/>
        </w:rPr>
        <w:t>除投标人须知前附表另有规定外，投标人应按下列规定提供资格审查资料，以证明其满足本章第1.4款规定的资质、财务、信誉等要求。</w:t>
      </w:r>
    </w:p>
    <w:p w14:paraId="6F891AF6">
      <w:pPr>
        <w:keepNext w:val="0"/>
        <w:keepLines w:val="0"/>
        <w:pageBreakBefore w:val="0"/>
        <w:widowControl w:val="0"/>
        <w:kinsoku/>
        <w:wordWrap w:val="0"/>
        <w:overflowPunct/>
        <w:topLinePunct w:val="0"/>
        <w:autoSpaceDE/>
        <w:autoSpaceDN/>
        <w:bidi w:val="0"/>
        <w:adjustRightInd/>
        <w:snapToGrid/>
        <w:spacing w:beforeLines="0" w:line="360" w:lineRule="auto"/>
        <w:ind w:firstLine="420" w:firstLineChars="200"/>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3.5.1 “投标人基本情况表”应附投标人营业执照、资质证书和安全生产许可证等材料。</w:t>
      </w:r>
    </w:p>
    <w:p w14:paraId="2AA3F653">
      <w:pPr>
        <w:widowControl w:val="0"/>
        <w:wordWrap w:val="0"/>
        <w:autoSpaceDE/>
        <w:autoSpaceDN/>
        <w:spacing w:beforeLines="0" w:line="360" w:lineRule="auto"/>
        <w:ind w:firstLine="420" w:firstLineChars="200"/>
        <w:jc w:val="both"/>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3.5.2 “近3年财务状况”应附经会计师事务所或审计机构审计的财务审计报告，具体年份要求见投标人须知前附表。</w:t>
      </w:r>
    </w:p>
    <w:p w14:paraId="145BE04A">
      <w:pPr>
        <w:keepNext w:val="0"/>
        <w:keepLines w:val="0"/>
        <w:pageBreakBefore w:val="0"/>
        <w:widowControl w:val="0"/>
        <w:kinsoku/>
        <w:wordWrap w:val="0"/>
        <w:overflowPunct/>
        <w:topLinePunct w:val="0"/>
        <w:autoSpaceDE/>
        <w:autoSpaceDN/>
        <w:bidi w:val="0"/>
        <w:adjustRightInd/>
        <w:snapToGrid/>
        <w:spacing w:beforeLines="0" w:line="360" w:lineRule="auto"/>
        <w:ind w:firstLine="420" w:firstLineChars="200"/>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3.5.3 “类似项目情况表”应按照要求提供；</w:t>
      </w:r>
      <w:r>
        <w:rPr>
          <w:rFonts w:hint="eastAsia" w:ascii="宋体" w:hAnsi="宋体" w:eastAsia="宋体" w:cs="宋体"/>
          <w:b w:val="0"/>
          <w:color w:val="auto"/>
          <w:sz w:val="21"/>
          <w:szCs w:val="21"/>
          <w:highlight w:val="none"/>
          <w:lang w:val="en-US" w:eastAsia="zh-CN"/>
        </w:rPr>
        <w:t>“正在施工的和新承接的类似项目情况表”</w:t>
      </w:r>
      <w:r>
        <w:rPr>
          <w:rFonts w:hint="eastAsia" w:ascii="宋体" w:hAnsi="宋体" w:eastAsia="宋体" w:cs="宋体"/>
          <w:b w:val="0"/>
          <w:bCs w:val="0"/>
          <w:color w:val="auto"/>
          <w:kern w:val="2"/>
          <w:sz w:val="21"/>
          <w:szCs w:val="21"/>
          <w:highlight w:val="none"/>
          <w:lang w:val="en-US" w:eastAsia="zh-CN"/>
        </w:rPr>
        <w:t>应按照要求提供；上述业绩均应同时提供全国水利建设市场监管平台网页查询截图。全国水利建设市场监管平台（https://scjg.mwr.gov.cn/）上的业绩信息查询须与提供的项目业绩信息一致有效，否则不予认定。具体时间要求见投标人须知前附表，每张表格只填写一个项目，并标明序号。</w:t>
      </w:r>
    </w:p>
    <w:p w14:paraId="5579B50C">
      <w:pPr>
        <w:keepNext w:val="0"/>
        <w:keepLines w:val="0"/>
        <w:pageBreakBefore w:val="0"/>
        <w:widowControl w:val="0"/>
        <w:wordWrap w:val="0"/>
        <w:overflowPunct/>
        <w:topLinePunct w:val="0"/>
        <w:bidi w:val="0"/>
        <w:snapToGrid/>
        <w:spacing w:beforeLines="0" w:after="0" w:line="360"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3.5.4 信誉要求：满足本章第1.4.1项规定提供相关资料。</w:t>
      </w:r>
    </w:p>
    <w:p w14:paraId="0DC5C78C">
      <w:pPr>
        <w:widowControl w:val="0"/>
        <w:wordWrap w:val="0"/>
        <w:spacing w:beforeLines="0" w:after="0" w:line="360" w:lineRule="auto"/>
        <w:ind w:firstLine="422" w:firstLineChars="20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3.5.5 “项目管理机构表”应填报满足招标文件规定的项目经理和其他主要人员的相关信息。</w:t>
      </w:r>
    </w:p>
    <w:bookmarkEnd w:id="166"/>
    <w:p w14:paraId="0855F680">
      <w:pPr>
        <w:keepNext w:val="0"/>
        <w:keepLines w:val="0"/>
        <w:pageBreakBefore w:val="0"/>
        <w:widowControl w:val="0"/>
        <w:wordWrap w:val="0"/>
        <w:overflowPunct/>
        <w:topLinePunct w:val="0"/>
        <w:bidi w:val="0"/>
        <w:snapToGrid/>
        <w:spacing w:beforeLines="0" w:after="0" w:line="360" w:lineRule="auto"/>
        <w:ind w:firstLine="0" w:firstLineChars="0"/>
        <w:jc w:val="left"/>
        <w:textAlignment w:val="auto"/>
        <w:outlineLvl w:val="2"/>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3.6 备选投标方案</w:t>
      </w:r>
    </w:p>
    <w:bookmarkEnd w:id="167"/>
    <w:p w14:paraId="24A3EE11">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投标人可以递交备选投标方案，只有中标人所递交的备选投标方案方可予以考虑。评标委员会认为中标人递交的备选投标方案优于其按照招标文件要求编制的投标方案时，招标人可以接受该备选投标方案。</w:t>
      </w:r>
    </w:p>
    <w:p w14:paraId="58861C62">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68" w:name="_Toc256079542"/>
      <w:bookmarkStart w:id="169" w:name="_Toc266859624"/>
      <w:bookmarkStart w:id="170" w:name="_Toc263175926"/>
      <w:r>
        <w:rPr>
          <w:rFonts w:hint="eastAsia" w:ascii="宋体" w:hAnsi="宋体" w:eastAsia="宋体" w:cs="宋体"/>
          <w:b/>
          <w:bCs/>
          <w:color w:val="auto"/>
          <w:sz w:val="21"/>
          <w:szCs w:val="21"/>
          <w:highlight w:val="none"/>
        </w:rPr>
        <w:t>3.7 投标文件的编制</w:t>
      </w:r>
      <w:bookmarkEnd w:id="168"/>
      <w:bookmarkEnd w:id="169"/>
      <w:bookmarkEnd w:id="170"/>
    </w:p>
    <w:p w14:paraId="15D3D22E">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bookmarkStart w:id="171" w:name="_Toc221950175"/>
      <w:r>
        <w:rPr>
          <w:rFonts w:hint="eastAsia" w:ascii="宋体" w:hAnsi="宋体" w:eastAsia="宋体" w:cs="宋体"/>
          <w:color w:val="auto"/>
          <w:sz w:val="21"/>
          <w:szCs w:val="21"/>
          <w:highlight w:val="none"/>
        </w:rPr>
        <w:t>3.7.1 投标文件应按第八章“投标文件格式”进行编写，如有必要，可以增加附页，作为投标文件的组成部分。其中，投标函附录在满足招标文件实质性要求的基础上，可以提出比招标文件要求更有利于招标人的承诺。</w:t>
      </w:r>
    </w:p>
    <w:p w14:paraId="1BE45403">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投标文件应当对招标文件有关</w:t>
      </w:r>
      <w:r>
        <w:rPr>
          <w:rFonts w:hint="eastAsia" w:ascii="宋体" w:hAnsi="宋体" w:eastAsia="宋体" w:cs="宋体"/>
          <w:color w:val="auto"/>
          <w:sz w:val="21"/>
          <w:szCs w:val="21"/>
          <w:highlight w:val="none"/>
          <w:lang w:val="en-US" w:eastAsia="zh-CN"/>
        </w:rPr>
        <w:t>计划</w:t>
      </w:r>
      <w:r>
        <w:rPr>
          <w:rFonts w:hint="eastAsia" w:ascii="宋体" w:hAnsi="宋体" w:eastAsia="宋体" w:cs="宋体"/>
          <w:color w:val="auto"/>
          <w:sz w:val="21"/>
          <w:szCs w:val="21"/>
          <w:highlight w:val="none"/>
        </w:rPr>
        <w:t>工期、投标有效期、质量要求、技术标准和要求、招标范围等实质性内容作出响应。</w:t>
      </w:r>
    </w:p>
    <w:bookmarkEnd w:id="171"/>
    <w:p w14:paraId="2604844B">
      <w:pPr>
        <w:widowControl w:val="0"/>
        <w:wordWrap w:val="0"/>
        <w:autoSpaceDE/>
        <w:autoSpaceDN/>
        <w:adjustRightInd w:val="0"/>
        <w:spacing w:beforeLines="0"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3.7.3 </w:t>
      </w:r>
      <w:r>
        <w:rPr>
          <w:rFonts w:hint="eastAsia" w:ascii="宋体" w:hAnsi="宋体" w:eastAsia="宋体" w:cs="宋体"/>
          <w:b/>
          <w:color w:val="auto"/>
          <w:sz w:val="21"/>
          <w:szCs w:val="21"/>
          <w:highlight w:val="none"/>
        </w:rPr>
        <w:t>在</w:t>
      </w:r>
      <w:r>
        <w:rPr>
          <w:rFonts w:hint="eastAsia" w:ascii="宋体" w:hAnsi="宋体" w:eastAsia="宋体" w:cs="宋体"/>
          <w:b/>
          <w:color w:val="auto"/>
          <w:sz w:val="21"/>
          <w:szCs w:val="21"/>
          <w:highlight w:val="none"/>
          <w:lang w:eastAsia="zh-CN"/>
        </w:rPr>
        <w:t>驻马店市公共资源交易平台</w:t>
      </w:r>
      <w:r>
        <w:rPr>
          <w:rFonts w:hint="eastAsia" w:ascii="宋体" w:hAnsi="宋体" w:eastAsia="宋体" w:cs="宋体"/>
          <w:b/>
          <w:color w:val="auto"/>
          <w:sz w:val="21"/>
          <w:szCs w:val="21"/>
          <w:highlight w:val="none"/>
        </w:rPr>
        <w:t>交易系统中上传加密电子投标文件1份。上传的加密电子投标文件在要求签字盖章的地方加盖电子印章。投标人如授权委托代理人，投标人制作电子投标文件时，先上传签字并盖章后的授权委托书扫描件，再使用CA锁加盖电子公章和法定代表人签字电子章。</w:t>
      </w:r>
    </w:p>
    <w:p w14:paraId="006AF05D">
      <w:pPr>
        <w:keepNext w:val="0"/>
        <w:keepLines w:val="0"/>
        <w:widowControl w:val="0"/>
        <w:wordWrap w:val="0"/>
        <w:adjustRightInd w:val="0"/>
        <w:spacing w:before="0" w:beforeLines="0" w:after="0" w:line="360" w:lineRule="auto"/>
        <w:ind w:firstLine="0" w:firstLineChars="0"/>
        <w:jc w:val="left"/>
        <w:outlineLvl w:val="1"/>
        <w:rPr>
          <w:rFonts w:hint="eastAsia" w:ascii="宋体" w:hAnsi="宋体" w:eastAsia="宋体" w:cs="宋体"/>
          <w:b/>
          <w:bCs/>
          <w:color w:val="auto"/>
          <w:sz w:val="21"/>
          <w:szCs w:val="21"/>
          <w:highlight w:val="none"/>
        </w:rPr>
      </w:pPr>
      <w:bookmarkStart w:id="172" w:name="_Toc16649"/>
      <w:bookmarkStart w:id="173" w:name="_Toc32183"/>
      <w:bookmarkStart w:id="174" w:name="_Toc19920"/>
      <w:bookmarkStart w:id="175" w:name="_Toc23368"/>
      <w:bookmarkStart w:id="176" w:name="_Toc500143923"/>
      <w:bookmarkStart w:id="177" w:name="_Toc2842"/>
      <w:bookmarkStart w:id="178" w:name="_Toc18796"/>
      <w:bookmarkStart w:id="179" w:name="_Toc186623620"/>
      <w:bookmarkStart w:id="180" w:name="_Toc186623307"/>
      <w:r>
        <w:rPr>
          <w:rFonts w:hint="eastAsia" w:ascii="宋体" w:hAnsi="宋体" w:eastAsia="宋体" w:cs="宋体"/>
          <w:b/>
          <w:bCs/>
          <w:color w:val="auto"/>
          <w:sz w:val="21"/>
          <w:szCs w:val="21"/>
          <w:highlight w:val="none"/>
        </w:rPr>
        <w:t>4 投标</w:t>
      </w:r>
      <w:bookmarkEnd w:id="172"/>
      <w:bookmarkEnd w:id="173"/>
      <w:bookmarkEnd w:id="174"/>
      <w:bookmarkEnd w:id="175"/>
      <w:bookmarkEnd w:id="176"/>
      <w:bookmarkEnd w:id="177"/>
      <w:bookmarkEnd w:id="178"/>
    </w:p>
    <w:p w14:paraId="6802D0C8">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4.1 投标文件的密封和标记</w:t>
      </w:r>
    </w:p>
    <w:p w14:paraId="46B41C08">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kern w:val="0"/>
          <w:sz w:val="21"/>
          <w:szCs w:val="21"/>
          <w:highlight w:val="none"/>
        </w:rPr>
      </w:pPr>
      <w:bookmarkStart w:id="181" w:name="_bookmark49"/>
      <w:bookmarkEnd w:id="181"/>
      <w:r>
        <w:rPr>
          <w:rFonts w:hint="eastAsia" w:ascii="宋体" w:hAnsi="宋体" w:eastAsia="宋体" w:cs="宋体"/>
          <w:color w:val="auto"/>
          <w:kern w:val="0"/>
          <w:sz w:val="21"/>
          <w:szCs w:val="21"/>
          <w:highlight w:val="none"/>
        </w:rPr>
        <w:t>4.1.1投标人应当按照招标文件和电子招标投标交易平台的要求加密投标文件，具体要求见投标人须知前附表。</w:t>
      </w:r>
    </w:p>
    <w:p w14:paraId="6C13798E">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4.2 投标文件的递交</w:t>
      </w:r>
      <w:bookmarkEnd w:id="179"/>
      <w:bookmarkEnd w:id="180"/>
    </w:p>
    <w:p w14:paraId="677F245E">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 投标人加密</w:t>
      </w:r>
      <w:r>
        <w:rPr>
          <w:rFonts w:hint="eastAsia" w:ascii="宋体" w:hAnsi="宋体" w:eastAsia="宋体" w:cs="宋体"/>
          <w:color w:val="auto"/>
          <w:kern w:val="0"/>
          <w:sz w:val="21"/>
          <w:szCs w:val="21"/>
          <w:highlight w:val="none"/>
        </w:rPr>
        <w:t>电子投标文件应在投标截止时间前上传。</w:t>
      </w:r>
    </w:p>
    <w:p w14:paraId="0E8DB539">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投标人递交投标文件的地点：见投标人须知前附表。</w:t>
      </w:r>
    </w:p>
    <w:p w14:paraId="6E5CD1CB">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除投标人须知前附表另有规定外，投标人所递交的投标文件不予退还。</w:t>
      </w:r>
    </w:p>
    <w:p w14:paraId="5582166F">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 投标人完成电子投标文件上传后，电子招标投标交易平台即时向投标人发出递交回执通知。递交时间以递交回执通知载明的传输完成时间为准。</w:t>
      </w:r>
    </w:p>
    <w:p w14:paraId="689032FF">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 逾期</w:t>
      </w:r>
      <w:r>
        <w:rPr>
          <w:rFonts w:hint="eastAsia" w:ascii="宋体" w:hAnsi="宋体" w:eastAsia="宋体" w:cs="宋体"/>
          <w:color w:val="auto"/>
          <w:sz w:val="21"/>
          <w:szCs w:val="21"/>
          <w:highlight w:val="none"/>
          <w:lang w:val="en-US" w:eastAsia="zh-CN"/>
        </w:rPr>
        <w:t>上传</w:t>
      </w:r>
      <w:r>
        <w:rPr>
          <w:rFonts w:hint="eastAsia" w:ascii="宋体" w:hAnsi="宋体" w:eastAsia="宋体" w:cs="宋体"/>
          <w:color w:val="auto"/>
          <w:sz w:val="21"/>
          <w:szCs w:val="21"/>
          <w:highlight w:val="none"/>
        </w:rPr>
        <w:t>的投标文件，电子招标投标交易平台将予以拒收。</w:t>
      </w:r>
    </w:p>
    <w:p w14:paraId="226782FE">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82" w:name="_Toc186623621"/>
      <w:bookmarkStart w:id="183" w:name="_Toc186623308"/>
      <w:r>
        <w:rPr>
          <w:rFonts w:hint="eastAsia" w:ascii="宋体" w:hAnsi="宋体" w:eastAsia="宋体" w:cs="宋体"/>
          <w:b/>
          <w:bCs/>
          <w:color w:val="auto"/>
          <w:sz w:val="21"/>
          <w:szCs w:val="21"/>
          <w:highlight w:val="none"/>
        </w:rPr>
        <w:t>4.3 投标文件的修改与撤回</w:t>
      </w:r>
      <w:bookmarkEnd w:id="182"/>
      <w:bookmarkEnd w:id="183"/>
    </w:p>
    <w:p w14:paraId="6F9F82FE">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 在本章第1.10.3 项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476C997F">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01837712">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投标人撤回投标文件的，</w:t>
      </w:r>
      <w:r>
        <w:rPr>
          <w:rFonts w:hint="eastAsia" w:ascii="宋体" w:hAnsi="宋体" w:eastAsia="宋体" w:cs="宋体"/>
          <w:color w:val="auto"/>
          <w:sz w:val="21"/>
          <w:szCs w:val="21"/>
          <w:highlight w:val="none"/>
          <w:lang w:val="en-US" w:eastAsia="zh-CN"/>
        </w:rPr>
        <w:t>依照驻马店市公共资源交易平台退还投标保证金流程</w:t>
      </w:r>
      <w:r>
        <w:rPr>
          <w:rFonts w:hint="eastAsia" w:ascii="宋体" w:hAnsi="宋体" w:eastAsia="宋体" w:cs="宋体"/>
          <w:color w:val="auto"/>
          <w:sz w:val="21"/>
          <w:szCs w:val="21"/>
          <w:highlight w:val="none"/>
        </w:rPr>
        <w:t>退还已收取的投标保证金。</w:t>
      </w:r>
    </w:p>
    <w:p w14:paraId="2BC1863F">
      <w:pPr>
        <w:keepNext w:val="0"/>
        <w:keepLines w:val="0"/>
        <w:widowControl w:val="0"/>
        <w:wordWrap w:val="0"/>
        <w:spacing w:before="0" w:beforeLines="0" w:after="0" w:line="360" w:lineRule="auto"/>
        <w:ind w:firstLine="0" w:firstLineChars="0"/>
        <w:jc w:val="left"/>
        <w:outlineLvl w:val="1"/>
        <w:rPr>
          <w:rFonts w:hint="eastAsia" w:ascii="宋体" w:hAnsi="宋体" w:eastAsia="宋体" w:cs="宋体"/>
          <w:b/>
          <w:bCs/>
          <w:color w:val="auto"/>
          <w:sz w:val="21"/>
          <w:szCs w:val="21"/>
          <w:highlight w:val="none"/>
        </w:rPr>
      </w:pPr>
      <w:bookmarkStart w:id="184" w:name="_Toc24934"/>
      <w:r>
        <w:rPr>
          <w:rFonts w:hint="eastAsia" w:ascii="宋体" w:hAnsi="宋体" w:eastAsia="宋体" w:cs="宋体"/>
          <w:b/>
          <w:bCs/>
          <w:color w:val="auto"/>
          <w:sz w:val="21"/>
          <w:szCs w:val="21"/>
          <w:highlight w:val="none"/>
          <w:lang w:val="en-US" w:eastAsia="zh-CN"/>
        </w:rPr>
        <w:t>5.</w:t>
      </w:r>
      <w:bookmarkStart w:id="185" w:name="_Toc222030987"/>
      <w:bookmarkStart w:id="186" w:name="_Toc168476077"/>
      <w:bookmarkStart w:id="187" w:name="_Toc222029485"/>
      <w:bookmarkStart w:id="188" w:name="_Toc4662"/>
      <w:bookmarkStart w:id="189" w:name="_Toc30601"/>
      <w:bookmarkStart w:id="190" w:name="_Toc222032654"/>
      <w:bookmarkStart w:id="191" w:name="_Toc144974527"/>
      <w:bookmarkStart w:id="192" w:name="_Toc168475674"/>
      <w:bookmarkStart w:id="193" w:name="_Toc3760"/>
      <w:bookmarkStart w:id="194" w:name="_Toc222033836"/>
      <w:bookmarkStart w:id="195" w:name="_Toc229305345"/>
      <w:bookmarkStart w:id="196" w:name="_Toc221950189"/>
      <w:bookmarkStart w:id="197" w:name="_Toc19902"/>
      <w:bookmarkStart w:id="198" w:name="_Toc24679"/>
      <w:r>
        <w:rPr>
          <w:rFonts w:hint="eastAsia" w:ascii="宋体" w:hAnsi="宋体" w:eastAsia="宋体" w:cs="宋体"/>
          <w:b/>
          <w:bCs/>
          <w:color w:val="auto"/>
          <w:sz w:val="21"/>
          <w:szCs w:val="21"/>
          <w:highlight w:val="none"/>
        </w:rPr>
        <w:t>开标</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220C5302">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199" w:name="_Toc221950192"/>
      <w:r>
        <w:rPr>
          <w:rFonts w:hint="eastAsia" w:ascii="宋体" w:hAnsi="宋体" w:eastAsia="宋体" w:cs="宋体"/>
          <w:b/>
          <w:bCs/>
          <w:color w:val="auto"/>
          <w:sz w:val="21"/>
          <w:szCs w:val="21"/>
          <w:highlight w:val="none"/>
        </w:rPr>
        <w:t>5.1 开标时间和地点</w:t>
      </w:r>
    </w:p>
    <w:bookmarkEnd w:id="199"/>
    <w:p w14:paraId="5D5332B3">
      <w:pPr>
        <w:widowControl w:val="0"/>
        <w:wordWrap w:val="0"/>
        <w:adjustRightInd w:val="0"/>
        <w:snapToGrid w:val="0"/>
        <w:spacing w:beforeLines="0" w:line="360" w:lineRule="auto"/>
        <w:ind w:firstLine="420" w:firstLineChars="200"/>
        <w:jc w:val="both"/>
        <w:rPr>
          <w:rFonts w:hint="eastAsia" w:ascii="宋体" w:hAnsi="宋体" w:eastAsia="宋体" w:cs="宋体"/>
          <w:color w:val="auto"/>
          <w:sz w:val="21"/>
          <w:szCs w:val="21"/>
          <w:highlight w:val="none"/>
        </w:rPr>
      </w:pPr>
      <w:bookmarkStart w:id="200" w:name="_Toc221950196"/>
      <w:bookmarkStart w:id="201" w:name="_Toc221950200"/>
      <w:bookmarkStart w:id="202" w:name="_Toc222033837"/>
      <w:bookmarkStart w:id="203" w:name="_Toc168475677"/>
      <w:bookmarkStart w:id="204" w:name="_Toc222030988"/>
      <w:bookmarkStart w:id="205" w:name="_Toc229305346"/>
      <w:bookmarkStart w:id="206" w:name="_Toc222032655"/>
      <w:bookmarkStart w:id="207" w:name="_Toc144974530"/>
      <w:bookmarkStart w:id="208" w:name="_Toc168476080"/>
      <w:bookmarkStart w:id="209" w:name="_Toc222029486"/>
      <w:r>
        <w:rPr>
          <w:rFonts w:hint="eastAsia" w:ascii="宋体" w:hAnsi="宋体" w:eastAsia="宋体" w:cs="宋体"/>
          <w:color w:val="auto"/>
          <w:sz w:val="21"/>
          <w:szCs w:val="21"/>
          <w:highlight w:val="none"/>
        </w:rPr>
        <w:t>招标人在投标截止时间（开标时间），通过电子招标投标交易平台公开开标，所有投标人的法定代表人（单位负责人）或其委托代理人应当准时参加。</w:t>
      </w:r>
    </w:p>
    <w:p w14:paraId="3EE33E30">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5.2 开标程序</w:t>
      </w:r>
    </w:p>
    <w:bookmarkEnd w:id="200"/>
    <w:p w14:paraId="33995033">
      <w:pPr>
        <w:keepNext w:val="0"/>
        <w:keepLines w:val="0"/>
        <w:pageBreakBefore w:val="0"/>
        <w:widowControl w:val="0"/>
        <w:kinsoku/>
        <w:wordWrap w:val="0"/>
        <w:overflowPunct/>
        <w:topLinePunct w:val="0"/>
        <w:autoSpaceDE/>
        <w:autoSpaceDN/>
        <w:bidi w:val="0"/>
        <w:adjustRightInd/>
        <w:snapToGrid/>
        <w:spacing w:before="0" w:beforeLines="0" w:after="0" w:line="360" w:lineRule="auto"/>
        <w:ind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见投标人须知前附表</w:t>
      </w:r>
      <w:bookmarkStart w:id="210" w:name="_Toc31069"/>
      <w:bookmarkStart w:id="211" w:name="_Toc3273468"/>
      <w:bookmarkStart w:id="212" w:name="_Toc26129"/>
      <w:bookmarkStart w:id="213" w:name="_Toc7694"/>
      <w:bookmarkStart w:id="214" w:name="_Toc33277294"/>
      <w:bookmarkStart w:id="215" w:name="_Toc34814234"/>
      <w:bookmarkStart w:id="216" w:name="_Toc25907"/>
      <w:bookmarkStart w:id="217" w:name="_Toc24901"/>
    </w:p>
    <w:p w14:paraId="3E6F8993">
      <w:pPr>
        <w:keepNext w:val="0"/>
        <w:keepLines w:val="0"/>
        <w:pageBreakBefore w:val="0"/>
        <w:widowControl w:val="0"/>
        <w:kinsoku/>
        <w:wordWrap w:val="0"/>
        <w:overflowPunct/>
        <w:topLinePunct w:val="0"/>
        <w:autoSpaceDE/>
        <w:autoSpaceDN/>
        <w:bidi w:val="0"/>
        <w:adjustRightInd/>
        <w:snapToGrid/>
        <w:spacing w:before="0" w:beforeLines="0" w:after="0" w:line="360" w:lineRule="auto"/>
        <w:ind w:firstLine="0" w:firstLineChars="0"/>
        <w:jc w:val="left"/>
        <w:textAlignment w:val="auto"/>
        <w:outlineLvl w:val="2"/>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5.3 开标异议</w:t>
      </w:r>
      <w:bookmarkEnd w:id="210"/>
      <w:bookmarkEnd w:id="211"/>
      <w:bookmarkEnd w:id="212"/>
      <w:bookmarkEnd w:id="213"/>
      <w:bookmarkEnd w:id="214"/>
      <w:bookmarkEnd w:id="215"/>
      <w:bookmarkEnd w:id="216"/>
      <w:bookmarkEnd w:id="217"/>
    </w:p>
    <w:p w14:paraId="2C7D8D05">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lang w:val="en-US" w:eastAsia="zh-CN" w:bidi="ar-SA"/>
        </w:rPr>
      </w:pPr>
      <w:r>
        <w:rPr>
          <w:rFonts w:hint="eastAsia" w:ascii="宋体" w:hAnsi="宋体" w:eastAsia="宋体" w:cs="宋体"/>
          <w:color w:val="auto"/>
          <w:spacing w:val="-10"/>
          <w:sz w:val="21"/>
          <w:szCs w:val="21"/>
          <w:highlight w:val="none"/>
          <w:lang w:val="en-US" w:eastAsia="zh-CN" w:bidi="ar-SA"/>
        </w:rPr>
        <w:t>投标人对开标有异议的，应当在开标</w:t>
      </w:r>
      <w:r>
        <w:rPr>
          <w:rFonts w:hint="eastAsia" w:ascii="宋体" w:hAnsi="宋体" w:eastAsia="宋体" w:cs="宋体"/>
          <w:color w:val="auto"/>
          <w:sz w:val="21"/>
          <w:szCs w:val="21"/>
          <w:highlight w:val="none"/>
          <w:lang w:val="en-US" w:eastAsia="zh-CN" w:bidi="ar-SA"/>
        </w:rPr>
        <w:t>环节</w:t>
      </w:r>
      <w:r>
        <w:rPr>
          <w:rFonts w:hint="eastAsia" w:ascii="宋体" w:hAnsi="宋体" w:eastAsia="宋体" w:cs="宋体"/>
          <w:color w:val="auto"/>
          <w:spacing w:val="-10"/>
          <w:sz w:val="21"/>
          <w:szCs w:val="21"/>
          <w:highlight w:val="none"/>
          <w:lang w:val="en-US" w:eastAsia="zh-CN" w:bidi="ar-SA"/>
        </w:rPr>
        <w:t>提出，招标人当场作出答复，并制作记录。</w:t>
      </w:r>
    </w:p>
    <w:p w14:paraId="77A7DEB7">
      <w:pPr>
        <w:keepNext w:val="0"/>
        <w:keepLines w:val="0"/>
        <w:widowControl w:val="0"/>
        <w:wordWrap w:val="0"/>
        <w:spacing w:before="0" w:beforeLines="0" w:after="0" w:line="360" w:lineRule="auto"/>
        <w:ind w:firstLine="0" w:firstLineChars="0"/>
        <w:jc w:val="left"/>
        <w:outlineLvl w:val="1"/>
        <w:rPr>
          <w:rFonts w:hint="eastAsia" w:ascii="宋体" w:hAnsi="宋体" w:eastAsia="宋体" w:cs="宋体"/>
          <w:b/>
          <w:bCs/>
          <w:color w:val="auto"/>
          <w:sz w:val="21"/>
          <w:szCs w:val="21"/>
          <w:highlight w:val="none"/>
        </w:rPr>
      </w:pPr>
      <w:bookmarkStart w:id="218" w:name="_Toc6676"/>
      <w:bookmarkStart w:id="219" w:name="_Toc19760"/>
      <w:bookmarkStart w:id="220" w:name="_Toc14862"/>
      <w:bookmarkStart w:id="221" w:name="_Toc5756"/>
      <w:bookmarkStart w:id="222" w:name="_Toc14414"/>
      <w:bookmarkStart w:id="223" w:name="_Toc32579"/>
      <w:r>
        <w:rPr>
          <w:rFonts w:hint="eastAsia" w:ascii="宋体" w:hAnsi="宋体" w:eastAsia="宋体" w:cs="宋体"/>
          <w:b/>
          <w:bCs/>
          <w:color w:val="auto"/>
          <w:sz w:val="21"/>
          <w:szCs w:val="21"/>
          <w:highlight w:val="none"/>
        </w:rPr>
        <w:t>6. 评标</w:t>
      </w:r>
      <w:bookmarkEnd w:id="201"/>
      <w:bookmarkEnd w:id="202"/>
      <w:bookmarkEnd w:id="203"/>
      <w:bookmarkEnd w:id="204"/>
      <w:bookmarkEnd w:id="205"/>
      <w:bookmarkEnd w:id="206"/>
      <w:bookmarkEnd w:id="207"/>
      <w:bookmarkEnd w:id="208"/>
      <w:bookmarkEnd w:id="209"/>
      <w:bookmarkEnd w:id="218"/>
      <w:bookmarkEnd w:id="219"/>
      <w:bookmarkEnd w:id="220"/>
      <w:bookmarkEnd w:id="221"/>
      <w:bookmarkEnd w:id="222"/>
      <w:bookmarkEnd w:id="223"/>
    </w:p>
    <w:p w14:paraId="42548C73">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224" w:name="_Toc186623313"/>
      <w:bookmarkStart w:id="225" w:name="_Toc186623626"/>
      <w:bookmarkStart w:id="226" w:name="_Toc222030989"/>
      <w:bookmarkStart w:id="227" w:name="_Toc168476084"/>
      <w:bookmarkStart w:id="228" w:name="_Toc222033838"/>
      <w:bookmarkStart w:id="229" w:name="_Toc221950208"/>
      <w:bookmarkStart w:id="230" w:name="_Toc222029487"/>
      <w:bookmarkStart w:id="231" w:name="_Toc144974534"/>
      <w:bookmarkStart w:id="232" w:name="_Toc229305347"/>
      <w:bookmarkStart w:id="233" w:name="_Toc222032656"/>
      <w:bookmarkStart w:id="234" w:name="_Toc168475681"/>
      <w:r>
        <w:rPr>
          <w:rFonts w:hint="eastAsia" w:ascii="宋体" w:hAnsi="宋体" w:eastAsia="宋体" w:cs="宋体"/>
          <w:b/>
          <w:bCs/>
          <w:color w:val="auto"/>
          <w:sz w:val="21"/>
          <w:szCs w:val="21"/>
          <w:highlight w:val="none"/>
        </w:rPr>
        <w:t>6.1 评标委员会</w:t>
      </w:r>
      <w:bookmarkEnd w:id="224"/>
      <w:bookmarkEnd w:id="225"/>
    </w:p>
    <w:p w14:paraId="5DBC003A">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标由招标人依法组建的评标委员会负责。评标委员会由招标人或其委托的熟悉相关业务的代表，以及有关技术、经济等方面的专家组成。评标委员会成员人数以及技术、经济等方面专家的确定方式见投标人须知前附表。</w:t>
      </w:r>
    </w:p>
    <w:p w14:paraId="52E4D5B2">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14:paraId="448116F7">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（1）招标人或投标人的主要负责人的近亲属；</w:t>
      </w:r>
    </w:p>
    <w:p w14:paraId="3D0F7B1F">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6CB4D00C">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（3）与投标人有经济利益关系，可能影响对投标公正评审的；</w:t>
      </w:r>
    </w:p>
    <w:p w14:paraId="59596354">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14:paraId="3B52EF90">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235" w:name="_Toc186623314"/>
      <w:bookmarkStart w:id="236" w:name="_Toc186623627"/>
      <w:r>
        <w:rPr>
          <w:rFonts w:hint="eastAsia" w:ascii="宋体" w:hAnsi="宋体" w:eastAsia="宋体" w:cs="宋体"/>
          <w:b/>
          <w:bCs/>
          <w:color w:val="auto"/>
          <w:sz w:val="21"/>
          <w:szCs w:val="21"/>
          <w:highlight w:val="none"/>
        </w:rPr>
        <w:t>6.2 评标原则</w:t>
      </w:r>
      <w:bookmarkEnd w:id="235"/>
      <w:bookmarkEnd w:id="236"/>
    </w:p>
    <w:p w14:paraId="33EE1FCD">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3015057B">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237" w:name="_Toc186623315"/>
      <w:bookmarkStart w:id="238" w:name="_Toc186623628"/>
      <w:r>
        <w:rPr>
          <w:rFonts w:hint="eastAsia" w:ascii="宋体" w:hAnsi="宋体" w:eastAsia="宋体" w:cs="宋体"/>
          <w:b/>
          <w:bCs/>
          <w:color w:val="auto"/>
          <w:sz w:val="21"/>
          <w:szCs w:val="21"/>
          <w:highlight w:val="none"/>
        </w:rPr>
        <w:t>6.3 评标</w:t>
      </w:r>
      <w:bookmarkEnd w:id="237"/>
      <w:bookmarkEnd w:id="238"/>
    </w:p>
    <w:p w14:paraId="492E86ED">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bookmarkStart w:id="239" w:name="_Toc16339"/>
      <w:bookmarkStart w:id="240" w:name="_Toc26161"/>
      <w:bookmarkStart w:id="241" w:name="_Toc19154"/>
      <w:bookmarkStart w:id="242" w:name="_Toc5326"/>
      <w:r>
        <w:rPr>
          <w:rFonts w:hint="eastAsia" w:ascii="宋体" w:hAnsi="宋体" w:eastAsia="宋体" w:cs="宋体"/>
          <w:color w:val="auto"/>
          <w:sz w:val="21"/>
          <w:szCs w:val="21"/>
          <w:highlight w:val="none"/>
          <w:lang w:val="en-US" w:eastAsia="zh-CN"/>
        </w:rPr>
        <w:t>6.3.1 评标委员会按照第三章“评标办法和定标办法”规定的方法、评审因素、标准和程序对投标文件进行评审。第三章“评标办法和定标办法”没有规定的方法、评审因素和标准，不作为评标依据。</w:t>
      </w:r>
    </w:p>
    <w:p w14:paraId="25CD756A">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6.3.2 评标完成后，评标委员会应当向招标人提交书面评标报告和中标候选人名单。评标委员会推荐中标候选人的人数见投标人须知前附表。</w:t>
      </w:r>
    </w:p>
    <w:p w14:paraId="43A7FF64">
      <w:pPr>
        <w:keepNext w:val="0"/>
        <w:keepLines w:val="0"/>
        <w:widowControl w:val="0"/>
        <w:wordWrap w:val="0"/>
        <w:spacing w:before="0" w:beforeLines="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7.合同授予</w:t>
      </w:r>
      <w:bookmarkEnd w:id="226"/>
      <w:bookmarkEnd w:id="227"/>
      <w:bookmarkEnd w:id="228"/>
      <w:bookmarkEnd w:id="229"/>
      <w:bookmarkEnd w:id="230"/>
      <w:bookmarkEnd w:id="231"/>
      <w:bookmarkEnd w:id="232"/>
      <w:bookmarkEnd w:id="233"/>
      <w:bookmarkEnd w:id="234"/>
      <w:bookmarkEnd w:id="239"/>
      <w:bookmarkEnd w:id="240"/>
      <w:bookmarkEnd w:id="241"/>
      <w:bookmarkEnd w:id="242"/>
    </w:p>
    <w:p w14:paraId="558BEA4A">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lang w:val="en-US" w:eastAsia="zh-CN"/>
        </w:rPr>
      </w:pPr>
      <w:bookmarkStart w:id="243" w:name="_Toc221950211"/>
      <w:r>
        <w:rPr>
          <w:rFonts w:hint="eastAsia" w:ascii="宋体" w:hAnsi="宋体" w:eastAsia="宋体" w:cs="宋体"/>
          <w:b/>
          <w:bCs/>
          <w:color w:val="auto"/>
          <w:sz w:val="21"/>
          <w:szCs w:val="21"/>
          <w:highlight w:val="none"/>
          <w:lang w:val="en-US" w:eastAsia="zh-CN"/>
        </w:rPr>
        <w:t>7.1中标候选人公示</w:t>
      </w:r>
    </w:p>
    <w:p w14:paraId="507FFD3F">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招标人在收到评标报告之日起 3 日内，按照投标人须知前附表规定的公示媒介和期限公示中标候选人，公示期不得少于 3 天。</w:t>
      </w:r>
    </w:p>
    <w:p w14:paraId="64D604C3">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7.2 评标结果异议</w:t>
      </w:r>
    </w:p>
    <w:p w14:paraId="44FD4246">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投标人或者其他利害关系人对评标结果有异议的，应当在中标候选人公示期间提出。招标人将在收到异议之日起 3 日内作出答复；作出答复前，将暂停招标投标活动。</w:t>
      </w:r>
    </w:p>
    <w:p w14:paraId="54FA4EF7">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7.3 中标候选人履约能力审查</w:t>
      </w:r>
    </w:p>
    <w:p w14:paraId="1B536C8D">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中标候选人的经营、财务状况发生较大变化或存在违法行为，招标人认为可能影响其履约能力的，将在发出中标通知书前提请原评标委员会按照招标文件规定的标准和方法进行审查确认。</w:t>
      </w:r>
    </w:p>
    <w:p w14:paraId="13500C8D">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 xml:space="preserve"> 定标方式</w:t>
      </w:r>
    </w:p>
    <w:bookmarkEnd w:id="243"/>
    <w:p w14:paraId="04D825FD">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bookmarkStart w:id="244" w:name="_Toc186623631"/>
      <w:bookmarkStart w:id="245" w:name="_Toc186623318"/>
      <w:r>
        <w:rPr>
          <w:rFonts w:hint="eastAsia" w:ascii="宋体" w:hAnsi="宋体" w:eastAsia="宋体" w:cs="宋体"/>
          <w:color w:val="auto"/>
          <w:sz w:val="21"/>
          <w:szCs w:val="21"/>
          <w:highlight w:val="none"/>
          <w:lang w:val="en-US" w:eastAsia="zh-CN"/>
        </w:rPr>
        <w:t>按照投标人须知前附表的规定，采用评定分离方式确定中标人。具体定标办法详见第三章“评标办法和定标办法”。</w:t>
      </w:r>
    </w:p>
    <w:p w14:paraId="76F39239">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 xml:space="preserve"> 中标通知</w:t>
      </w:r>
      <w:bookmarkEnd w:id="244"/>
      <w:bookmarkEnd w:id="245"/>
    </w:p>
    <w:p w14:paraId="2C678A36">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在本章第3.3款规定的投标有效期内，招标人以书面形式向中标人发出中标通知书，同时将中标结果通知未中标的投标人。</w:t>
      </w:r>
    </w:p>
    <w:p w14:paraId="47AAB718">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246" w:name="_Toc186623319"/>
      <w:bookmarkStart w:id="247" w:name="_Toc186623632"/>
      <w:r>
        <w:rPr>
          <w:rFonts w:hint="eastAsia" w:ascii="宋体" w:hAnsi="宋体" w:eastAsia="宋体" w:cs="宋体"/>
          <w:b/>
          <w:bCs/>
          <w:color w:val="auto"/>
          <w:sz w:val="21"/>
          <w:szCs w:val="21"/>
          <w:highlight w:val="none"/>
        </w:rPr>
        <w:t>7.</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 xml:space="preserve"> 履约担保</w:t>
      </w:r>
      <w:bookmarkEnd w:id="246"/>
      <w:bookmarkEnd w:id="247"/>
    </w:p>
    <w:p w14:paraId="4A02DBB4">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7.6.1 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14:paraId="37A21946">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7.6.2 中标人不能按本章第7.3.1 项要求提交履约担保的，视为放弃中标，其投标保证金不予退还，给招标人造成的损失超过投标保证金数额的，中标人还应当对超过部分予以赔偿。</w:t>
      </w:r>
    </w:p>
    <w:p w14:paraId="1420444A">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 xml:space="preserve"> 签订合同</w:t>
      </w:r>
    </w:p>
    <w:p w14:paraId="7D324F06">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bookmarkStart w:id="248" w:name="_Toc221950219"/>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招标人和中标人应当自中标通知书发出之日起</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天内</w:t>
      </w:r>
      <w:r>
        <w:rPr>
          <w:rFonts w:hint="eastAsia" w:ascii="宋体" w:hAnsi="宋体" w:eastAsia="宋体" w:cs="宋体"/>
          <w:color w:val="auto"/>
          <w:sz w:val="21"/>
          <w:szCs w:val="21"/>
          <w:highlight w:val="none"/>
          <w:lang w:eastAsia="zh-CN"/>
        </w:rPr>
        <w:t>，投标人需在投标</w:t>
      </w:r>
      <w:r>
        <w:rPr>
          <w:rFonts w:hint="eastAsia" w:ascii="宋体" w:hAnsi="宋体" w:eastAsia="宋体" w:cs="宋体"/>
          <w:color w:val="auto"/>
          <w:sz w:val="21"/>
          <w:szCs w:val="21"/>
          <w:highlight w:val="none"/>
          <w:lang w:val="en-US" w:eastAsia="zh-CN"/>
        </w:rPr>
        <w:t>文件</w:t>
      </w:r>
      <w:r>
        <w:rPr>
          <w:rFonts w:hint="eastAsia" w:ascii="宋体" w:hAnsi="宋体" w:eastAsia="宋体" w:cs="宋体"/>
          <w:color w:val="auto"/>
          <w:sz w:val="21"/>
          <w:szCs w:val="21"/>
          <w:highlight w:val="none"/>
          <w:lang w:eastAsia="zh-CN"/>
        </w:rPr>
        <w:t>中针对上述要求做出</w:t>
      </w:r>
      <w:r>
        <w:rPr>
          <w:rFonts w:hint="eastAsia" w:ascii="宋体" w:hAnsi="宋体" w:eastAsia="宋体" w:cs="宋体"/>
          <w:color w:val="auto"/>
          <w:sz w:val="21"/>
          <w:szCs w:val="21"/>
          <w:highlight w:val="none"/>
          <w:lang w:val="en-US" w:eastAsia="zh-CN"/>
        </w:rPr>
        <w:t>承诺</w:t>
      </w:r>
      <w:r>
        <w:rPr>
          <w:rFonts w:hint="eastAsia" w:ascii="宋体" w:hAnsi="宋体" w:eastAsia="宋体" w:cs="宋体"/>
          <w:color w:val="auto"/>
          <w:sz w:val="21"/>
          <w:szCs w:val="21"/>
          <w:highlight w:val="none"/>
        </w:rPr>
        <w:t>。根据招标文件和中标人的投标文件订立书面合同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无正当理由拒签合同的，招标人取消其中标资格，其投标保证金不予退还；给招标人造成的损失超过投标保证金数额的，中标人还应当对超过部分予以赔偿。</w:t>
      </w:r>
    </w:p>
    <w:p w14:paraId="26671FF6">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发出中标通知书后，招标人无正当理由拒签合同的，招标人向中标人退还投标保证金，并按投标保证金双倍的金额补偿投标人损失</w:t>
      </w:r>
      <w:bookmarkEnd w:id="248"/>
      <w:r>
        <w:rPr>
          <w:rFonts w:hint="eastAsia" w:ascii="宋体" w:hAnsi="宋体" w:eastAsia="宋体" w:cs="宋体"/>
          <w:color w:val="auto"/>
          <w:sz w:val="21"/>
          <w:szCs w:val="21"/>
          <w:highlight w:val="none"/>
          <w:lang w:eastAsia="zh-CN"/>
        </w:rPr>
        <w:t>。</w:t>
      </w:r>
    </w:p>
    <w:p w14:paraId="7D95124D">
      <w:pPr>
        <w:keepNext w:val="0"/>
        <w:keepLines w:val="0"/>
        <w:widowControl w:val="0"/>
        <w:wordWrap w:val="0"/>
        <w:spacing w:before="0" w:beforeLines="0" w:after="0" w:line="360" w:lineRule="auto"/>
        <w:ind w:firstLine="0" w:firstLineChars="0"/>
        <w:jc w:val="left"/>
        <w:outlineLvl w:val="1"/>
        <w:rPr>
          <w:rFonts w:hint="eastAsia" w:ascii="宋体" w:hAnsi="宋体" w:eastAsia="宋体" w:cs="宋体"/>
          <w:color w:val="auto"/>
          <w:sz w:val="21"/>
          <w:szCs w:val="21"/>
          <w:highlight w:val="none"/>
        </w:rPr>
      </w:pPr>
      <w:bookmarkStart w:id="249" w:name="_Toc23021"/>
      <w:r>
        <w:rPr>
          <w:rFonts w:hint="eastAsia" w:ascii="宋体" w:hAnsi="宋体" w:eastAsia="宋体" w:cs="宋体"/>
          <w:b/>
          <w:bCs/>
          <w:color w:val="auto"/>
          <w:sz w:val="21"/>
          <w:szCs w:val="21"/>
          <w:highlight w:val="none"/>
          <w:lang w:val="en-US" w:eastAsia="zh-CN"/>
        </w:rPr>
        <w:t>8.</w:t>
      </w:r>
      <w:bookmarkStart w:id="250" w:name="_Toc5056"/>
      <w:bookmarkStart w:id="251" w:name="_Toc222029488"/>
      <w:bookmarkStart w:id="252" w:name="_Toc222032657"/>
      <w:bookmarkStart w:id="253" w:name="_Toc221950220"/>
      <w:bookmarkStart w:id="254" w:name="_Toc144974539"/>
      <w:bookmarkStart w:id="255" w:name="_Toc222030990"/>
      <w:bookmarkStart w:id="256" w:name="_Toc222033839"/>
      <w:bookmarkStart w:id="257" w:name="_Toc28472"/>
      <w:bookmarkStart w:id="258" w:name="_Toc6584"/>
      <w:bookmarkStart w:id="259" w:name="_Toc168475686"/>
      <w:bookmarkStart w:id="260" w:name="_Toc12419"/>
      <w:bookmarkStart w:id="261" w:name="_Toc229305348"/>
      <w:bookmarkStart w:id="262" w:name="_Toc168476089"/>
      <w:bookmarkStart w:id="263" w:name="_Toc17270"/>
      <w:r>
        <w:rPr>
          <w:rFonts w:hint="eastAsia" w:ascii="宋体" w:hAnsi="宋体" w:eastAsia="宋体" w:cs="宋体"/>
          <w:b/>
          <w:bCs/>
          <w:color w:val="auto"/>
          <w:sz w:val="21"/>
          <w:szCs w:val="21"/>
          <w:highlight w:val="none"/>
        </w:rPr>
        <w:t>重新招标或经批准不招标</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63C4F251">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bookmarkStart w:id="264" w:name="_Toc221950225"/>
      <w:r>
        <w:rPr>
          <w:rFonts w:hint="eastAsia" w:ascii="宋体" w:hAnsi="宋体" w:eastAsia="宋体" w:cs="宋体"/>
          <w:b/>
          <w:bCs/>
          <w:color w:val="auto"/>
          <w:sz w:val="21"/>
          <w:szCs w:val="21"/>
          <w:highlight w:val="none"/>
        </w:rPr>
        <w:t>8.1 重新招标</w:t>
      </w:r>
    </w:p>
    <w:p w14:paraId="6C1CDF68">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511DD80F">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 3 个的；</w:t>
      </w:r>
    </w:p>
    <w:p w14:paraId="233BCE5A">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6D08139E">
      <w:pPr>
        <w:widowControl w:val="0"/>
        <w:wordWrap w:val="0"/>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（3）评标委员会否决不合格投标后，因有效投标不足 3 个使得投标明显缺乏竞争的，评标委员会决定否决全部投标的；</w:t>
      </w:r>
      <w:r>
        <w:rPr>
          <w:rFonts w:hint="eastAsia" w:ascii="宋体" w:hAnsi="宋体" w:eastAsia="宋体" w:cs="宋体"/>
          <w:color w:val="auto"/>
          <w:sz w:val="21"/>
          <w:szCs w:val="21"/>
          <w:highlight w:val="none"/>
          <w:lang w:val="en-US" w:eastAsia="zh-CN"/>
        </w:rPr>
        <w:t>采用评定分离方式确定中标人的项目，有效投标人不足3个的；</w:t>
      </w:r>
    </w:p>
    <w:p w14:paraId="411C4633">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（4）同意延长投标有效期的投标人少于 3 个的；</w:t>
      </w:r>
    </w:p>
    <w:p w14:paraId="08418EB6">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（5）中标候选人均未与招标人签订合同的；</w:t>
      </w:r>
    </w:p>
    <w:p w14:paraId="46E3814E">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（6）经查实，中标候选人均不具备中标资格或存在违规行为的。</w:t>
      </w:r>
    </w:p>
    <w:p w14:paraId="5252BBB1">
      <w:pPr>
        <w:keepNext w:val="0"/>
        <w:keepLines w:val="0"/>
        <w:widowControl w:val="0"/>
        <w:wordWrap w:val="0"/>
        <w:spacing w:before="0" w:beforeLines="0" w:after="0" w:line="360" w:lineRule="auto"/>
        <w:ind w:firstLine="0" w:firstLineChars="0"/>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8.2 不再招标</w:t>
      </w:r>
    </w:p>
    <w:p w14:paraId="3E74703B">
      <w:pPr>
        <w:widowControl w:val="0"/>
        <w:wordWrap w:val="0"/>
        <w:autoSpaceDE/>
        <w:autoSpaceDN/>
        <w:adjustRightInd w:val="0"/>
        <w:spacing w:beforeLines="0"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重新招标后，仍出现本章第8.1条规定情形之一的，属于必须审批的工程建设项目，经行政监督部门批准后不再进行招标</w:t>
      </w:r>
      <w:r>
        <w:rPr>
          <w:rFonts w:hint="eastAsia" w:ascii="宋体" w:hAnsi="宋体" w:eastAsia="宋体" w:cs="宋体"/>
          <w:color w:val="auto"/>
          <w:sz w:val="21"/>
          <w:szCs w:val="21"/>
          <w:highlight w:val="none"/>
          <w:lang w:eastAsia="zh-CN"/>
        </w:rPr>
        <w:t>。</w:t>
      </w:r>
    </w:p>
    <w:p w14:paraId="64D10B52">
      <w:pPr>
        <w:keepNext w:val="0"/>
        <w:keepLines w:val="0"/>
        <w:widowControl w:val="0"/>
        <w:wordWrap w:val="0"/>
        <w:spacing w:before="0" w:beforeLines="0" w:after="0" w:line="360" w:lineRule="auto"/>
        <w:ind w:firstLine="0" w:firstLineChars="0"/>
        <w:jc w:val="left"/>
        <w:outlineLvl w:val="1"/>
        <w:rPr>
          <w:rFonts w:hint="eastAsia" w:ascii="宋体" w:hAnsi="宋体" w:eastAsia="宋体" w:cs="宋体"/>
          <w:b/>
          <w:bCs/>
          <w:color w:val="auto"/>
          <w:sz w:val="21"/>
          <w:szCs w:val="21"/>
          <w:highlight w:val="none"/>
        </w:rPr>
      </w:pPr>
      <w:bookmarkStart w:id="265" w:name="_Toc30501"/>
      <w:r>
        <w:rPr>
          <w:rFonts w:hint="eastAsia" w:ascii="宋体" w:hAnsi="宋体" w:eastAsia="宋体" w:cs="宋体"/>
          <w:b/>
          <w:bCs/>
          <w:color w:val="auto"/>
          <w:sz w:val="21"/>
          <w:szCs w:val="21"/>
          <w:highlight w:val="none"/>
          <w:lang w:val="en-US" w:eastAsia="zh-CN"/>
        </w:rPr>
        <w:t>9.</w:t>
      </w:r>
      <w:bookmarkEnd w:id="264"/>
      <w:bookmarkStart w:id="266" w:name="_Toc222032658"/>
      <w:bookmarkStart w:id="267" w:name="_Toc168475689"/>
      <w:bookmarkStart w:id="268" w:name="_Toc222033840"/>
      <w:bookmarkStart w:id="269" w:name="_Toc853"/>
      <w:bookmarkStart w:id="270" w:name="_Toc24787"/>
      <w:bookmarkStart w:id="271" w:name="_Toc24716"/>
      <w:bookmarkStart w:id="272" w:name="_Toc22012"/>
      <w:bookmarkStart w:id="273" w:name="_Toc229305349"/>
      <w:bookmarkStart w:id="274" w:name="_Toc222029489"/>
      <w:bookmarkStart w:id="275" w:name="_Toc14890"/>
      <w:bookmarkStart w:id="276" w:name="_Toc144974542"/>
      <w:bookmarkStart w:id="277" w:name="_Toc221950226"/>
      <w:bookmarkStart w:id="278" w:name="_Toc222030991"/>
      <w:bookmarkStart w:id="279" w:name="_Toc168476092"/>
      <w:r>
        <w:rPr>
          <w:rFonts w:hint="eastAsia" w:ascii="宋体" w:hAnsi="宋体" w:eastAsia="宋体" w:cs="宋体"/>
          <w:b/>
          <w:bCs/>
          <w:color w:val="auto"/>
          <w:sz w:val="21"/>
          <w:szCs w:val="21"/>
          <w:highlight w:val="none"/>
        </w:rPr>
        <w:t>纪律和监督</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37E79E18">
      <w:pPr>
        <w:widowControl w:val="0"/>
        <w:wordWrap w:val="0"/>
        <w:autoSpaceDE/>
        <w:autoSpaceDN/>
        <w:adjustRightInd/>
        <w:spacing w:beforeLines="0" w:line="360" w:lineRule="auto"/>
        <w:ind w:firstLine="0" w:firstLineChars="0"/>
        <w:jc w:val="left"/>
        <w:outlineLvl w:val="2"/>
        <w:rPr>
          <w:rFonts w:hint="default" w:ascii="宋体" w:hAnsi="宋体" w:eastAsia="宋体" w:cs="宋体"/>
          <w:b/>
          <w:bCs/>
          <w:szCs w:val="21"/>
          <w:lang w:val="en-US" w:eastAsia="zh-CN"/>
        </w:rPr>
      </w:pPr>
      <w:r>
        <w:rPr>
          <w:rFonts w:hint="eastAsia" w:ascii="宋体" w:hAnsi="宋体" w:eastAsia="宋体" w:cs="宋体"/>
          <w:b/>
          <w:bCs/>
          <w:szCs w:val="21"/>
        </w:rPr>
        <w:t xml:space="preserve">9.1 </w:t>
      </w:r>
      <w:r>
        <w:rPr>
          <w:rFonts w:hint="eastAsia" w:ascii="宋体" w:hAnsi="宋体" w:eastAsia="宋体" w:cs="宋体"/>
          <w:b/>
          <w:bCs/>
          <w:szCs w:val="21"/>
          <w:lang w:val="en-US" w:eastAsia="zh-CN"/>
        </w:rPr>
        <w:t>对投标人的纪律要求</w:t>
      </w:r>
    </w:p>
    <w:p w14:paraId="391E2A1B">
      <w:pPr>
        <w:widowControl w:val="0"/>
        <w:wordWrap w:val="0"/>
        <w:autoSpaceDE/>
        <w:autoSpaceDN/>
        <w:adjustRightInd/>
        <w:spacing w:beforeLines="0" w:line="360" w:lineRule="auto"/>
        <w:ind w:firstLine="420" w:firstLineChars="200"/>
        <w:jc w:val="left"/>
        <w:outlineLvl w:val="9"/>
        <w:rPr>
          <w:rFonts w:hint="eastAsia" w:ascii="宋体" w:hAnsi="宋体" w:eastAsia="宋体" w:cs="宋体"/>
          <w:szCs w:val="21"/>
        </w:rPr>
      </w:pPr>
      <w:r>
        <w:rPr>
          <w:rFonts w:hint="eastAsia" w:ascii="宋体" w:hAnsi="宋体" w:eastAsia="宋体" w:cs="宋体"/>
          <w:szCs w:val="21"/>
        </w:rPr>
        <w:t>在招标投标期间，发现投标人、中标候选人、中标人存在以下行为的，招标人、评标委员会应根据情况，取消其投标资格、中标候选人或中标资格，或将投标文件按无效标处理，同时将其不良行为报送水行政主管部门依法进行处罚。</w:t>
      </w:r>
    </w:p>
    <w:p w14:paraId="089961CE">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9.1.1有下列情形之一的，属于投标人相互串通投标：</w:t>
      </w:r>
    </w:p>
    <w:p w14:paraId="7B527EE1">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（1）投标人之间协商投标报价等投标文件的实质性内容；</w:t>
      </w:r>
    </w:p>
    <w:p w14:paraId="2EBD7A0D">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（2）投标人之间约定中标人；</w:t>
      </w:r>
    </w:p>
    <w:p w14:paraId="494EF1AF">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（3）投标人之间约定部分投标人放弃投标或者中标；</w:t>
      </w:r>
    </w:p>
    <w:p w14:paraId="3F1C7627">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（4）属于同一集团、协会、商会等组织成员的投标人按照该组织要求协同投标；</w:t>
      </w:r>
    </w:p>
    <w:p w14:paraId="72310A5C">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（5）投标人之间为谋取中标或者排斥特定投标人而采取的其他联合行动。</w:t>
      </w:r>
    </w:p>
    <w:p w14:paraId="7B4CFF14">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9.1.2有下列情形之一的，视为投标人相互串通投标：</w:t>
      </w:r>
    </w:p>
    <w:p w14:paraId="7958E09D">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（1）不同投标人的投标文件由同一单位或者个人编制；</w:t>
      </w:r>
    </w:p>
    <w:p w14:paraId="6D51033D">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（2）不同投标人委托同一单位或者个人办理投标事宜；</w:t>
      </w:r>
    </w:p>
    <w:p w14:paraId="48EF6FAB">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（3）不同投标人的投标文件载明的项目管理成员为同一人；</w:t>
      </w:r>
    </w:p>
    <w:p w14:paraId="25C3557A">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（4）不同投标人的投标文件异常一致或者投标报价呈规律性差异；</w:t>
      </w:r>
    </w:p>
    <w:p w14:paraId="6029800D">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（5）不同投标人的投标文件相互混装；</w:t>
      </w:r>
    </w:p>
    <w:p w14:paraId="40DDB3E7">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（6）不同投标人的投标保证金从同一单位或者个人的账户转出。</w:t>
      </w:r>
    </w:p>
    <w:p w14:paraId="66F5C914">
      <w:pPr>
        <w:widowControl w:val="0"/>
        <w:wordWrap w:val="0"/>
        <w:adjustRightInd/>
        <w:snapToGrid/>
        <w:spacing w:beforeLines="0" w:line="360" w:lineRule="auto"/>
        <w:ind w:firstLine="420" w:firstLineChars="200"/>
        <w:jc w:val="left"/>
        <w:outlineLvl w:val="9"/>
        <w:rPr>
          <w:rFonts w:hint="eastAsia" w:ascii="宋体" w:hAnsi="宋体" w:eastAsia="宋体" w:cs="宋体"/>
          <w:szCs w:val="21"/>
        </w:rPr>
      </w:pPr>
      <w:r>
        <w:rPr>
          <w:rFonts w:hint="eastAsia" w:ascii="宋体" w:hAnsi="宋体" w:eastAsia="宋体" w:cs="宋体"/>
          <w:szCs w:val="21"/>
          <w:lang w:val="en-US" w:eastAsia="zh-CN"/>
        </w:rPr>
        <w:t>9.1.3</w:t>
      </w:r>
      <w:r>
        <w:rPr>
          <w:rFonts w:hint="eastAsia" w:ascii="宋体" w:hAnsi="宋体" w:eastAsia="宋体" w:cs="宋体"/>
          <w:szCs w:val="21"/>
        </w:rPr>
        <w:t>使用通过受让或者租借等方式获取的资格、资质证书投标的，属于招标投标法第三十三条规定的以他人名义投标。</w:t>
      </w:r>
    </w:p>
    <w:p w14:paraId="49DE5915">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有下列情形之一的，属于招标投标法第三十三条规定的以其他方式弄虚作假的行为：</w:t>
      </w:r>
    </w:p>
    <w:p w14:paraId="450EA06B">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（1）使用伪造、变造的许可证件；</w:t>
      </w:r>
    </w:p>
    <w:p w14:paraId="264B6C51">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（2）提供虚假的财务状况或者业绩；</w:t>
      </w:r>
    </w:p>
    <w:p w14:paraId="2C518009">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（3）提供虚假的项目负责人或者主要技术人员简历、劳动关系证明；</w:t>
      </w:r>
    </w:p>
    <w:p w14:paraId="72B53183">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（4）提供虚假的信用状况；</w:t>
      </w:r>
    </w:p>
    <w:p w14:paraId="4E3E1E54">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（5）其他弄虚作假的行为。</w:t>
      </w:r>
    </w:p>
    <w:p w14:paraId="174CA5E7">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9.2</w:t>
      </w:r>
      <w:r>
        <w:rPr>
          <w:rFonts w:hint="eastAsia" w:ascii="宋体" w:hAnsi="宋体" w:eastAsia="宋体" w:cs="宋体"/>
          <w:b/>
          <w:bCs/>
          <w:szCs w:val="21"/>
          <w:lang w:val="en-US" w:eastAsia="zh-CN"/>
        </w:rPr>
        <w:t xml:space="preserve"> </w:t>
      </w:r>
      <w:r>
        <w:rPr>
          <w:rFonts w:hint="eastAsia" w:ascii="宋体" w:hAnsi="宋体" w:eastAsia="宋体" w:cs="宋体"/>
          <w:b/>
          <w:bCs/>
          <w:szCs w:val="21"/>
        </w:rPr>
        <w:t>对招标人的纪律要求</w:t>
      </w:r>
    </w:p>
    <w:p w14:paraId="77E40C76">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招标人不得</w:t>
      </w:r>
      <w:r>
        <w:rPr>
          <w:rFonts w:hint="eastAsia" w:ascii="宋体" w:hAnsi="宋体" w:eastAsia="宋体" w:cs="宋体"/>
          <w:szCs w:val="21"/>
          <w:lang w:eastAsia="zh-CN"/>
        </w:rPr>
        <w:t>泄露</w:t>
      </w:r>
      <w:r>
        <w:rPr>
          <w:rFonts w:hint="eastAsia" w:ascii="宋体" w:hAnsi="宋体" w:eastAsia="宋体" w:cs="宋体"/>
          <w:szCs w:val="21"/>
        </w:rPr>
        <w:t>招标投标活动中应当保密的情况和资料，不得与投标人串通损害国家利益、社会公共利益或者他人合法权益。</w:t>
      </w:r>
    </w:p>
    <w:p w14:paraId="5B83A0D0">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有下列情形之一的，属于招标人与投标人串通投标：</w:t>
      </w:r>
    </w:p>
    <w:p w14:paraId="14EF3F9A">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（1）招标人在开标前开启投标文件并将有关信息泄露给其他投标人</w:t>
      </w:r>
      <w:r>
        <w:rPr>
          <w:rFonts w:hint="eastAsia" w:ascii="宋体" w:hAnsi="宋体" w:eastAsia="宋体" w:cs="宋体"/>
          <w:szCs w:val="21"/>
          <w:lang w:eastAsia="zh-CN"/>
        </w:rPr>
        <w:t>；</w:t>
      </w:r>
    </w:p>
    <w:p w14:paraId="3B74E5E0">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（2）招标人直接或者间接向投标人泄露标底、评标委员会成员等信息；</w:t>
      </w:r>
    </w:p>
    <w:p w14:paraId="36C4969A">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（3）招标人明示或者暗示投标人压低或者抬高投标报价；</w:t>
      </w:r>
    </w:p>
    <w:p w14:paraId="5798DBD9">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（4）招标人授意投标人撤换、修改投标文件；</w:t>
      </w:r>
    </w:p>
    <w:p w14:paraId="209A1F19">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（5）招标人明示或者暗示投标人为特定投标人中标提供方便；</w:t>
      </w:r>
    </w:p>
    <w:p w14:paraId="05DB5ECF">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（6）招标人与投标人为谋求特定投标人中标而采取的其他串通行为。</w:t>
      </w:r>
    </w:p>
    <w:p w14:paraId="22438BF6">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9.</w:t>
      </w:r>
      <w:r>
        <w:rPr>
          <w:rFonts w:hint="eastAsia" w:ascii="宋体" w:hAnsi="宋体" w:eastAsia="宋体" w:cs="宋体"/>
          <w:b/>
          <w:bCs/>
          <w:szCs w:val="21"/>
          <w:lang w:val="en-US" w:eastAsia="zh-CN"/>
        </w:rPr>
        <w:t>3</w:t>
      </w:r>
      <w:r>
        <w:rPr>
          <w:rFonts w:hint="eastAsia" w:ascii="宋体" w:hAnsi="宋体" w:eastAsia="宋体" w:cs="宋体"/>
          <w:b/>
          <w:bCs/>
          <w:szCs w:val="21"/>
        </w:rPr>
        <w:t xml:space="preserve"> 对评标委员会成员的纪律要求</w:t>
      </w:r>
    </w:p>
    <w:p w14:paraId="369ACEE3">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评标委员会成员不得收受他人的财物或者其他好处，不得向他人</w:t>
      </w:r>
      <w:r>
        <w:rPr>
          <w:rFonts w:hint="eastAsia" w:ascii="宋体" w:hAnsi="宋体" w:eastAsia="宋体" w:cs="宋体"/>
          <w:szCs w:val="21"/>
          <w:lang w:eastAsia="zh-CN"/>
        </w:rPr>
        <w:t>透露</w:t>
      </w:r>
      <w:r>
        <w:rPr>
          <w:rFonts w:hint="eastAsia" w:ascii="宋体" w:hAnsi="宋体" w:eastAsia="宋体" w:cs="宋体"/>
          <w:szCs w:val="21"/>
        </w:rPr>
        <w:t>对投标文件的评审和比较、中标候选人的推荐情况以及评标有关的其他情况。在评标活动中，评标委员会成员不得擅离职守，影响评标程序正常进行，不得使用第三章“评标办法</w:t>
      </w:r>
      <w:r>
        <w:rPr>
          <w:rFonts w:hint="eastAsia" w:ascii="宋体" w:hAnsi="宋体" w:eastAsia="宋体" w:cs="宋体"/>
          <w:szCs w:val="21"/>
          <w:lang w:val="en-US" w:eastAsia="zh-CN"/>
        </w:rPr>
        <w:t>及定标办法</w:t>
      </w:r>
      <w:r>
        <w:rPr>
          <w:rFonts w:hint="eastAsia" w:ascii="宋体" w:hAnsi="宋体" w:eastAsia="宋体" w:cs="宋体"/>
          <w:szCs w:val="21"/>
        </w:rPr>
        <w:t>”没有规定的评审因素和标准进行评标。</w:t>
      </w:r>
    </w:p>
    <w:p w14:paraId="18EB6EB7">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9.</w:t>
      </w:r>
      <w:r>
        <w:rPr>
          <w:rFonts w:hint="eastAsia" w:ascii="宋体" w:hAnsi="宋体" w:eastAsia="宋体" w:cs="宋体"/>
          <w:b/>
          <w:bCs/>
          <w:szCs w:val="21"/>
          <w:lang w:val="en-US" w:eastAsia="zh-CN"/>
        </w:rPr>
        <w:t>4</w:t>
      </w:r>
      <w:r>
        <w:rPr>
          <w:rFonts w:hint="eastAsia" w:ascii="宋体" w:hAnsi="宋体" w:eastAsia="宋体" w:cs="宋体"/>
          <w:b/>
          <w:bCs/>
          <w:szCs w:val="21"/>
        </w:rPr>
        <w:t xml:space="preserve"> 对与评标活动有关的工作人员的纪律要求</w:t>
      </w:r>
    </w:p>
    <w:p w14:paraId="600A2120">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与评标活动有关的工作人员不得收受他人的财物或者其他好处，不得向他人</w:t>
      </w:r>
      <w:r>
        <w:rPr>
          <w:rFonts w:hint="eastAsia" w:ascii="宋体" w:hAnsi="宋体" w:eastAsia="宋体" w:cs="宋体"/>
          <w:szCs w:val="21"/>
          <w:lang w:eastAsia="zh-CN"/>
        </w:rPr>
        <w:t>透露</w:t>
      </w:r>
      <w:r>
        <w:rPr>
          <w:rFonts w:hint="eastAsia" w:ascii="宋体" w:hAnsi="宋体" w:eastAsia="宋体" w:cs="宋体"/>
          <w:szCs w:val="21"/>
        </w:rPr>
        <w:t>对投标文件的评审和比较、中标候选人的推荐情况以及评标有关的其他情况。在评标活动中，与评标活动有关的工作人员不得擅离职守，影响评标程序正常进行。</w:t>
      </w:r>
    </w:p>
    <w:p w14:paraId="6FDB75D6">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9.</w:t>
      </w:r>
      <w:r>
        <w:rPr>
          <w:rFonts w:hint="eastAsia" w:ascii="宋体" w:hAnsi="宋体" w:eastAsia="宋体" w:cs="宋体"/>
          <w:b/>
          <w:bCs/>
          <w:szCs w:val="21"/>
          <w:lang w:val="en-US" w:eastAsia="zh-CN"/>
        </w:rPr>
        <w:t>5</w:t>
      </w:r>
      <w:r>
        <w:rPr>
          <w:rFonts w:hint="eastAsia" w:ascii="宋体" w:hAnsi="宋体" w:eastAsia="宋体" w:cs="宋体"/>
          <w:b/>
          <w:bCs/>
          <w:szCs w:val="21"/>
        </w:rPr>
        <w:t xml:space="preserve"> 投诉</w:t>
      </w:r>
    </w:p>
    <w:p w14:paraId="5A437B65">
      <w:pPr>
        <w:widowControl w:val="0"/>
        <w:wordWrap w:val="0"/>
        <w:autoSpaceDE/>
        <w:autoSpaceDN/>
        <w:adjustRightInd/>
        <w:snapToGrid/>
        <w:spacing w:beforeLines="0" w:line="360" w:lineRule="auto"/>
        <w:ind w:firstLine="420" w:firstLineChars="200"/>
        <w:jc w:val="left"/>
        <w:outlineLvl w:val="9"/>
        <w:rPr>
          <w:rFonts w:hint="eastAsia" w:ascii="宋体" w:hAnsi="宋体" w:eastAsia="宋体" w:cs="宋体"/>
          <w:szCs w:val="21"/>
        </w:rPr>
      </w:pPr>
      <w:r>
        <w:rPr>
          <w:rFonts w:hint="eastAsia" w:ascii="宋体" w:hAnsi="宋体" w:eastAsia="宋体" w:cs="宋体"/>
          <w:szCs w:val="21"/>
          <w:lang w:val="en-US" w:eastAsia="zh-CN"/>
        </w:rPr>
        <w:t>潜</w:t>
      </w:r>
      <w:r>
        <w:rPr>
          <w:rFonts w:hint="eastAsia" w:ascii="宋体" w:hAnsi="宋体" w:eastAsia="宋体" w:cs="宋体"/>
          <w:szCs w:val="21"/>
        </w:rPr>
        <w:t>在投标人、投标人或者其他利害关系人认为招标投标活动不符合法律、法规和规章规定的，有权依法向招标人提出异议，向有关行政监督部门进行投诉。异议、投诉应按照河南省水利厅《关于进一步明确水利工程建设项目招标投标活动中异议和投诉有关事项的通知》（豫水建【2015】10号）的要求进行，先异议后投诉。异议和投诉应当有明确的请求和必要的证明材料。</w:t>
      </w:r>
    </w:p>
    <w:p w14:paraId="1E315952">
      <w:pPr>
        <w:keepNext w:val="0"/>
        <w:keepLines w:val="0"/>
        <w:widowControl w:val="0"/>
        <w:wordWrap w:val="0"/>
        <w:adjustRightInd/>
        <w:spacing w:before="0" w:beforeLines="0" w:after="0" w:line="360" w:lineRule="auto"/>
        <w:ind w:firstLine="0" w:firstLineChars="0"/>
        <w:jc w:val="left"/>
        <w:outlineLvl w:val="1"/>
        <w:rPr>
          <w:rFonts w:hint="eastAsia" w:ascii="宋体" w:hAnsi="宋体" w:eastAsia="宋体" w:cs="宋体"/>
          <w:b/>
          <w:bCs/>
          <w:color w:val="auto"/>
          <w:sz w:val="21"/>
          <w:szCs w:val="21"/>
          <w:highlight w:val="none"/>
        </w:rPr>
      </w:pPr>
      <w:bookmarkStart w:id="280" w:name="_Toc4081"/>
      <w:bookmarkStart w:id="281" w:name="_Toc31201"/>
      <w:r>
        <w:rPr>
          <w:rFonts w:hint="eastAsia" w:ascii="宋体" w:hAnsi="宋体" w:eastAsia="宋体" w:cs="宋体"/>
          <w:b/>
          <w:bCs/>
          <w:color w:val="auto"/>
          <w:sz w:val="21"/>
          <w:szCs w:val="21"/>
          <w:highlight w:val="none"/>
        </w:rPr>
        <w:t>10 需要补充的其他内容</w:t>
      </w:r>
      <w:bookmarkEnd w:id="280"/>
      <w:bookmarkEnd w:id="281"/>
    </w:p>
    <w:p w14:paraId="5605C3AB">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bookmarkStart w:id="282" w:name="_Toc168476099"/>
      <w:bookmarkStart w:id="283" w:name="_Toc221950256"/>
      <w:bookmarkStart w:id="284" w:name="_Toc271870420"/>
      <w:bookmarkStart w:id="285" w:name="_Toc403835029"/>
      <w:bookmarkStart w:id="286" w:name="_Toc427509384"/>
      <w:bookmarkStart w:id="287" w:name="_Toc144974548"/>
      <w:bookmarkStart w:id="288" w:name="_Toc266885945"/>
      <w:bookmarkStart w:id="289" w:name="_Toc427509884"/>
      <w:bookmarkStart w:id="290" w:name="_Toc168475696"/>
      <w:bookmarkStart w:id="291" w:name="_Toc332378846"/>
      <w:r>
        <w:rPr>
          <w:rFonts w:hint="eastAsia" w:ascii="宋体" w:hAnsi="宋体" w:eastAsia="宋体" w:cs="宋体"/>
          <w:color w:val="auto"/>
          <w:sz w:val="21"/>
          <w:szCs w:val="21"/>
          <w:highlight w:val="none"/>
        </w:rPr>
        <w:t>需要补充的其他内容：见投标人须知前附表。</w:t>
      </w:r>
    </w:p>
    <w:p w14:paraId="0DDD5F42">
      <w:pPr>
        <w:rPr>
          <w:rFonts w:hint="eastAsia" w:ascii="宋体" w:hAnsi="宋体" w:eastAsia="宋体" w:cs="宋体"/>
          <w:color w:val="auto"/>
          <w:kern w:val="0"/>
          <w:sz w:val="24"/>
          <w:szCs w:val="20"/>
          <w:highlight w:val="none"/>
          <w:lang w:val="en-US" w:eastAsia="zh-CN" w:bidi="ar-SA"/>
        </w:rPr>
      </w:pPr>
    </w:p>
    <w:bookmarkEnd w:id="282"/>
    <w:bookmarkEnd w:id="283"/>
    <w:bookmarkEnd w:id="284"/>
    <w:bookmarkEnd w:id="285"/>
    <w:bookmarkEnd w:id="286"/>
    <w:bookmarkEnd w:id="287"/>
    <w:bookmarkEnd w:id="288"/>
    <w:bookmarkEnd w:id="289"/>
    <w:bookmarkEnd w:id="290"/>
    <w:bookmarkEnd w:id="291"/>
    <w:p w14:paraId="1A1EAC75">
      <w:pPr>
        <w:widowControl/>
        <w:jc w:val="left"/>
        <w:rPr>
          <w:rFonts w:hint="eastAsia" w:ascii="宋体" w:hAnsi="宋体" w:eastAsia="宋体" w:cs="宋体"/>
          <w:color w:val="auto"/>
          <w:sz w:val="24"/>
          <w:szCs w:val="24"/>
          <w:highlight w:val="none"/>
        </w:rPr>
      </w:pPr>
      <w:bookmarkStart w:id="292" w:name="_Toc266885951"/>
      <w:bookmarkStart w:id="293" w:name="_Toc144974552"/>
      <w:bookmarkStart w:id="294" w:name="_Toc221950348"/>
      <w:bookmarkStart w:id="295" w:name="_Toc168475700"/>
      <w:bookmarkStart w:id="296" w:name="_Toc168476103"/>
      <w:r>
        <w:rPr>
          <w:rFonts w:hint="eastAsia" w:ascii="宋体" w:hAnsi="宋体" w:eastAsia="宋体" w:cs="宋体"/>
          <w:color w:val="auto"/>
          <w:sz w:val="24"/>
          <w:szCs w:val="24"/>
          <w:highlight w:val="none"/>
        </w:rPr>
        <w:br w:type="page"/>
      </w:r>
      <w:bookmarkEnd w:id="292"/>
      <w:bookmarkEnd w:id="293"/>
      <w:bookmarkEnd w:id="294"/>
      <w:bookmarkEnd w:id="295"/>
      <w:bookmarkEnd w:id="296"/>
    </w:p>
    <w:p w14:paraId="2E6485E6">
      <w:pPr>
        <w:widowControl w:val="0"/>
        <w:autoSpaceDE w:val="0"/>
        <w:autoSpaceDN w:val="0"/>
        <w:adjustRightInd w:val="0"/>
        <w:spacing w:line="400" w:lineRule="exact"/>
        <w:jc w:val="both"/>
        <w:rPr>
          <w:rFonts w:ascii="宋体" w:hAnsi="Calibri" w:eastAsia="宋体" w:cs="Times New Roman"/>
          <w:b/>
          <w:color w:val="auto"/>
          <w:kern w:val="2"/>
          <w:sz w:val="21"/>
          <w:szCs w:val="21"/>
          <w:highlight w:val="none"/>
          <w:lang w:val="en-US" w:eastAsia="zh-CN" w:bidi="ar-SA"/>
        </w:rPr>
      </w:pPr>
      <w:bookmarkStart w:id="297" w:name="_Toc7524"/>
      <w:bookmarkStart w:id="298" w:name="_Toc222029498"/>
      <w:bookmarkStart w:id="299" w:name="_Toc221950470"/>
      <w:bookmarkStart w:id="300" w:name="_Toc417551307"/>
      <w:bookmarkStart w:id="301" w:name="_Toc222032667"/>
      <w:bookmarkStart w:id="302" w:name="_Toc222031000"/>
      <w:bookmarkStart w:id="303" w:name="_Toc144974568"/>
      <w:bookmarkStart w:id="304" w:name="_Toc332378862"/>
      <w:bookmarkStart w:id="305" w:name="_Toc9162"/>
      <w:bookmarkStart w:id="306" w:name="_Toc399318029"/>
      <w:bookmarkStart w:id="307" w:name="_Toc168476119"/>
      <w:bookmarkStart w:id="308" w:name="_Toc222033849"/>
      <w:bookmarkStart w:id="309" w:name="_Toc229305358"/>
      <w:bookmarkStart w:id="310" w:name="_Toc168475716"/>
      <w:r>
        <w:rPr>
          <w:rFonts w:hint="eastAsia" w:ascii="宋体" w:hAnsi="宋体" w:eastAsia="宋体" w:cs="宋体"/>
          <w:b w:val="0"/>
          <w:bCs/>
          <w:color w:val="auto"/>
          <w:kern w:val="2"/>
          <w:sz w:val="21"/>
          <w:szCs w:val="21"/>
          <w:highlight w:val="none"/>
          <w:lang w:val="en-US" w:eastAsia="zh-CN" w:bidi="ar-SA"/>
        </w:rPr>
        <w:t>注：</w:t>
      </w:r>
      <w:r>
        <w:rPr>
          <w:rFonts w:hint="eastAsia" w:ascii="宋体" w:hAnsi="Calibri" w:eastAsia="宋体" w:cs="Times New Roman"/>
          <w:b/>
          <w:color w:val="auto"/>
          <w:kern w:val="2"/>
          <w:sz w:val="21"/>
          <w:szCs w:val="21"/>
          <w:highlight w:val="none"/>
          <w:lang w:val="en-US" w:eastAsia="zh-CN" w:bidi="ar-SA"/>
        </w:rPr>
        <w:t>1、业绩：</w:t>
      </w:r>
      <w:r>
        <w:rPr>
          <w:rFonts w:ascii="宋体" w:hAnsi="Calibri" w:eastAsia="宋体" w:cs="Times New Roman"/>
          <w:b/>
          <w:color w:val="auto"/>
          <w:kern w:val="2"/>
          <w:sz w:val="21"/>
          <w:szCs w:val="21"/>
          <w:highlight w:val="none"/>
          <w:lang w:val="en-US" w:eastAsia="zh-CN" w:bidi="ar-SA"/>
        </w:rPr>
        <w:t>应提供中标通知书</w:t>
      </w:r>
      <w:r>
        <w:rPr>
          <w:rFonts w:hint="eastAsia" w:ascii="宋体" w:hAnsi="Calibri" w:eastAsia="宋体" w:cs="Times New Roman"/>
          <w:b/>
          <w:color w:val="auto"/>
          <w:kern w:val="2"/>
          <w:sz w:val="21"/>
          <w:szCs w:val="21"/>
          <w:highlight w:val="none"/>
          <w:lang w:val="en-US" w:eastAsia="zh-CN" w:bidi="ar-SA"/>
        </w:rPr>
        <w:t>（若有）</w:t>
      </w:r>
      <w:r>
        <w:rPr>
          <w:rFonts w:ascii="宋体" w:hAnsi="Calibri" w:eastAsia="宋体" w:cs="Times New Roman"/>
          <w:b/>
          <w:color w:val="auto"/>
          <w:kern w:val="2"/>
          <w:sz w:val="21"/>
          <w:szCs w:val="21"/>
          <w:highlight w:val="none"/>
          <w:lang w:val="en-US" w:eastAsia="zh-CN" w:bidi="ar-SA"/>
        </w:rPr>
        <w:t>、合同协议书</w:t>
      </w:r>
      <w:r>
        <w:rPr>
          <w:rFonts w:hint="eastAsia" w:ascii="宋体" w:hAnsi="Calibri" w:eastAsia="宋体" w:cs="Times New Roman"/>
          <w:b/>
          <w:color w:val="auto"/>
          <w:kern w:val="2"/>
          <w:sz w:val="21"/>
          <w:szCs w:val="21"/>
          <w:highlight w:val="none"/>
          <w:lang w:val="en-US" w:eastAsia="zh-CN" w:bidi="ar-SA"/>
        </w:rPr>
        <w:t>、合</w:t>
      </w:r>
      <w:r>
        <w:rPr>
          <w:rFonts w:hint="eastAsia" w:ascii="宋体" w:hAnsi="宋体" w:eastAsia="宋体" w:cs="宋体"/>
          <w:b/>
          <w:bCs/>
          <w:color w:val="auto"/>
          <w:kern w:val="2"/>
          <w:sz w:val="21"/>
          <w:szCs w:val="21"/>
          <w:highlight w:val="none"/>
          <w:shd w:val="clear"/>
          <w:lang w:val="en-US" w:eastAsia="zh-CN" w:bidi="ar"/>
        </w:rPr>
        <w:t>同工程</w:t>
      </w:r>
      <w:r>
        <w:rPr>
          <w:rFonts w:hint="eastAsia" w:ascii="宋体" w:hAnsi="宋体" w:eastAsia="宋体" w:cs="宋体"/>
          <w:b/>
          <w:bCs/>
          <w:color w:val="auto"/>
          <w:kern w:val="2"/>
          <w:sz w:val="21"/>
          <w:szCs w:val="21"/>
          <w:highlight w:val="none"/>
          <w:lang w:val="en-US" w:eastAsia="zh-CN" w:bidi="ar-SA"/>
        </w:rPr>
        <w:t>（完工）验收或竣工验收证明</w:t>
      </w:r>
      <w:r>
        <w:rPr>
          <w:rFonts w:hint="eastAsia" w:ascii="宋体" w:hAnsi="Calibri" w:eastAsia="宋体" w:cs="Times New Roman"/>
          <w:b/>
          <w:color w:val="auto"/>
          <w:kern w:val="2"/>
          <w:sz w:val="21"/>
          <w:szCs w:val="21"/>
          <w:highlight w:val="none"/>
          <w:lang w:val="en-US" w:eastAsia="zh-CN" w:bidi="ar-SA"/>
        </w:rPr>
        <w:t>（若有），提供的上述任一证明材料应显示工程规模等级，如无显示，需另行提供建设单位出具的证明文件或行政部门的批复文件</w:t>
      </w:r>
      <w:r>
        <w:rPr>
          <w:rFonts w:ascii="宋体" w:hAnsi="Calibri" w:eastAsia="宋体" w:cs="Times New Roman"/>
          <w:b/>
          <w:color w:val="auto"/>
          <w:kern w:val="2"/>
          <w:sz w:val="21"/>
          <w:szCs w:val="21"/>
          <w:highlight w:val="none"/>
          <w:lang w:val="en-US" w:eastAsia="zh-CN" w:bidi="ar-SA"/>
        </w:rPr>
        <w:t>，不提供不予计分。</w:t>
      </w:r>
    </w:p>
    <w:p w14:paraId="1D7000D9">
      <w:pPr>
        <w:widowControl w:val="0"/>
        <w:numPr>
          <w:ilvl w:val="0"/>
          <w:numId w:val="1"/>
        </w:numPr>
        <w:autoSpaceDE w:val="0"/>
        <w:autoSpaceDN w:val="0"/>
        <w:adjustRightInd w:val="0"/>
        <w:spacing w:line="400" w:lineRule="exact"/>
        <w:ind w:firstLine="422" w:firstLineChars="200"/>
        <w:jc w:val="both"/>
        <w:rPr>
          <w:rFonts w:ascii="宋体" w:hAnsi="Calibri" w:eastAsia="宋体" w:cs="Times New Roman"/>
          <w:b/>
          <w:color w:val="auto"/>
          <w:kern w:val="2"/>
          <w:sz w:val="21"/>
          <w:szCs w:val="21"/>
          <w:highlight w:val="none"/>
          <w:lang w:val="en-US" w:eastAsia="zh-CN" w:bidi="ar-SA"/>
        </w:rPr>
      </w:pPr>
      <w:r>
        <w:rPr>
          <w:rFonts w:ascii="宋体" w:hAnsi="Calibri" w:eastAsia="宋体" w:cs="Times New Roman"/>
          <w:b/>
          <w:color w:val="auto"/>
          <w:kern w:val="2"/>
          <w:sz w:val="21"/>
          <w:szCs w:val="21"/>
          <w:highlight w:val="none"/>
          <w:lang w:val="en-US" w:eastAsia="zh-CN" w:bidi="ar-SA"/>
        </w:rPr>
        <w:t>原件扫描件附在投标文件中，不提供不予计分。</w:t>
      </w:r>
    </w:p>
    <w:p w14:paraId="1F90CAB3">
      <w:pPr>
        <w:widowControl w:val="0"/>
        <w:autoSpaceDE w:val="0"/>
        <w:autoSpaceDN w:val="0"/>
        <w:adjustRightInd w:val="0"/>
        <w:spacing w:line="400" w:lineRule="exact"/>
        <w:ind w:firstLine="422" w:firstLineChars="200"/>
        <w:jc w:val="both"/>
        <w:rPr>
          <w:rFonts w:hint="eastAsia" w:ascii="宋体" w:hAnsi="Times New Roman" w:eastAsia="宋体" w:cs="Times New Roman"/>
          <w:b/>
          <w:color w:val="auto"/>
          <w:kern w:val="2"/>
          <w:sz w:val="21"/>
          <w:szCs w:val="21"/>
          <w:highlight w:val="none"/>
          <w:lang w:val="en-US" w:eastAsia="zh-CN" w:bidi="ar-SA"/>
        </w:rPr>
      </w:pPr>
      <w:r>
        <w:rPr>
          <w:rFonts w:hint="eastAsia" w:ascii="宋体" w:hAnsi="Times New Roman" w:eastAsia="宋体" w:cs="Times New Roman"/>
          <w:b/>
          <w:color w:val="auto"/>
          <w:kern w:val="2"/>
          <w:sz w:val="21"/>
          <w:szCs w:val="21"/>
          <w:highlight w:val="none"/>
          <w:lang w:val="en-US" w:eastAsia="zh-CN" w:bidi="ar-SA"/>
        </w:rPr>
        <w:t>3、</w:t>
      </w:r>
      <w:r>
        <w:rPr>
          <w:rFonts w:hint="default" w:ascii="宋体" w:hAnsi="Times New Roman" w:eastAsia="宋体" w:cs="Times New Roman"/>
          <w:b/>
          <w:bCs w:val="0"/>
          <w:color w:val="auto"/>
          <w:kern w:val="2"/>
          <w:sz w:val="21"/>
          <w:szCs w:val="21"/>
          <w:highlight w:val="none"/>
          <w:lang w:val="en-US" w:eastAsia="zh-CN" w:bidi="ar-SA"/>
        </w:rPr>
        <w:t>投标人的人员、业绩、信用评价、其他信息、行政处罚等信息，应附有全国水利建设市场监管平台项目信息网页查询证明材料</w:t>
      </w:r>
      <w:r>
        <w:rPr>
          <w:rFonts w:ascii="宋体" w:hAnsi="Times New Roman" w:eastAsia="宋体" w:cs="Times New Roman"/>
          <w:b/>
          <w:color w:val="auto"/>
          <w:kern w:val="2"/>
          <w:sz w:val="21"/>
          <w:szCs w:val="21"/>
          <w:highlight w:val="none"/>
          <w:lang w:val="en-US" w:eastAsia="zh-CN" w:bidi="ar-SA"/>
        </w:rPr>
        <w:t>，不提供</w:t>
      </w:r>
      <w:r>
        <w:rPr>
          <w:rFonts w:hint="default" w:ascii="宋体" w:hAnsi="Times New Roman" w:eastAsia="宋体" w:cs="Times New Roman"/>
          <w:b/>
          <w:color w:val="auto"/>
          <w:kern w:val="2"/>
          <w:sz w:val="21"/>
          <w:szCs w:val="21"/>
          <w:highlight w:val="none"/>
          <w:lang w:val="en-US" w:eastAsia="zh-CN" w:bidi="ar-SA"/>
        </w:rPr>
        <w:t>或提供不完整的</w:t>
      </w:r>
      <w:r>
        <w:rPr>
          <w:rFonts w:hint="default" w:ascii="宋体" w:hAnsi="Times New Roman" w:eastAsia="宋体" w:cs="Times New Roman"/>
          <w:b/>
          <w:bCs w:val="0"/>
          <w:color w:val="auto"/>
          <w:kern w:val="2"/>
          <w:sz w:val="21"/>
          <w:szCs w:val="21"/>
          <w:highlight w:val="none"/>
          <w:lang w:val="en-US" w:eastAsia="zh-CN" w:bidi="ar-SA"/>
        </w:rPr>
        <w:t>不予计分。</w:t>
      </w:r>
    </w:p>
    <w:p w14:paraId="1A9D4564">
      <w:pPr>
        <w:widowControl w:val="0"/>
        <w:autoSpaceDE w:val="0"/>
        <w:autoSpaceDN w:val="0"/>
        <w:adjustRightInd w:val="0"/>
        <w:spacing w:line="400" w:lineRule="exact"/>
        <w:ind w:firstLine="422" w:firstLineChars="200"/>
        <w:jc w:val="both"/>
        <w:rPr>
          <w:rFonts w:ascii="宋体" w:hAnsi="Times New Roman" w:eastAsia="宋体" w:cs="Times New Roman"/>
          <w:b/>
          <w:color w:val="auto"/>
          <w:kern w:val="2"/>
          <w:sz w:val="21"/>
          <w:szCs w:val="21"/>
          <w:highlight w:val="none"/>
          <w:lang w:val="en-US" w:eastAsia="zh-CN" w:bidi="ar-SA"/>
        </w:rPr>
      </w:pPr>
      <w:r>
        <w:rPr>
          <w:rFonts w:hint="eastAsia" w:ascii="宋体" w:hAnsi="Times New Roman" w:eastAsia="宋体" w:cs="Times New Roman"/>
          <w:b/>
          <w:color w:val="auto"/>
          <w:kern w:val="2"/>
          <w:sz w:val="21"/>
          <w:szCs w:val="21"/>
          <w:highlight w:val="none"/>
          <w:lang w:val="en-US" w:eastAsia="zh-CN" w:bidi="ar-SA"/>
        </w:rPr>
        <w:t>4</w:t>
      </w:r>
      <w:r>
        <w:rPr>
          <w:rFonts w:hint="default" w:ascii="宋体" w:hAnsi="Times New Roman" w:eastAsia="宋体" w:cs="Times New Roman"/>
          <w:b/>
          <w:color w:val="auto"/>
          <w:kern w:val="2"/>
          <w:sz w:val="21"/>
          <w:szCs w:val="21"/>
          <w:highlight w:val="none"/>
          <w:lang w:val="en-US" w:eastAsia="zh-CN" w:bidi="ar-SA"/>
        </w:rPr>
        <w:t>、投标人须在主体库中上传项目相关人员、业绩等信息，保证主体库中企业信息准确，并及时更新，否则造成的不利后果自行承担。</w:t>
      </w:r>
    </w:p>
    <w:p w14:paraId="0E442628">
      <w:pPr>
        <w:widowControl w:val="0"/>
        <w:autoSpaceDE w:val="0"/>
        <w:autoSpaceDN w:val="0"/>
        <w:adjustRightInd w:val="0"/>
        <w:ind w:left="10" w:leftChars="5" w:firstLine="219" w:firstLineChars="104"/>
        <w:jc w:val="both"/>
        <w:rPr>
          <w:rFonts w:hint="eastAsia" w:ascii="宋体" w:hAnsi="宋体" w:eastAsia="宋体" w:cs="宋体"/>
          <w:b/>
          <w:color w:val="auto"/>
          <w:kern w:val="2"/>
          <w:sz w:val="21"/>
          <w:szCs w:val="21"/>
          <w:highlight w:val="none"/>
          <w:lang w:val="en-US" w:eastAsia="zh-CN" w:bidi="ar-SA"/>
        </w:rPr>
      </w:pPr>
    </w:p>
    <w:p w14:paraId="2EB1DA17">
      <w:pPr>
        <w:widowControl w:val="0"/>
        <w:autoSpaceDE w:val="0"/>
        <w:autoSpaceDN w:val="0"/>
        <w:adjustRightInd w:val="0"/>
        <w:ind w:firstLine="420" w:firstLineChars="200"/>
        <w:jc w:val="both"/>
        <w:rPr>
          <w:rFonts w:hint="eastAsia" w:ascii="宋体" w:hAnsi="宋体" w:eastAsia="宋体" w:cs="宋体"/>
          <w:color w:val="auto"/>
          <w:kern w:val="2"/>
          <w:sz w:val="21"/>
          <w:szCs w:val="21"/>
          <w:highlight w:val="none"/>
          <w:lang w:val="en-US" w:eastAsia="zh-CN" w:bidi="ar-SA"/>
        </w:rPr>
      </w:pPr>
    </w:p>
    <w:p w14:paraId="43FB4232">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br w:type="page"/>
      </w:r>
    </w:p>
    <w:p w14:paraId="1FEF4D32">
      <w:pPr>
        <w:keepNext w:val="0"/>
        <w:keepLines w:val="0"/>
        <w:pageBreakBefore w:val="0"/>
        <w:widowControl w:val="0"/>
        <w:kinsoku/>
        <w:wordWrap/>
        <w:overflowPunct/>
        <w:topLinePunct w:val="0"/>
        <w:autoSpaceDE w:val="0"/>
        <w:autoSpaceDN w:val="0"/>
        <w:bidi w:val="0"/>
        <w:adjustRightInd w:val="0"/>
        <w:snapToGrid/>
        <w:spacing w:line="24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p>
    <w:p w14:paraId="280206FC">
      <w:pPr>
        <w:keepNext/>
        <w:keepLines/>
        <w:spacing w:before="0" w:beforeLines="0" w:after="0" w:line="360" w:lineRule="auto"/>
        <w:ind w:left="210" w:right="102"/>
        <w:jc w:val="center"/>
        <w:outlineLvl w:val="0"/>
        <w:rPr>
          <w:rFonts w:hint="eastAsia" w:ascii="宋体" w:hAnsi="宋体" w:eastAsia="宋体" w:cs="宋体"/>
          <w:b/>
          <w:bCs/>
          <w:color w:val="auto"/>
          <w:kern w:val="44"/>
          <w:sz w:val="32"/>
          <w:szCs w:val="32"/>
          <w:highlight w:val="none"/>
          <w:lang w:val="en-US" w:eastAsia="zh-CN" w:bidi="ar-SA"/>
        </w:rPr>
      </w:pPr>
      <w:bookmarkStart w:id="311" w:name="_Toc26602"/>
      <w:bookmarkStart w:id="312" w:name="_Toc20595"/>
      <w:bookmarkStart w:id="313" w:name="_Toc22480"/>
      <w:r>
        <w:rPr>
          <w:rFonts w:hint="eastAsia" w:ascii="宋体" w:hAnsi="宋体" w:eastAsia="宋体" w:cs="宋体"/>
          <w:b/>
          <w:bCs/>
          <w:color w:val="auto"/>
          <w:kern w:val="44"/>
          <w:sz w:val="32"/>
          <w:szCs w:val="32"/>
          <w:highlight w:val="none"/>
          <w:lang w:val="en-US" w:eastAsia="zh-CN" w:bidi="ar-SA"/>
        </w:rPr>
        <w:t>第三章 评标办法及定标办法</w:t>
      </w:r>
      <w:bookmarkEnd w:id="311"/>
      <w:bookmarkEnd w:id="312"/>
      <w:bookmarkEnd w:id="313"/>
    </w:p>
    <w:p w14:paraId="5AD28763">
      <w:pPr>
        <w:keepNext/>
        <w:keepLines/>
        <w:spacing w:before="0" w:beforeLines="0" w:after="0" w:line="360" w:lineRule="auto"/>
        <w:ind w:firstLine="3614" w:firstLineChars="1500"/>
        <w:outlineLvl w:val="1"/>
        <w:rPr>
          <w:rFonts w:hint="eastAsia" w:ascii="宋体" w:hAnsi="宋体" w:eastAsia="宋体" w:cs="宋体"/>
          <w:b/>
          <w:bCs w:val="0"/>
          <w:color w:val="auto"/>
          <w:kern w:val="2"/>
          <w:sz w:val="32"/>
          <w:szCs w:val="32"/>
          <w:highlight w:val="none"/>
          <w:lang w:val="en-US" w:eastAsia="zh-CN" w:bidi="ar-SA"/>
        </w:rPr>
      </w:pPr>
      <w:bookmarkStart w:id="314" w:name="_Toc400818891"/>
      <w:bookmarkStart w:id="315" w:name="_Toc2131"/>
      <w:bookmarkStart w:id="316" w:name="_Toc272181176"/>
      <w:bookmarkStart w:id="317" w:name="_Toc400377366"/>
      <w:bookmarkStart w:id="318" w:name="_Toc9878"/>
      <w:bookmarkStart w:id="319" w:name="_Toc427509406"/>
      <w:bookmarkStart w:id="320" w:name="_Toc9222"/>
      <w:bookmarkStart w:id="321" w:name="_Toc22885"/>
      <w:bookmarkStart w:id="322" w:name="_Toc403835051"/>
      <w:bookmarkStart w:id="323" w:name="_Toc10580"/>
      <w:bookmarkStart w:id="324" w:name="_Toc427509906"/>
      <w:bookmarkStart w:id="325" w:name="_Toc400376679"/>
      <w:bookmarkStart w:id="326" w:name="_Toc10182"/>
      <w:bookmarkStart w:id="327" w:name="_Toc3451188"/>
      <w:bookmarkStart w:id="328" w:name="_Toc16380"/>
      <w:bookmarkStart w:id="329" w:name="_Toc6361"/>
      <w:bookmarkStart w:id="330" w:name="_Toc36069684"/>
      <w:bookmarkStart w:id="331" w:name="_Toc270859674"/>
      <w:bookmarkStart w:id="332" w:name="_Toc272162710"/>
      <w:bookmarkStart w:id="333" w:name="_Toc307304532"/>
      <w:r>
        <w:rPr>
          <w:rFonts w:hint="eastAsia" w:ascii="宋体" w:hAnsi="宋体" w:eastAsia="宋体" w:cs="宋体"/>
          <w:b/>
          <w:bCs w:val="0"/>
          <w:color w:val="auto"/>
          <w:kern w:val="2"/>
          <w:sz w:val="24"/>
          <w:szCs w:val="24"/>
          <w:highlight w:val="none"/>
          <w:lang w:val="en-US" w:eastAsia="zh-CN" w:bidi="ar-SA"/>
        </w:rPr>
        <w:t>评标办法前附表</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tbl>
      <w:tblPr>
        <w:tblStyle w:val="2"/>
        <w:tblW w:w="95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62"/>
        <w:gridCol w:w="2010"/>
        <w:gridCol w:w="5806"/>
      </w:tblGrid>
      <w:tr w14:paraId="1D13DE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14A9B339">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szCs w:val="21"/>
                <w:highlight w:val="none"/>
              </w:rPr>
            </w:pPr>
            <w:bookmarkStart w:id="334" w:name="_Toc399318028"/>
            <w:bookmarkStart w:id="335" w:name="_Toc332378861"/>
            <w:bookmarkStart w:id="336" w:name="_Toc417551306"/>
            <w:r>
              <w:rPr>
                <w:rFonts w:hint="eastAsia" w:ascii="宋体" w:hAnsi="宋体" w:eastAsia="宋体" w:cs="宋体"/>
                <w:b/>
                <w:color w:val="auto"/>
                <w:szCs w:val="21"/>
                <w:highlight w:val="none"/>
              </w:rPr>
              <w:t>条款号</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241DE709">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6BA7305C">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5A88B3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2DB15E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2.1.1</w:t>
            </w:r>
          </w:p>
        </w:tc>
        <w:tc>
          <w:tcPr>
            <w:tcW w:w="7816" w:type="dxa"/>
            <w:gridSpan w:val="2"/>
            <w:tcBorders>
              <w:top w:val="single" w:color="auto" w:sz="4" w:space="0"/>
              <w:left w:val="single" w:color="auto" w:sz="4" w:space="0"/>
              <w:bottom w:val="single" w:color="auto" w:sz="4" w:space="0"/>
              <w:right w:val="single" w:color="auto" w:sz="4" w:space="0"/>
            </w:tcBorders>
            <w:noWrap w:val="0"/>
            <w:vAlign w:val="center"/>
          </w:tcPr>
          <w:p w14:paraId="07764D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形式评审标准</w:t>
            </w:r>
          </w:p>
        </w:tc>
      </w:tr>
      <w:tr w14:paraId="03D82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5A863C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2.1.1（1）</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6DEEC5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58A517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与营业执照、资质证书、安全生产许可证一致</w:t>
            </w:r>
          </w:p>
        </w:tc>
      </w:tr>
      <w:tr w14:paraId="7C9C2C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07E652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2.1.1（2）</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17281D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投标文件签字盖章</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5F6985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第3.7.3款规定</w:t>
            </w:r>
          </w:p>
        </w:tc>
      </w:tr>
      <w:tr w14:paraId="093F84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77E0D9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2.1.1（3）</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76D191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0FE604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170" w:rightChars="-81"/>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符合第八章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投标文件格式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的要求</w:t>
            </w:r>
          </w:p>
        </w:tc>
      </w:tr>
      <w:tr w14:paraId="1F8738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4A3BD5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2.1.1（4）</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330AE307">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120" w:leftChars="0" w:right="0" w:rightChars="0" w:hanging="120" w:firstLineChars="0"/>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2"/>
                <w:highlight w:val="none"/>
                <w:lang w:val="en-US" w:eastAsia="zh-CN" w:bidi="ar-SA"/>
              </w:rPr>
              <w:t>报价唯一</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4A88A6D5">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2"/>
                <w:highlight w:val="none"/>
                <w:lang w:val="en-US" w:eastAsia="zh-CN" w:bidi="ar-SA"/>
              </w:rPr>
              <w:t>只能有一个有效报价</w:t>
            </w:r>
          </w:p>
        </w:tc>
      </w:tr>
      <w:tr w14:paraId="4B38AB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779241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2.1.2</w:t>
            </w:r>
          </w:p>
        </w:tc>
        <w:tc>
          <w:tcPr>
            <w:tcW w:w="7816" w:type="dxa"/>
            <w:gridSpan w:val="2"/>
            <w:tcBorders>
              <w:top w:val="single" w:color="auto" w:sz="4" w:space="0"/>
              <w:left w:val="single" w:color="auto" w:sz="4" w:space="0"/>
              <w:bottom w:val="single" w:color="auto" w:sz="4" w:space="0"/>
              <w:right w:val="single" w:color="auto" w:sz="4" w:space="0"/>
            </w:tcBorders>
            <w:noWrap w:val="0"/>
            <w:vAlign w:val="center"/>
          </w:tcPr>
          <w:p w14:paraId="58FC5A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资格</w:t>
            </w:r>
            <w:r>
              <w:rPr>
                <w:rFonts w:hint="eastAsia" w:ascii="宋体" w:hAnsi="宋体" w:eastAsia="宋体" w:cs="宋体"/>
                <w:b/>
                <w:bCs/>
                <w:color w:val="auto"/>
                <w:sz w:val="21"/>
                <w:szCs w:val="21"/>
                <w:highlight w:val="none"/>
                <w:lang w:eastAsia="zh-CN"/>
              </w:rPr>
              <w:t>评审标准</w:t>
            </w:r>
          </w:p>
        </w:tc>
      </w:tr>
      <w:tr w14:paraId="2611C9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117C01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2.1.2（1）</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7E235C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23FC94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具备有效的营业执照</w:t>
            </w:r>
          </w:p>
        </w:tc>
      </w:tr>
      <w:tr w14:paraId="1E9174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4E53D9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2.1.2（2）</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7E7B38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安全生产许可证</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4C06B8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具备有效的安全生产许可证</w:t>
            </w:r>
          </w:p>
        </w:tc>
      </w:tr>
      <w:tr w14:paraId="2536AB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21CF72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2.1.2（3）</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23D871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资质证书</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0D02E4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42C00A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7247F3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2.1.2（4）</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3036AD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财务</w:t>
            </w:r>
            <w:r>
              <w:rPr>
                <w:rFonts w:hint="eastAsia" w:ascii="宋体" w:hAnsi="宋体" w:eastAsia="宋体" w:cs="宋体"/>
                <w:color w:val="auto"/>
                <w:sz w:val="21"/>
                <w:szCs w:val="21"/>
                <w:highlight w:val="none"/>
                <w:lang w:val="en-US" w:eastAsia="zh-CN"/>
              </w:rPr>
              <w:t>要求</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0AB780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407EA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13EFAE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2CD827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项目经理资格</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467311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1849E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40FC1C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49C8DF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技术负责人资格</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4D03C5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2D4AE5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554452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2.1.2（7）</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186D41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专职安全员</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13EA30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2C518A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02F5A3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2.1.2（8）</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093652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shd w:val="clear" w:color="auto" w:fill="auto"/>
                <w:lang w:val="en-US" w:eastAsia="zh-CN" w:bidi="ar"/>
              </w:rPr>
              <w:t>监管平台要求</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288717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53DB81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529FC8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2.1.2（9）</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7BE50C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信誉</w:t>
            </w:r>
            <w:r>
              <w:rPr>
                <w:rFonts w:hint="eastAsia" w:ascii="宋体" w:hAnsi="宋体" w:eastAsia="宋体" w:cs="宋体"/>
                <w:color w:val="auto"/>
                <w:sz w:val="21"/>
                <w:szCs w:val="21"/>
                <w:highlight w:val="none"/>
                <w:lang w:val="en-US" w:eastAsia="zh-CN"/>
              </w:rPr>
              <w:t>要求</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16453B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24EF3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7D81BA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5F814F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资格评审其他要求</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0F0BBA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276377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578" w:type="dxa"/>
            <w:gridSpan w:val="3"/>
            <w:tcBorders>
              <w:top w:val="single" w:color="auto" w:sz="4" w:space="0"/>
              <w:bottom w:val="single" w:color="auto" w:sz="4" w:space="0"/>
              <w:right w:val="single" w:color="auto" w:sz="4" w:space="0"/>
            </w:tcBorders>
            <w:noWrap w:val="0"/>
            <w:vAlign w:val="center"/>
          </w:tcPr>
          <w:p w14:paraId="259AFF2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1、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投标人应对递交资质证件、获奖证书、人员业绩</w:t>
            </w:r>
            <w:r>
              <w:rPr>
                <w:rFonts w:hint="eastAsia" w:ascii="宋体" w:hAnsi="宋体" w:eastAsia="宋体" w:cs="宋体"/>
                <w:color w:val="auto"/>
                <w:kern w:val="2"/>
                <w:sz w:val="21"/>
                <w:szCs w:val="21"/>
                <w:highlight w:val="none"/>
                <w:lang w:val="en-US" w:eastAsia="zh-CN"/>
              </w:rPr>
              <w:t>等资料</w:t>
            </w:r>
            <w:r>
              <w:rPr>
                <w:rFonts w:hint="eastAsia" w:ascii="宋体" w:hAnsi="宋体" w:eastAsia="宋体" w:cs="宋体"/>
                <w:color w:val="auto"/>
                <w:kern w:val="2"/>
                <w:sz w:val="21"/>
                <w:szCs w:val="21"/>
                <w:highlight w:val="none"/>
              </w:rPr>
              <w:t>的真</w:t>
            </w:r>
            <w:r>
              <w:rPr>
                <w:rFonts w:hint="eastAsia" w:ascii="宋体" w:hAnsi="宋体" w:eastAsia="宋体" w:cs="宋体"/>
                <w:color w:val="auto"/>
                <w:kern w:val="2"/>
                <w:sz w:val="21"/>
                <w:szCs w:val="21"/>
                <w:highlight w:val="none"/>
                <w:lang w:eastAsia="zh-CN"/>
              </w:rPr>
              <w:t>实性</w:t>
            </w:r>
            <w:r>
              <w:rPr>
                <w:rFonts w:hint="eastAsia" w:ascii="宋体" w:hAnsi="宋体" w:eastAsia="宋体" w:cs="宋体"/>
                <w:color w:val="auto"/>
                <w:kern w:val="2"/>
                <w:sz w:val="21"/>
                <w:szCs w:val="21"/>
                <w:highlight w:val="none"/>
              </w:rPr>
              <w:t>、有效性进行承诺。</w:t>
            </w:r>
          </w:p>
          <w:p w14:paraId="5B76B5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2、各投标企业应如实填报诚信库信息，因交易主体自行填报信息的错误、缺项、虚假而造成的后果由交易主体自行承担。</w:t>
            </w:r>
          </w:p>
        </w:tc>
      </w:tr>
      <w:tr w14:paraId="28DF04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24FFDE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2.1.3</w:t>
            </w:r>
          </w:p>
        </w:tc>
        <w:tc>
          <w:tcPr>
            <w:tcW w:w="7816" w:type="dxa"/>
            <w:gridSpan w:val="2"/>
            <w:tcBorders>
              <w:top w:val="single" w:color="auto" w:sz="4" w:space="0"/>
              <w:left w:val="single" w:color="auto" w:sz="4" w:space="0"/>
              <w:bottom w:val="single" w:color="auto" w:sz="4" w:space="0"/>
              <w:right w:val="single" w:color="auto" w:sz="4" w:space="0"/>
            </w:tcBorders>
            <w:noWrap w:val="0"/>
            <w:vAlign w:val="center"/>
          </w:tcPr>
          <w:p w14:paraId="27E9E0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响应性评审标准</w:t>
            </w:r>
          </w:p>
        </w:tc>
      </w:tr>
      <w:tr w14:paraId="23215F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4A818D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2.1.3（1）</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2FD3E1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投标范围</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3A81E1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第1.3.1项规定</w:t>
            </w:r>
          </w:p>
        </w:tc>
      </w:tr>
      <w:tr w14:paraId="54304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6E9FED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2.1.3（2）</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476F7A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计划工期</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0DCB28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第1.3.2项规定</w:t>
            </w:r>
          </w:p>
        </w:tc>
      </w:tr>
      <w:tr w14:paraId="7E71C0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003BD6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2.1.3（3）</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4D8495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质量</w:t>
            </w:r>
            <w:r>
              <w:rPr>
                <w:rFonts w:hint="eastAsia" w:ascii="宋体" w:hAnsi="宋体" w:eastAsia="宋体" w:cs="宋体"/>
                <w:color w:val="auto"/>
                <w:sz w:val="21"/>
                <w:szCs w:val="21"/>
                <w:highlight w:val="none"/>
                <w:lang w:val="en-US" w:eastAsia="zh-CN"/>
              </w:rPr>
              <w:t>要求</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3BB2BB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第1.3.3项规定</w:t>
            </w:r>
          </w:p>
        </w:tc>
      </w:tr>
      <w:tr w14:paraId="721D1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blHeader/>
          <w:jc w:val="center"/>
        </w:trPr>
        <w:tc>
          <w:tcPr>
            <w:tcW w:w="1762" w:type="dxa"/>
            <w:tcBorders>
              <w:top w:val="single" w:color="auto" w:sz="4" w:space="0"/>
              <w:bottom w:val="single" w:color="auto" w:sz="4" w:space="0"/>
              <w:right w:val="single" w:color="auto" w:sz="4" w:space="0"/>
            </w:tcBorders>
            <w:noWrap w:val="0"/>
            <w:vAlign w:val="center"/>
          </w:tcPr>
          <w:p w14:paraId="7DABA3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2.1.3（4）</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699DFE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6E5665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第3.3.1款规定</w:t>
            </w:r>
          </w:p>
        </w:tc>
      </w:tr>
      <w:tr w14:paraId="1D382F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1762" w:type="dxa"/>
            <w:tcBorders>
              <w:top w:val="single" w:color="auto" w:sz="4" w:space="0"/>
              <w:bottom w:val="single" w:color="auto" w:sz="4" w:space="0"/>
              <w:right w:val="single" w:color="auto" w:sz="4" w:space="0"/>
            </w:tcBorders>
            <w:noWrap w:val="0"/>
            <w:vAlign w:val="center"/>
          </w:tcPr>
          <w:p w14:paraId="0CABE5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2.1.3（5）</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016612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439033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第3.4</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款规定</w:t>
            </w:r>
          </w:p>
        </w:tc>
      </w:tr>
      <w:tr w14:paraId="717983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1762" w:type="dxa"/>
            <w:tcBorders>
              <w:top w:val="single" w:color="auto" w:sz="4" w:space="0"/>
              <w:bottom w:val="single" w:color="auto" w:sz="4" w:space="0"/>
              <w:right w:val="single" w:color="auto" w:sz="4" w:space="0"/>
            </w:tcBorders>
            <w:noWrap w:val="0"/>
            <w:vAlign w:val="center"/>
          </w:tcPr>
          <w:p w14:paraId="1752C1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2.1.3（6）</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0D8497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权利义务</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01ECEB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符合第四章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合同条款及格式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规定的权利义务</w:t>
            </w:r>
          </w:p>
        </w:tc>
      </w:tr>
      <w:tr w14:paraId="38FFA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1762" w:type="dxa"/>
            <w:tcBorders>
              <w:top w:val="single" w:color="auto" w:sz="4" w:space="0"/>
              <w:bottom w:val="single" w:color="auto" w:sz="4" w:space="0"/>
              <w:right w:val="single" w:color="auto" w:sz="4" w:space="0"/>
            </w:tcBorders>
            <w:noWrap w:val="0"/>
            <w:vAlign w:val="center"/>
          </w:tcPr>
          <w:p w14:paraId="659074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2.1.3（7）</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6A6844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已标价工程量清单</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2CD88A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符合第五章</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工程量清单</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填报的要求</w:t>
            </w:r>
          </w:p>
        </w:tc>
      </w:tr>
      <w:tr w14:paraId="17241A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1762" w:type="dxa"/>
            <w:tcBorders>
              <w:top w:val="single" w:color="auto" w:sz="4" w:space="0"/>
              <w:bottom w:val="single" w:color="auto" w:sz="4" w:space="0"/>
              <w:right w:val="single" w:color="auto" w:sz="4" w:space="0"/>
            </w:tcBorders>
            <w:noWrap w:val="0"/>
            <w:vAlign w:val="center"/>
          </w:tcPr>
          <w:p w14:paraId="01B272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70B957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施工安全生产专项</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5FA792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10.12</w:t>
            </w:r>
            <w:r>
              <w:rPr>
                <w:rFonts w:hint="eastAsia" w:ascii="宋体" w:hAnsi="宋体" w:eastAsia="宋体" w:cs="宋体"/>
                <w:color w:val="auto"/>
                <w:sz w:val="21"/>
                <w:szCs w:val="21"/>
                <w:highlight w:val="none"/>
              </w:rPr>
              <w:t>项规定</w:t>
            </w:r>
          </w:p>
        </w:tc>
      </w:tr>
      <w:tr w14:paraId="5E37B4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1762" w:type="dxa"/>
            <w:tcBorders>
              <w:top w:val="single" w:color="auto" w:sz="4" w:space="0"/>
              <w:bottom w:val="single" w:color="auto" w:sz="4" w:space="0"/>
              <w:right w:val="single" w:color="auto" w:sz="4" w:space="0"/>
            </w:tcBorders>
            <w:noWrap w:val="0"/>
            <w:vAlign w:val="center"/>
          </w:tcPr>
          <w:p w14:paraId="7FB1AE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2E7B8B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技术标准和要求</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356849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符合第七章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技术标准和要求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的规定</w:t>
            </w:r>
          </w:p>
        </w:tc>
      </w:tr>
      <w:tr w14:paraId="6ECED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1762" w:type="dxa"/>
            <w:tcBorders>
              <w:top w:val="single" w:color="auto" w:sz="4" w:space="0"/>
              <w:bottom w:val="single" w:color="auto" w:sz="4" w:space="0"/>
              <w:right w:val="single" w:color="auto" w:sz="4" w:space="0"/>
            </w:tcBorders>
            <w:noWrap w:val="0"/>
            <w:vAlign w:val="center"/>
          </w:tcPr>
          <w:p w14:paraId="72966F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2.1.3（10）</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13F69E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其他响应性要求</w:t>
            </w:r>
          </w:p>
        </w:tc>
        <w:tc>
          <w:tcPr>
            <w:tcW w:w="5806" w:type="dxa"/>
            <w:tcBorders>
              <w:top w:val="single" w:color="auto" w:sz="4" w:space="0"/>
              <w:left w:val="single" w:color="auto" w:sz="4" w:space="0"/>
              <w:bottom w:val="single" w:color="auto" w:sz="4" w:space="0"/>
              <w:right w:val="single" w:color="auto" w:sz="4" w:space="0"/>
            </w:tcBorders>
            <w:noWrap w:val="0"/>
            <w:vAlign w:val="center"/>
          </w:tcPr>
          <w:p w14:paraId="6AD8C8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符合招标文件规定</w:t>
            </w:r>
          </w:p>
        </w:tc>
      </w:tr>
    </w:tbl>
    <w:p w14:paraId="39E48376">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tbl>
      <w:tblPr>
        <w:tblStyle w:val="2"/>
        <w:tblW w:w="515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21"/>
        <w:gridCol w:w="10"/>
        <w:gridCol w:w="469"/>
        <w:gridCol w:w="565"/>
        <w:gridCol w:w="1883"/>
        <w:gridCol w:w="713"/>
        <w:gridCol w:w="5319"/>
      </w:tblGrid>
      <w:tr w14:paraId="4711CA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68" w:type="pct"/>
            <w:gridSpan w:val="4"/>
            <w:noWrap w:val="0"/>
            <w:vAlign w:val="center"/>
          </w:tcPr>
          <w:p w14:paraId="48FD96FF">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983" w:type="pct"/>
            <w:noWrap w:val="0"/>
            <w:vAlign w:val="center"/>
          </w:tcPr>
          <w:p w14:paraId="33EF7A67">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条款内容</w:t>
            </w:r>
          </w:p>
        </w:tc>
        <w:tc>
          <w:tcPr>
            <w:tcW w:w="3147" w:type="pct"/>
            <w:gridSpan w:val="2"/>
            <w:noWrap w:val="0"/>
            <w:vAlign w:val="center"/>
          </w:tcPr>
          <w:p w14:paraId="11996A24">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编列内容</w:t>
            </w:r>
          </w:p>
        </w:tc>
      </w:tr>
      <w:tr w14:paraId="66ECF3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68" w:type="pct"/>
            <w:gridSpan w:val="4"/>
            <w:noWrap w:val="0"/>
            <w:vAlign w:val="center"/>
          </w:tcPr>
          <w:p w14:paraId="5809FFC9">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bookmarkStart w:id="337" w:name="_Toc221950459"/>
            <w:r>
              <w:rPr>
                <w:rFonts w:hint="eastAsia" w:ascii="宋体" w:hAnsi="宋体" w:eastAsia="宋体" w:cs="宋体"/>
                <w:color w:val="auto"/>
                <w:szCs w:val="21"/>
                <w:highlight w:val="none"/>
              </w:rPr>
              <w:t>2.2.1</w:t>
            </w:r>
            <w:bookmarkEnd w:id="337"/>
          </w:p>
        </w:tc>
        <w:tc>
          <w:tcPr>
            <w:tcW w:w="983" w:type="pct"/>
            <w:noWrap w:val="0"/>
            <w:vAlign w:val="center"/>
          </w:tcPr>
          <w:p w14:paraId="6B13EABB">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bookmarkStart w:id="338" w:name="_Toc221950460"/>
            <w:r>
              <w:rPr>
                <w:rFonts w:hint="eastAsia" w:ascii="宋体" w:hAnsi="宋体" w:eastAsia="宋体" w:cs="宋体"/>
                <w:color w:val="auto"/>
                <w:szCs w:val="21"/>
                <w:highlight w:val="none"/>
              </w:rPr>
              <w:t>分值构成</w:t>
            </w:r>
            <w:bookmarkEnd w:id="338"/>
          </w:p>
          <w:p w14:paraId="5EA97EC6">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bookmarkStart w:id="339" w:name="_Toc221950461"/>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总分100分</w:t>
            </w:r>
            <w:r>
              <w:rPr>
                <w:rFonts w:hint="eastAsia" w:ascii="宋体" w:hAnsi="宋体" w:eastAsia="宋体" w:cs="宋体"/>
                <w:color w:val="auto"/>
                <w:szCs w:val="21"/>
                <w:highlight w:val="none"/>
                <w:lang w:eastAsia="zh-CN"/>
              </w:rPr>
              <w:t>）</w:t>
            </w:r>
            <w:bookmarkEnd w:id="339"/>
          </w:p>
        </w:tc>
        <w:tc>
          <w:tcPr>
            <w:tcW w:w="3147" w:type="pct"/>
            <w:gridSpan w:val="2"/>
            <w:noWrap w:val="0"/>
            <w:vAlign w:val="center"/>
          </w:tcPr>
          <w:p w14:paraId="11B8F4A0">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施工组织设计：</w:t>
            </w:r>
            <w:r>
              <w:rPr>
                <w:rFonts w:hint="eastAsia" w:ascii="宋体" w:hAnsi="宋体" w:eastAsia="宋体" w:cs="宋体"/>
                <w:color w:val="auto"/>
                <w:szCs w:val="21"/>
                <w:highlight w:val="none"/>
                <w:lang w:val="en-US" w:eastAsia="zh-CN"/>
              </w:rPr>
              <w:t>35</w:t>
            </w:r>
            <w:r>
              <w:rPr>
                <w:rFonts w:hint="eastAsia" w:ascii="宋体" w:hAnsi="宋体" w:eastAsia="宋体" w:cs="宋体"/>
                <w:color w:val="auto"/>
                <w:szCs w:val="21"/>
                <w:highlight w:val="none"/>
              </w:rPr>
              <w:t>分</w:t>
            </w:r>
          </w:p>
          <w:p w14:paraId="372C1F18">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项目管理机构：10分</w:t>
            </w:r>
          </w:p>
          <w:p w14:paraId="1083458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w:t>
            </w:r>
            <w:r>
              <w:rPr>
                <w:rFonts w:hint="eastAsia" w:ascii="宋体" w:hAnsi="宋体" w:eastAsia="宋体" w:cs="宋体"/>
                <w:color w:val="auto"/>
                <w:sz w:val="21"/>
                <w:szCs w:val="21"/>
                <w:highlight w:val="none"/>
                <w:lang w:val="en-US" w:eastAsia="zh-CN"/>
              </w:rPr>
              <w:t>总</w:t>
            </w: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val="en-US" w:eastAsia="zh-CN"/>
              </w:rPr>
              <w:t>40</w:t>
            </w:r>
            <w:r>
              <w:rPr>
                <w:rFonts w:hint="eastAsia" w:ascii="宋体" w:hAnsi="宋体" w:eastAsia="宋体" w:cs="宋体"/>
                <w:color w:val="auto"/>
                <w:szCs w:val="21"/>
                <w:highlight w:val="none"/>
              </w:rPr>
              <w:t>分</w:t>
            </w:r>
          </w:p>
          <w:p w14:paraId="3872AF14">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信用等级：5分</w:t>
            </w:r>
          </w:p>
          <w:p w14:paraId="7133D81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其它评分因素：10分</w:t>
            </w:r>
          </w:p>
        </w:tc>
      </w:tr>
      <w:tr w14:paraId="3262C4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68" w:type="pct"/>
            <w:gridSpan w:val="4"/>
            <w:noWrap w:val="0"/>
            <w:vAlign w:val="center"/>
          </w:tcPr>
          <w:p w14:paraId="3F26AD63">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2.2.2</w:t>
            </w:r>
          </w:p>
        </w:tc>
        <w:tc>
          <w:tcPr>
            <w:tcW w:w="983" w:type="pct"/>
            <w:noWrap w:val="0"/>
            <w:vAlign w:val="center"/>
          </w:tcPr>
          <w:p w14:paraId="1B4D0F2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bookmarkStart w:id="340" w:name="_Toc221950467"/>
            <w:r>
              <w:rPr>
                <w:rFonts w:hint="eastAsia" w:ascii="宋体" w:hAnsi="宋体" w:eastAsia="宋体" w:cs="宋体"/>
                <w:color w:val="auto"/>
                <w:szCs w:val="21"/>
                <w:highlight w:val="none"/>
              </w:rPr>
              <w:t>评标基准价计算公式</w:t>
            </w:r>
            <w:bookmarkEnd w:id="340"/>
          </w:p>
        </w:tc>
        <w:tc>
          <w:tcPr>
            <w:tcW w:w="3147" w:type="pct"/>
            <w:gridSpan w:val="2"/>
            <w:noWrap w:val="0"/>
            <w:vAlign w:val="center"/>
          </w:tcPr>
          <w:p w14:paraId="534F82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评标基准价计算方法：C=50%×A+50%×B；</w:t>
            </w:r>
          </w:p>
          <w:p w14:paraId="0464B7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①A=最高投标限价；B=有效投标报价的算术平均值；C=评标基准价。</w:t>
            </w:r>
          </w:p>
          <w:p w14:paraId="158CD1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②B=有效投标报价的算术平均值为所有通过初步评审的有效投标人在最高投标限价95%（含95%）-100%（含100%）之间的投标报价的算术平均值，当参与计算的投标人家数大于5家时（不含5家）去掉一个最高价和一个最低报价后计算算术平均值；</w:t>
            </w:r>
          </w:p>
          <w:p w14:paraId="6356EA2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lang w:val="zh-CN"/>
              </w:rPr>
            </w:pPr>
            <w:r>
              <w:rPr>
                <w:rFonts w:hint="eastAsia" w:ascii="宋体" w:hAnsi="宋体" w:eastAsia="宋体" w:cs="宋体"/>
                <w:color w:val="auto"/>
                <w:spacing w:val="0"/>
                <w:position w:val="0"/>
                <w:sz w:val="21"/>
                <w:szCs w:val="21"/>
                <w:highlight w:val="none"/>
                <w:lang w:eastAsia="zh-CN"/>
              </w:rPr>
              <w:t>③</w:t>
            </w:r>
            <w:r>
              <w:rPr>
                <w:rFonts w:hint="eastAsia" w:ascii="宋体" w:hAnsi="宋体" w:eastAsia="宋体" w:cs="宋体"/>
                <w:color w:val="auto"/>
                <w:spacing w:val="0"/>
                <w:position w:val="0"/>
                <w:sz w:val="21"/>
                <w:szCs w:val="21"/>
                <w:highlight w:val="none"/>
              </w:rPr>
              <w:t>当所有投标人的投标报价均不在最高投标限价</w:t>
            </w:r>
            <w:r>
              <w:rPr>
                <w:rFonts w:hint="eastAsia" w:ascii="宋体" w:hAnsi="宋体" w:eastAsia="宋体" w:cs="宋体"/>
                <w:color w:val="auto"/>
                <w:spacing w:val="0"/>
                <w:position w:val="0"/>
                <w:sz w:val="21"/>
                <w:szCs w:val="21"/>
                <w:highlight w:val="none"/>
                <w:lang w:val="en-US" w:eastAsia="zh-CN"/>
              </w:rPr>
              <w:t>95</w:t>
            </w:r>
            <w:r>
              <w:rPr>
                <w:rFonts w:hint="eastAsia" w:ascii="宋体" w:hAnsi="宋体" w:eastAsia="宋体" w:cs="宋体"/>
                <w:color w:val="auto"/>
                <w:spacing w:val="0"/>
                <w:position w:val="0"/>
                <w:sz w:val="21"/>
                <w:szCs w:val="21"/>
                <w:highlight w:val="none"/>
              </w:rPr>
              <w:t>%（含</w:t>
            </w:r>
            <w:r>
              <w:rPr>
                <w:rFonts w:hint="eastAsia" w:ascii="宋体" w:hAnsi="宋体" w:eastAsia="宋体" w:cs="宋体"/>
                <w:color w:val="auto"/>
                <w:spacing w:val="0"/>
                <w:position w:val="0"/>
                <w:sz w:val="21"/>
                <w:szCs w:val="21"/>
                <w:highlight w:val="none"/>
                <w:lang w:val="en-US" w:eastAsia="zh-CN"/>
              </w:rPr>
              <w:t>95</w:t>
            </w:r>
            <w:r>
              <w:rPr>
                <w:rFonts w:hint="eastAsia" w:ascii="宋体" w:hAnsi="宋体" w:eastAsia="宋体" w:cs="宋体"/>
                <w:color w:val="auto"/>
                <w:spacing w:val="0"/>
                <w:position w:val="0"/>
                <w:sz w:val="21"/>
                <w:szCs w:val="21"/>
                <w:highlight w:val="none"/>
              </w:rPr>
              <w:t>%）-100%（含100%）之间时，评标基准价C=最高投标限价×9</w:t>
            </w:r>
            <w:r>
              <w:rPr>
                <w:rFonts w:hint="eastAsia" w:ascii="宋体" w:hAnsi="宋体" w:eastAsia="宋体" w:cs="宋体"/>
                <w:color w:val="auto"/>
                <w:spacing w:val="0"/>
                <w:position w:val="0"/>
                <w:sz w:val="21"/>
                <w:szCs w:val="21"/>
                <w:highlight w:val="none"/>
                <w:lang w:val="en-US" w:eastAsia="zh-CN"/>
              </w:rPr>
              <w:t>5</w:t>
            </w:r>
            <w:r>
              <w:rPr>
                <w:rFonts w:hint="eastAsia" w:ascii="宋体" w:hAnsi="宋体" w:eastAsia="宋体" w:cs="宋体"/>
                <w:color w:val="auto"/>
                <w:spacing w:val="0"/>
                <w:position w:val="0"/>
                <w:sz w:val="21"/>
                <w:szCs w:val="21"/>
                <w:highlight w:val="none"/>
              </w:rPr>
              <w:t>%。</w:t>
            </w:r>
          </w:p>
        </w:tc>
      </w:tr>
      <w:tr w14:paraId="0A8AD9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68" w:type="pct"/>
            <w:gridSpan w:val="4"/>
            <w:noWrap w:val="0"/>
            <w:vAlign w:val="center"/>
          </w:tcPr>
          <w:p w14:paraId="7217425B">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2.2.3</w:t>
            </w:r>
          </w:p>
        </w:tc>
        <w:tc>
          <w:tcPr>
            <w:tcW w:w="983" w:type="pct"/>
            <w:noWrap w:val="0"/>
            <w:vAlign w:val="center"/>
          </w:tcPr>
          <w:p w14:paraId="300776C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投标报价的偏差率计算公式</w:t>
            </w:r>
          </w:p>
        </w:tc>
        <w:tc>
          <w:tcPr>
            <w:tcW w:w="3147" w:type="pct"/>
            <w:gridSpan w:val="2"/>
            <w:noWrap w:val="0"/>
            <w:vAlign w:val="center"/>
          </w:tcPr>
          <w:p w14:paraId="49E62569">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contextualSpacing w:val="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偏</w:t>
            </w:r>
            <w:r>
              <w:rPr>
                <w:rFonts w:hint="eastAsia" w:ascii="宋体" w:hAnsi="宋体" w:eastAsia="宋体" w:cs="宋体"/>
                <w:color w:val="auto"/>
                <w:szCs w:val="21"/>
                <w:highlight w:val="none"/>
              </w:rPr>
              <w:t>差率=100%×（有效投标报价－评标基准价）/评标基准价</w:t>
            </w:r>
          </w:p>
        </w:tc>
      </w:tr>
      <w:tr w14:paraId="7D008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68" w:type="pct"/>
            <w:gridSpan w:val="4"/>
            <w:noWrap w:val="0"/>
            <w:vAlign w:val="center"/>
          </w:tcPr>
          <w:p w14:paraId="3D82E7DA">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2.2.4</w:t>
            </w:r>
          </w:p>
        </w:tc>
        <w:tc>
          <w:tcPr>
            <w:tcW w:w="983" w:type="pct"/>
            <w:noWrap w:val="0"/>
            <w:vAlign w:val="center"/>
          </w:tcPr>
          <w:p w14:paraId="1C7DC9E8">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投标人最终得分的计算方法</w:t>
            </w:r>
          </w:p>
        </w:tc>
        <w:tc>
          <w:tcPr>
            <w:tcW w:w="3147" w:type="pct"/>
            <w:gridSpan w:val="2"/>
            <w:noWrap w:val="0"/>
            <w:vAlign w:val="center"/>
          </w:tcPr>
          <w:p w14:paraId="4EB8A0B7">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评标委员会所有成员打分的算术平均值（计算评分值均保留两位小数）。</w:t>
            </w:r>
          </w:p>
        </w:tc>
      </w:tr>
      <w:bookmarkEnd w:id="334"/>
      <w:bookmarkEnd w:id="335"/>
      <w:bookmarkEnd w:id="336"/>
      <w:tr w14:paraId="03F2E0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88" w:hRule="atLeast"/>
          <w:tblHeader/>
          <w:jc w:val="center"/>
        </w:trPr>
        <w:tc>
          <w:tcPr>
            <w:tcW w:w="868" w:type="pct"/>
            <w:gridSpan w:val="4"/>
            <w:noWrap w:val="0"/>
            <w:vAlign w:val="center"/>
          </w:tcPr>
          <w:p w14:paraId="32D28657">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序号</w:t>
            </w:r>
          </w:p>
        </w:tc>
        <w:tc>
          <w:tcPr>
            <w:tcW w:w="983" w:type="pct"/>
            <w:tcBorders>
              <w:left w:val="single" w:color="auto" w:sz="4" w:space="0"/>
            </w:tcBorders>
            <w:noWrap w:val="0"/>
            <w:vAlign w:val="center"/>
          </w:tcPr>
          <w:p w14:paraId="315D22A0">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评分</w:t>
            </w:r>
            <w:r>
              <w:rPr>
                <w:rFonts w:hint="eastAsia" w:ascii="宋体" w:hAnsi="宋体" w:eastAsia="宋体" w:cs="宋体"/>
                <w:b/>
                <w:bCs/>
                <w:color w:val="auto"/>
                <w:sz w:val="21"/>
                <w:szCs w:val="21"/>
                <w:highlight w:val="none"/>
                <w:lang w:val="en-US" w:eastAsia="zh-CN"/>
              </w:rPr>
              <w:t>因素</w:t>
            </w:r>
          </w:p>
        </w:tc>
        <w:tc>
          <w:tcPr>
            <w:tcW w:w="372" w:type="pct"/>
            <w:noWrap w:val="0"/>
            <w:vAlign w:val="center"/>
          </w:tcPr>
          <w:p w14:paraId="7F3ACF96">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赋分</w:t>
            </w:r>
          </w:p>
        </w:tc>
        <w:tc>
          <w:tcPr>
            <w:tcW w:w="2775" w:type="pct"/>
            <w:noWrap w:val="0"/>
            <w:vAlign w:val="center"/>
          </w:tcPr>
          <w:p w14:paraId="732AC8DA">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评分</w:t>
            </w:r>
            <w:r>
              <w:rPr>
                <w:rFonts w:hint="eastAsia" w:ascii="宋体" w:hAnsi="宋体" w:eastAsia="宋体" w:cs="宋体"/>
                <w:b/>
                <w:bCs/>
                <w:color w:val="auto"/>
                <w:sz w:val="21"/>
                <w:szCs w:val="21"/>
                <w:highlight w:val="none"/>
                <w:lang w:val="en-US" w:eastAsia="zh-CN"/>
              </w:rPr>
              <w:t>标准</w:t>
            </w:r>
          </w:p>
        </w:tc>
      </w:tr>
      <w:tr w14:paraId="009A6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88" w:hRule="atLeast"/>
          <w:jc w:val="center"/>
        </w:trPr>
        <w:tc>
          <w:tcPr>
            <w:tcW w:w="329" w:type="pct"/>
            <w:gridSpan w:val="2"/>
            <w:vMerge w:val="restart"/>
            <w:tcBorders>
              <w:right w:val="single" w:color="auto" w:sz="4" w:space="0"/>
            </w:tcBorders>
            <w:noWrap w:val="0"/>
            <w:vAlign w:val="center"/>
          </w:tcPr>
          <w:p w14:paraId="7C7D5758">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02C5659B">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44" w:type="pct"/>
            <w:vMerge w:val="restart"/>
            <w:tcBorders>
              <w:left w:val="single" w:color="auto" w:sz="4" w:space="0"/>
            </w:tcBorders>
            <w:noWrap w:val="0"/>
            <w:vAlign w:val="center"/>
          </w:tcPr>
          <w:p w14:paraId="42B52663">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A</w:t>
            </w:r>
          </w:p>
          <w:p w14:paraId="75987919">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施工</w:t>
            </w:r>
          </w:p>
          <w:p w14:paraId="741807EC">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组织</w:t>
            </w:r>
          </w:p>
          <w:p w14:paraId="0B6766B6">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设计</w:t>
            </w:r>
          </w:p>
          <w:p w14:paraId="35E7B57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691D477F">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w:t>
            </w:r>
          </w:p>
          <w:p w14:paraId="37545EA9">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p w14:paraId="382F2110">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94" w:type="pct"/>
            <w:noWrap w:val="0"/>
            <w:vAlign w:val="center"/>
          </w:tcPr>
          <w:p w14:paraId="68935279">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Cs w:val="21"/>
                <w:highlight w:val="none"/>
              </w:rPr>
              <w:t>1</w:t>
            </w:r>
          </w:p>
        </w:tc>
        <w:tc>
          <w:tcPr>
            <w:tcW w:w="983" w:type="pct"/>
            <w:noWrap w:val="0"/>
            <w:vAlign w:val="center"/>
          </w:tcPr>
          <w:p w14:paraId="51083A8D">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Cs w:val="21"/>
                <w:highlight w:val="none"/>
                <w:lang w:val="zh-CN"/>
              </w:rPr>
              <w:t>施工方案</w:t>
            </w:r>
          </w:p>
        </w:tc>
        <w:tc>
          <w:tcPr>
            <w:tcW w:w="372" w:type="pct"/>
            <w:noWrap w:val="0"/>
            <w:vAlign w:val="center"/>
          </w:tcPr>
          <w:p w14:paraId="49165E46">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Cs w:val="21"/>
                <w:highlight w:val="none"/>
                <w:lang w:val="en-US" w:eastAsia="zh-CN"/>
              </w:rPr>
              <w:t>13分</w:t>
            </w:r>
          </w:p>
        </w:tc>
        <w:tc>
          <w:tcPr>
            <w:tcW w:w="2775" w:type="pct"/>
            <w:noWrap w:val="0"/>
            <w:vAlign w:val="center"/>
          </w:tcPr>
          <w:p w14:paraId="165AD4E5">
            <w:pPr>
              <w:keepNext w:val="0"/>
              <w:keepLines w:val="0"/>
              <w:pageBreakBefore w:val="0"/>
              <w:widowControl/>
              <w:suppressLineNumbers w:val="0"/>
              <w:tabs>
                <w:tab w:val="left" w:pos="8424"/>
              </w:tabs>
              <w:kinsoku/>
              <w:wordWrap/>
              <w:overflowPunct w:val="0"/>
              <w:topLinePunct w:val="0"/>
              <w:autoSpaceDE w:val="0"/>
              <w:autoSpaceDN w:val="0"/>
              <w:bidi w:val="0"/>
              <w:spacing w:before="0" w:beforeAutospacing="0" w:after="0" w:afterAutospacing="0" w:line="360" w:lineRule="auto"/>
              <w:ind w:left="0" w:leftChars="0" w:right="0" w:rightChars="0" w:firstLine="0" w:firstLineChars="0"/>
              <w:jc w:val="left"/>
              <w:textAlignment w:val="baseline"/>
              <w:outlineLvl w:val="0"/>
              <w:rPr>
                <w:rFonts w:hint="default" w:ascii="宋体" w:hAnsi="宋体" w:eastAsia="宋体" w:cs="宋体"/>
                <w:color w:val="auto"/>
                <w:sz w:val="21"/>
                <w:szCs w:val="21"/>
                <w:highlight w:val="none"/>
              </w:rPr>
            </w:pPr>
          </w:p>
        </w:tc>
      </w:tr>
      <w:tr w14:paraId="1511A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9" w:type="pct"/>
            <w:gridSpan w:val="2"/>
            <w:vMerge w:val="continue"/>
            <w:tcBorders>
              <w:right w:val="single" w:color="auto" w:sz="4" w:space="0"/>
            </w:tcBorders>
            <w:noWrap w:val="0"/>
            <w:vAlign w:val="center"/>
          </w:tcPr>
          <w:p w14:paraId="573CB624">
            <w:pPr>
              <w:keepNext w:val="0"/>
              <w:keepLines w:val="0"/>
              <w:pageBreakBefore w:val="0"/>
              <w:widowControl/>
              <w:suppressLineNumbers w:val="0"/>
              <w:tabs>
                <w:tab w:val="left" w:pos="8424"/>
              </w:tabs>
              <w:kinsoku/>
              <w:wordWrap/>
              <w:overflowPunct w:val="0"/>
              <w:topLinePunct w:val="0"/>
              <w:autoSpaceDE w:val="0"/>
              <w:autoSpaceDN w:val="0"/>
              <w:bidi w:val="0"/>
              <w:spacing w:before="0" w:beforeAutospacing="0" w:after="0" w:afterAutospacing="0" w:line="360" w:lineRule="auto"/>
              <w:ind w:left="0" w:leftChars="0" w:right="0" w:rightChars="0" w:firstLine="0" w:firstLineChars="0"/>
              <w:jc w:val="center"/>
              <w:textAlignment w:val="baseline"/>
              <w:outlineLvl w:val="0"/>
              <w:rPr>
                <w:rFonts w:hint="default" w:ascii="宋体" w:hAnsi="宋体" w:eastAsia="宋体" w:cs="宋体"/>
                <w:color w:val="auto"/>
                <w:sz w:val="21"/>
                <w:szCs w:val="21"/>
                <w:highlight w:val="none"/>
              </w:rPr>
            </w:pPr>
          </w:p>
        </w:tc>
        <w:tc>
          <w:tcPr>
            <w:tcW w:w="244" w:type="pct"/>
            <w:vMerge w:val="continue"/>
            <w:tcBorders>
              <w:left w:val="single" w:color="auto" w:sz="4" w:space="0"/>
            </w:tcBorders>
            <w:noWrap w:val="0"/>
            <w:vAlign w:val="center"/>
          </w:tcPr>
          <w:p w14:paraId="1BA56FC6">
            <w:pPr>
              <w:keepNext w:val="0"/>
              <w:keepLines w:val="0"/>
              <w:pageBreakBefore w:val="0"/>
              <w:widowControl/>
              <w:suppressLineNumbers w:val="0"/>
              <w:tabs>
                <w:tab w:val="left" w:pos="8424"/>
              </w:tabs>
              <w:kinsoku/>
              <w:wordWrap/>
              <w:overflowPunct w:val="0"/>
              <w:topLinePunct w:val="0"/>
              <w:autoSpaceDE w:val="0"/>
              <w:autoSpaceDN w:val="0"/>
              <w:bidi w:val="0"/>
              <w:spacing w:before="0" w:beforeAutospacing="0" w:after="0" w:afterAutospacing="0" w:line="360" w:lineRule="auto"/>
              <w:ind w:left="0" w:leftChars="0" w:right="0" w:rightChars="0" w:firstLine="0" w:firstLineChars="0"/>
              <w:jc w:val="center"/>
              <w:textAlignment w:val="baseline"/>
              <w:outlineLvl w:val="0"/>
              <w:rPr>
                <w:rFonts w:hint="default" w:ascii="宋体" w:hAnsi="宋体" w:eastAsia="宋体" w:cs="宋体"/>
                <w:color w:val="auto"/>
                <w:sz w:val="21"/>
                <w:szCs w:val="21"/>
                <w:highlight w:val="none"/>
              </w:rPr>
            </w:pPr>
          </w:p>
        </w:tc>
        <w:tc>
          <w:tcPr>
            <w:tcW w:w="294" w:type="pct"/>
            <w:noWrap w:val="0"/>
            <w:vAlign w:val="center"/>
          </w:tcPr>
          <w:p w14:paraId="636B3AB2">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(1)</w:t>
            </w:r>
          </w:p>
        </w:tc>
        <w:tc>
          <w:tcPr>
            <w:tcW w:w="983" w:type="pct"/>
            <w:noWrap w:val="0"/>
            <w:vAlign w:val="center"/>
          </w:tcPr>
          <w:p w14:paraId="2FDC34C6">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施工总布置</w:t>
            </w:r>
          </w:p>
        </w:tc>
        <w:tc>
          <w:tcPr>
            <w:tcW w:w="372" w:type="pct"/>
            <w:noWrap w:val="0"/>
            <w:vAlign w:val="center"/>
          </w:tcPr>
          <w:p w14:paraId="08844DB7">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分</w:t>
            </w:r>
          </w:p>
        </w:tc>
        <w:tc>
          <w:tcPr>
            <w:tcW w:w="2775" w:type="pct"/>
            <w:noWrap w:val="0"/>
            <w:vAlign w:val="center"/>
          </w:tcPr>
          <w:p w14:paraId="6DE1E847">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重点评价对工程的理解、施工总布置的合理性，合理得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3（含）</w:t>
            </w:r>
            <w:r>
              <w:rPr>
                <w:rFonts w:hint="eastAsia" w:ascii="宋体" w:hAnsi="宋体" w:eastAsia="宋体" w:cs="宋体"/>
                <w:color w:val="auto"/>
                <w:szCs w:val="21"/>
                <w:highlight w:val="none"/>
              </w:rPr>
              <w:t>分，基本合理得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2（含）</w:t>
            </w:r>
            <w:r>
              <w:rPr>
                <w:rFonts w:hint="eastAsia" w:ascii="宋体" w:hAnsi="宋体" w:eastAsia="宋体" w:cs="宋体"/>
                <w:color w:val="auto"/>
                <w:szCs w:val="21"/>
                <w:highlight w:val="none"/>
              </w:rPr>
              <w:t>分，一般得</w:t>
            </w:r>
            <w:r>
              <w:rPr>
                <w:rFonts w:hint="eastAsia" w:ascii="宋体" w:hAnsi="宋体" w:eastAsia="宋体" w:cs="宋体"/>
                <w:color w:val="auto"/>
                <w:szCs w:val="21"/>
                <w:highlight w:val="none"/>
                <w:lang w:val="en-US" w:eastAsia="zh-CN"/>
              </w:rPr>
              <w:t>0（含）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1（含）</w:t>
            </w:r>
            <w:r>
              <w:rPr>
                <w:rFonts w:hint="eastAsia" w:ascii="宋体" w:hAnsi="宋体" w:eastAsia="宋体" w:cs="宋体"/>
                <w:color w:val="auto"/>
                <w:szCs w:val="21"/>
                <w:highlight w:val="none"/>
              </w:rPr>
              <w:t>分。</w:t>
            </w:r>
          </w:p>
        </w:tc>
      </w:tr>
      <w:tr w14:paraId="553463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136" w:hRule="atLeast"/>
          <w:jc w:val="center"/>
        </w:trPr>
        <w:tc>
          <w:tcPr>
            <w:tcW w:w="329" w:type="pct"/>
            <w:gridSpan w:val="2"/>
            <w:vMerge w:val="continue"/>
            <w:tcBorders>
              <w:right w:val="single" w:color="auto" w:sz="4" w:space="0"/>
            </w:tcBorders>
            <w:noWrap w:val="0"/>
            <w:vAlign w:val="center"/>
          </w:tcPr>
          <w:p w14:paraId="3F7558BC">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44" w:type="pct"/>
            <w:vMerge w:val="continue"/>
            <w:tcBorders>
              <w:left w:val="single" w:color="auto" w:sz="4" w:space="0"/>
            </w:tcBorders>
            <w:noWrap w:val="0"/>
            <w:vAlign w:val="center"/>
          </w:tcPr>
          <w:p w14:paraId="1A1D9BAA">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4" w:type="pct"/>
            <w:noWrap w:val="0"/>
            <w:vAlign w:val="center"/>
          </w:tcPr>
          <w:p w14:paraId="4563F7AA">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(2)</w:t>
            </w:r>
          </w:p>
        </w:tc>
        <w:tc>
          <w:tcPr>
            <w:tcW w:w="983" w:type="pct"/>
            <w:noWrap w:val="0"/>
            <w:vAlign w:val="center"/>
          </w:tcPr>
          <w:p w14:paraId="2D6C9D6B">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Cs w:val="21"/>
                <w:highlight w:val="none"/>
                <w:lang w:val="zh-CN"/>
              </w:rPr>
              <w:t>主要施工方法及技术措施</w:t>
            </w:r>
          </w:p>
        </w:tc>
        <w:tc>
          <w:tcPr>
            <w:tcW w:w="372" w:type="pct"/>
            <w:noWrap w:val="0"/>
            <w:vAlign w:val="center"/>
          </w:tcPr>
          <w:p w14:paraId="62D2CCD7">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10分</w:t>
            </w:r>
          </w:p>
        </w:tc>
        <w:tc>
          <w:tcPr>
            <w:tcW w:w="2775" w:type="pct"/>
            <w:noWrap w:val="0"/>
            <w:vAlign w:val="center"/>
          </w:tcPr>
          <w:p w14:paraId="398A43CC">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评价主要施工方法、施工工序、主要技术措施（包括大体积混凝土浇筑方案、温控措施、金结安装</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lang w:eastAsia="zh-CN"/>
              </w:rPr>
              <w:t>具体方案），施工工艺和施工机械的先进性。施工总体方案及技术措施合理得6～10（含）分，基本合理得3～6（含）分，一般得0</w:t>
            </w:r>
            <w:r>
              <w:rPr>
                <w:rFonts w:hint="eastAsia" w:ascii="宋体" w:hAnsi="宋体" w:eastAsia="宋体" w:cs="宋体"/>
                <w:color w:val="auto"/>
                <w:szCs w:val="21"/>
                <w:highlight w:val="none"/>
                <w:lang w:val="en-US" w:eastAsia="zh-CN"/>
              </w:rPr>
              <w:t>（含）</w:t>
            </w:r>
            <w:r>
              <w:rPr>
                <w:rFonts w:hint="eastAsia" w:ascii="宋体" w:hAnsi="宋体" w:eastAsia="宋体" w:cs="宋体"/>
                <w:color w:val="auto"/>
                <w:sz w:val="21"/>
                <w:szCs w:val="21"/>
                <w:highlight w:val="none"/>
                <w:lang w:eastAsia="zh-CN"/>
              </w:rPr>
              <w:t>～3（含）分。</w:t>
            </w:r>
          </w:p>
        </w:tc>
      </w:tr>
      <w:tr w14:paraId="238A72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9" w:type="pct"/>
            <w:gridSpan w:val="2"/>
            <w:vMerge w:val="continue"/>
            <w:tcBorders>
              <w:right w:val="single" w:color="auto" w:sz="4" w:space="0"/>
            </w:tcBorders>
            <w:noWrap w:val="0"/>
            <w:vAlign w:val="center"/>
          </w:tcPr>
          <w:p w14:paraId="6FA1A66D">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44" w:type="pct"/>
            <w:vMerge w:val="continue"/>
            <w:tcBorders>
              <w:left w:val="single" w:color="auto" w:sz="4" w:space="0"/>
            </w:tcBorders>
            <w:noWrap w:val="0"/>
            <w:vAlign w:val="center"/>
          </w:tcPr>
          <w:p w14:paraId="64CB38B4">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4" w:type="pct"/>
            <w:noWrap w:val="0"/>
            <w:vAlign w:val="center"/>
          </w:tcPr>
          <w:p w14:paraId="0BAA73EF">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rPr>
            </w:pPr>
            <w:r>
              <w:rPr>
                <w:rFonts w:hint="eastAsia" w:ascii="宋体" w:hAnsi="宋体" w:eastAsia="宋体" w:cs="宋体"/>
                <w:b/>
                <w:bCs/>
                <w:color w:val="auto"/>
                <w:szCs w:val="21"/>
                <w:highlight w:val="none"/>
                <w:lang w:val="zh-CN"/>
              </w:rPr>
              <w:t>2</w:t>
            </w:r>
          </w:p>
        </w:tc>
        <w:tc>
          <w:tcPr>
            <w:tcW w:w="983" w:type="pct"/>
            <w:noWrap w:val="0"/>
            <w:vAlign w:val="center"/>
          </w:tcPr>
          <w:p w14:paraId="250FAA80">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rPr>
            </w:pPr>
            <w:r>
              <w:rPr>
                <w:rFonts w:hint="eastAsia" w:ascii="宋体" w:hAnsi="宋体" w:eastAsia="宋体" w:cs="宋体"/>
                <w:b/>
                <w:bCs/>
                <w:color w:val="auto"/>
                <w:szCs w:val="21"/>
                <w:highlight w:val="none"/>
                <w:lang w:val="zh-CN"/>
              </w:rPr>
              <w:t>施工进度计划安排的合理性</w:t>
            </w:r>
          </w:p>
        </w:tc>
        <w:tc>
          <w:tcPr>
            <w:tcW w:w="372" w:type="pct"/>
            <w:noWrap w:val="0"/>
            <w:vAlign w:val="center"/>
          </w:tcPr>
          <w:p w14:paraId="52ECC76E">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Cs w:val="21"/>
                <w:highlight w:val="none"/>
                <w:lang w:val="en-US" w:eastAsia="zh-CN"/>
              </w:rPr>
              <w:t>6分</w:t>
            </w:r>
          </w:p>
        </w:tc>
        <w:tc>
          <w:tcPr>
            <w:tcW w:w="2775" w:type="pct"/>
            <w:noWrap w:val="0"/>
            <w:vAlign w:val="center"/>
          </w:tcPr>
          <w:p w14:paraId="71368614">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p>
        </w:tc>
      </w:tr>
      <w:tr w14:paraId="011B9A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9" w:type="pct"/>
            <w:gridSpan w:val="2"/>
            <w:vMerge w:val="continue"/>
            <w:tcBorders>
              <w:right w:val="single" w:color="auto" w:sz="4" w:space="0"/>
            </w:tcBorders>
            <w:noWrap w:val="0"/>
            <w:vAlign w:val="center"/>
          </w:tcPr>
          <w:p w14:paraId="1E6CC825">
            <w:pPr>
              <w:keepNext w:val="0"/>
              <w:keepLines w:val="0"/>
              <w:pageBreakBefore w:val="0"/>
              <w:widowControl/>
              <w:suppressLineNumbers w:val="0"/>
              <w:tabs>
                <w:tab w:val="left" w:pos="8424"/>
              </w:tabs>
              <w:kinsoku/>
              <w:wordWrap/>
              <w:overflowPunct w:val="0"/>
              <w:topLinePunct w:val="0"/>
              <w:autoSpaceDE w:val="0"/>
              <w:autoSpaceDN w:val="0"/>
              <w:bidi w:val="0"/>
              <w:spacing w:before="0" w:beforeAutospacing="0" w:after="0" w:afterAutospacing="0" w:line="360" w:lineRule="auto"/>
              <w:ind w:left="0" w:leftChars="0" w:right="0" w:rightChars="0" w:firstLine="0" w:firstLineChars="0"/>
              <w:jc w:val="center"/>
              <w:textAlignment w:val="baseline"/>
              <w:outlineLvl w:val="0"/>
              <w:rPr>
                <w:rFonts w:hint="default" w:ascii="宋体" w:hAnsi="宋体" w:eastAsia="宋体" w:cs="宋体"/>
                <w:color w:val="auto"/>
                <w:sz w:val="21"/>
                <w:szCs w:val="21"/>
                <w:highlight w:val="none"/>
              </w:rPr>
            </w:pPr>
          </w:p>
        </w:tc>
        <w:tc>
          <w:tcPr>
            <w:tcW w:w="244" w:type="pct"/>
            <w:vMerge w:val="continue"/>
            <w:tcBorders>
              <w:left w:val="single" w:color="auto" w:sz="4" w:space="0"/>
            </w:tcBorders>
            <w:noWrap w:val="0"/>
            <w:vAlign w:val="center"/>
          </w:tcPr>
          <w:p w14:paraId="4D7354A4">
            <w:pPr>
              <w:keepNext w:val="0"/>
              <w:keepLines w:val="0"/>
              <w:pageBreakBefore w:val="0"/>
              <w:widowControl/>
              <w:suppressLineNumbers w:val="0"/>
              <w:tabs>
                <w:tab w:val="left" w:pos="8424"/>
              </w:tabs>
              <w:kinsoku/>
              <w:wordWrap/>
              <w:overflowPunct w:val="0"/>
              <w:topLinePunct w:val="0"/>
              <w:autoSpaceDE w:val="0"/>
              <w:autoSpaceDN w:val="0"/>
              <w:bidi w:val="0"/>
              <w:spacing w:before="0" w:beforeAutospacing="0" w:after="0" w:afterAutospacing="0" w:line="360" w:lineRule="auto"/>
              <w:ind w:left="0" w:leftChars="0" w:right="0" w:rightChars="0" w:firstLine="0" w:firstLineChars="0"/>
              <w:jc w:val="center"/>
              <w:textAlignment w:val="baseline"/>
              <w:outlineLvl w:val="0"/>
              <w:rPr>
                <w:rFonts w:hint="default" w:ascii="宋体" w:hAnsi="宋体" w:eastAsia="宋体" w:cs="宋体"/>
                <w:color w:val="auto"/>
                <w:sz w:val="21"/>
                <w:szCs w:val="21"/>
                <w:highlight w:val="none"/>
              </w:rPr>
            </w:pPr>
          </w:p>
        </w:tc>
        <w:tc>
          <w:tcPr>
            <w:tcW w:w="294" w:type="pct"/>
            <w:noWrap w:val="0"/>
            <w:vAlign w:val="center"/>
          </w:tcPr>
          <w:p w14:paraId="73814043">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Cs w:val="21"/>
                <w:highlight w:val="none"/>
              </w:rPr>
              <w:t>(1)</w:t>
            </w:r>
          </w:p>
        </w:tc>
        <w:tc>
          <w:tcPr>
            <w:tcW w:w="983" w:type="pct"/>
            <w:noWrap w:val="0"/>
            <w:vAlign w:val="center"/>
          </w:tcPr>
          <w:p w14:paraId="379654DB">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Cs w:val="21"/>
                <w:highlight w:val="none"/>
                <w:lang w:val="zh-CN"/>
              </w:rPr>
              <w:t>总体进度计划、关键节点施工进度控制的可行性</w:t>
            </w:r>
          </w:p>
        </w:tc>
        <w:tc>
          <w:tcPr>
            <w:tcW w:w="372" w:type="pct"/>
            <w:noWrap w:val="0"/>
            <w:vAlign w:val="center"/>
          </w:tcPr>
          <w:p w14:paraId="15D22B4B">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4分</w:t>
            </w:r>
          </w:p>
        </w:tc>
        <w:tc>
          <w:tcPr>
            <w:tcW w:w="2775" w:type="pct"/>
            <w:noWrap w:val="0"/>
            <w:vAlign w:val="center"/>
          </w:tcPr>
          <w:p w14:paraId="0ACF0E1E">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对总体进度计划、关键路线、关键节点及中间完工项目施工进度计划、施工强度等是否切实可行进行评价，合理得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分，基本合理得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分，一般得</w:t>
            </w:r>
            <w:r>
              <w:rPr>
                <w:rFonts w:hint="eastAsia" w:ascii="宋体" w:hAnsi="宋体" w:eastAsia="宋体" w:cs="宋体"/>
                <w:color w:val="auto"/>
                <w:szCs w:val="21"/>
                <w:highlight w:val="none"/>
                <w:lang w:val="en-US" w:eastAsia="zh-CN"/>
              </w:rPr>
              <w:t>0（含）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w:t>
            </w:r>
          </w:p>
        </w:tc>
      </w:tr>
      <w:tr w14:paraId="4984E1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9" w:type="pct"/>
            <w:gridSpan w:val="2"/>
            <w:vMerge w:val="continue"/>
            <w:tcBorders>
              <w:right w:val="single" w:color="auto" w:sz="4" w:space="0"/>
            </w:tcBorders>
            <w:noWrap w:val="0"/>
            <w:vAlign w:val="center"/>
          </w:tcPr>
          <w:p w14:paraId="780AACC6">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44" w:type="pct"/>
            <w:vMerge w:val="continue"/>
            <w:tcBorders>
              <w:left w:val="single" w:color="auto" w:sz="4" w:space="0"/>
            </w:tcBorders>
            <w:noWrap w:val="0"/>
            <w:vAlign w:val="center"/>
          </w:tcPr>
          <w:p w14:paraId="02E36F92">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4" w:type="pct"/>
            <w:noWrap w:val="0"/>
            <w:vAlign w:val="center"/>
          </w:tcPr>
          <w:p w14:paraId="0AD5FD29">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Cs w:val="21"/>
                <w:highlight w:val="none"/>
              </w:rPr>
              <w:t>(2)</w:t>
            </w:r>
          </w:p>
        </w:tc>
        <w:tc>
          <w:tcPr>
            <w:tcW w:w="983" w:type="pct"/>
            <w:noWrap w:val="0"/>
            <w:vAlign w:val="center"/>
          </w:tcPr>
          <w:p w14:paraId="4297362C">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Cs w:val="21"/>
                <w:highlight w:val="none"/>
                <w:lang w:val="zh-CN"/>
              </w:rPr>
              <w:t>进度保证措施</w:t>
            </w:r>
          </w:p>
        </w:tc>
        <w:tc>
          <w:tcPr>
            <w:tcW w:w="372" w:type="pct"/>
            <w:noWrap w:val="0"/>
            <w:vAlign w:val="center"/>
          </w:tcPr>
          <w:p w14:paraId="48B2950B">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2分</w:t>
            </w:r>
          </w:p>
        </w:tc>
        <w:tc>
          <w:tcPr>
            <w:tcW w:w="2775" w:type="pct"/>
            <w:noWrap w:val="0"/>
            <w:vAlign w:val="center"/>
          </w:tcPr>
          <w:p w14:paraId="327B07A1">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评价进度保证措施是否具有针对性、措施合理可行等方面，合理得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分，一般得</w:t>
            </w:r>
            <w:r>
              <w:rPr>
                <w:rFonts w:hint="eastAsia" w:ascii="宋体" w:hAnsi="宋体" w:eastAsia="宋体" w:cs="宋体"/>
                <w:color w:val="auto"/>
                <w:szCs w:val="21"/>
                <w:highlight w:val="none"/>
                <w:lang w:val="en-US" w:eastAsia="zh-CN"/>
              </w:rPr>
              <w:t>0（含）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w:t>
            </w:r>
          </w:p>
        </w:tc>
      </w:tr>
      <w:tr w14:paraId="116C0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9" w:type="pct"/>
            <w:gridSpan w:val="2"/>
            <w:vMerge w:val="continue"/>
            <w:tcBorders>
              <w:right w:val="single" w:color="auto" w:sz="4" w:space="0"/>
            </w:tcBorders>
            <w:noWrap w:val="0"/>
            <w:vAlign w:val="center"/>
          </w:tcPr>
          <w:p w14:paraId="18951063">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44" w:type="pct"/>
            <w:vMerge w:val="continue"/>
            <w:tcBorders>
              <w:left w:val="single" w:color="auto" w:sz="4" w:space="0"/>
            </w:tcBorders>
            <w:noWrap w:val="0"/>
            <w:vAlign w:val="center"/>
          </w:tcPr>
          <w:p w14:paraId="68C4E1DE">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4" w:type="pct"/>
            <w:noWrap w:val="0"/>
            <w:vAlign w:val="center"/>
          </w:tcPr>
          <w:p w14:paraId="5B78AD4F">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lang w:val="zh-CN"/>
              </w:rPr>
              <w:t>3</w:t>
            </w:r>
          </w:p>
        </w:tc>
        <w:tc>
          <w:tcPr>
            <w:tcW w:w="983" w:type="pct"/>
            <w:noWrap w:val="0"/>
            <w:vAlign w:val="center"/>
          </w:tcPr>
          <w:p w14:paraId="61FF868D">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lang w:val="zh-CN"/>
              </w:rPr>
              <w:t>配备的施工设备的数量和性能</w:t>
            </w:r>
            <w:r>
              <w:rPr>
                <w:rFonts w:hint="eastAsia" w:ascii="宋体" w:hAnsi="宋体" w:eastAsia="宋体" w:cs="宋体"/>
                <w:b/>
                <w:bCs/>
                <w:color w:val="auto"/>
                <w:szCs w:val="21"/>
                <w:highlight w:val="none"/>
              </w:rPr>
              <w:t>及人力资源配置</w:t>
            </w:r>
          </w:p>
        </w:tc>
        <w:tc>
          <w:tcPr>
            <w:tcW w:w="372" w:type="pct"/>
            <w:noWrap w:val="0"/>
            <w:vAlign w:val="center"/>
          </w:tcPr>
          <w:p w14:paraId="1CCA709C">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bCs w:val="0"/>
                <w:color w:val="auto"/>
                <w:szCs w:val="21"/>
                <w:highlight w:val="none"/>
                <w:lang w:val="en-US" w:eastAsia="zh-CN"/>
              </w:rPr>
              <w:t>6分</w:t>
            </w:r>
          </w:p>
        </w:tc>
        <w:tc>
          <w:tcPr>
            <w:tcW w:w="2775" w:type="pct"/>
            <w:noWrap w:val="0"/>
            <w:vAlign w:val="center"/>
          </w:tcPr>
          <w:p w14:paraId="3B2727B7">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对拟投入本工程施工的机械设备类型、型号、数量及适用性、可靠性进行综合评审，</w:t>
            </w:r>
          </w:p>
          <w:p w14:paraId="4CFAE2C1">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施工机械满足现场施工要求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合理得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分，基本合理得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分，一般得</w:t>
            </w:r>
            <w:r>
              <w:rPr>
                <w:rFonts w:hint="eastAsia" w:ascii="宋体" w:hAnsi="宋体" w:eastAsia="宋体" w:cs="宋体"/>
                <w:color w:val="auto"/>
                <w:szCs w:val="21"/>
                <w:highlight w:val="none"/>
                <w:lang w:val="en-US" w:eastAsia="zh-CN"/>
              </w:rPr>
              <w:t>0（含）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w:t>
            </w:r>
          </w:p>
          <w:p w14:paraId="303B2DC2">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人力资源数量、结构配置合理得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分，基本合理得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分，一般得</w:t>
            </w:r>
            <w:r>
              <w:rPr>
                <w:rFonts w:hint="eastAsia" w:ascii="宋体" w:hAnsi="宋体" w:eastAsia="宋体" w:cs="宋体"/>
                <w:color w:val="auto"/>
                <w:szCs w:val="21"/>
                <w:highlight w:val="none"/>
                <w:lang w:val="en-US" w:eastAsia="zh-CN"/>
              </w:rPr>
              <w:t>0（含）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w:t>
            </w:r>
          </w:p>
        </w:tc>
      </w:tr>
      <w:tr w14:paraId="2BF76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9" w:type="pct"/>
            <w:gridSpan w:val="2"/>
            <w:vMerge w:val="continue"/>
            <w:tcBorders>
              <w:right w:val="single" w:color="auto" w:sz="4" w:space="0"/>
            </w:tcBorders>
            <w:noWrap w:val="0"/>
            <w:vAlign w:val="center"/>
          </w:tcPr>
          <w:p w14:paraId="0F438949">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44" w:type="pct"/>
            <w:vMerge w:val="continue"/>
            <w:tcBorders>
              <w:left w:val="single" w:color="auto" w:sz="4" w:space="0"/>
            </w:tcBorders>
            <w:noWrap w:val="0"/>
            <w:vAlign w:val="center"/>
          </w:tcPr>
          <w:p w14:paraId="5905D107">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4" w:type="pct"/>
            <w:noWrap w:val="0"/>
            <w:vAlign w:val="center"/>
          </w:tcPr>
          <w:p w14:paraId="71C9092D">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Cs w:val="21"/>
                <w:highlight w:val="none"/>
                <w:lang w:val="zh-CN"/>
              </w:rPr>
              <w:t>4</w:t>
            </w:r>
          </w:p>
        </w:tc>
        <w:tc>
          <w:tcPr>
            <w:tcW w:w="983" w:type="pct"/>
            <w:noWrap w:val="0"/>
            <w:vAlign w:val="center"/>
          </w:tcPr>
          <w:p w14:paraId="6396DCAD">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Cs w:val="21"/>
                <w:highlight w:val="none"/>
                <w:lang w:val="zh-CN"/>
              </w:rPr>
              <w:t>质量</w:t>
            </w:r>
            <w:r>
              <w:rPr>
                <w:rFonts w:hint="eastAsia" w:ascii="宋体" w:hAnsi="宋体" w:eastAsia="宋体" w:cs="宋体"/>
                <w:b/>
                <w:bCs/>
                <w:color w:val="auto"/>
                <w:szCs w:val="21"/>
                <w:highlight w:val="none"/>
                <w:lang w:val="en-US" w:eastAsia="zh-CN"/>
              </w:rPr>
              <w:t>目标、</w:t>
            </w:r>
            <w:r>
              <w:rPr>
                <w:rFonts w:hint="eastAsia" w:ascii="宋体" w:hAnsi="宋体" w:eastAsia="宋体" w:cs="宋体"/>
                <w:b/>
                <w:bCs/>
                <w:color w:val="auto"/>
                <w:szCs w:val="21"/>
                <w:highlight w:val="none"/>
                <w:lang w:val="zh-CN"/>
              </w:rPr>
              <w:t>保证体系及质量保证措施</w:t>
            </w:r>
          </w:p>
        </w:tc>
        <w:tc>
          <w:tcPr>
            <w:tcW w:w="372" w:type="pct"/>
            <w:noWrap w:val="0"/>
            <w:vAlign w:val="center"/>
          </w:tcPr>
          <w:p w14:paraId="3B0BFBE2">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Cs w:val="21"/>
                <w:highlight w:val="none"/>
                <w:lang w:val="en-US" w:eastAsia="zh-CN"/>
              </w:rPr>
              <w:t>6分</w:t>
            </w:r>
          </w:p>
        </w:tc>
        <w:tc>
          <w:tcPr>
            <w:tcW w:w="2775" w:type="pct"/>
            <w:noWrap w:val="0"/>
            <w:vAlign w:val="center"/>
          </w:tcPr>
          <w:p w14:paraId="60C94446">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综合评价质量目标</w:t>
            </w:r>
            <w:r>
              <w:rPr>
                <w:rFonts w:hint="eastAsia" w:ascii="宋体" w:hAnsi="宋体" w:eastAsia="宋体" w:cs="宋体"/>
                <w:color w:val="auto"/>
                <w:szCs w:val="21"/>
                <w:highlight w:val="none"/>
                <w:lang w:val="en-US" w:eastAsia="zh-CN"/>
              </w:rPr>
              <w:t>是否合理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质量保证体系是否健全；质量保证措施是否合理有效并具有针对性</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合理得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分，基本</w:t>
            </w:r>
            <w:r>
              <w:rPr>
                <w:rFonts w:hint="eastAsia" w:ascii="宋体" w:hAnsi="宋体" w:eastAsia="宋体" w:cs="宋体"/>
                <w:color w:val="auto"/>
                <w:szCs w:val="21"/>
                <w:highlight w:val="none"/>
                <w:lang w:val="en-US" w:eastAsia="zh-CN"/>
              </w:rPr>
              <w:t>完整、</w:t>
            </w:r>
            <w:r>
              <w:rPr>
                <w:rFonts w:hint="eastAsia" w:ascii="宋体" w:hAnsi="宋体" w:eastAsia="宋体" w:cs="宋体"/>
                <w:color w:val="auto"/>
                <w:szCs w:val="21"/>
                <w:highlight w:val="none"/>
              </w:rPr>
              <w:t>合理得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分，一般得</w:t>
            </w:r>
            <w:r>
              <w:rPr>
                <w:rFonts w:hint="eastAsia" w:ascii="宋体" w:hAnsi="宋体" w:eastAsia="宋体" w:cs="宋体"/>
                <w:color w:val="auto"/>
                <w:szCs w:val="21"/>
                <w:highlight w:val="none"/>
                <w:lang w:val="en-US" w:eastAsia="zh-CN"/>
              </w:rPr>
              <w:t>0（含）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w:t>
            </w:r>
          </w:p>
          <w:p w14:paraId="5A1A7537">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质量保证措施针对性及可操作性</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合理得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分，基本合理得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分，一般得</w:t>
            </w:r>
            <w:r>
              <w:rPr>
                <w:rFonts w:hint="eastAsia" w:ascii="宋体" w:hAnsi="宋体" w:eastAsia="宋体" w:cs="宋体"/>
                <w:color w:val="auto"/>
                <w:szCs w:val="21"/>
                <w:highlight w:val="none"/>
                <w:lang w:val="en-US" w:eastAsia="zh-CN"/>
              </w:rPr>
              <w:t>0（含）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w:t>
            </w:r>
          </w:p>
        </w:tc>
      </w:tr>
      <w:tr w14:paraId="1B0EC7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9" w:type="pct"/>
            <w:gridSpan w:val="2"/>
            <w:vMerge w:val="continue"/>
            <w:tcBorders>
              <w:right w:val="single" w:color="auto" w:sz="4" w:space="0"/>
            </w:tcBorders>
            <w:noWrap w:val="0"/>
            <w:vAlign w:val="center"/>
          </w:tcPr>
          <w:p w14:paraId="14ECF385">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eastAsia" w:ascii="宋体" w:hAnsi="宋体" w:eastAsia="宋体" w:cs="宋体"/>
                <w:color w:val="auto"/>
                <w:sz w:val="21"/>
                <w:szCs w:val="21"/>
                <w:highlight w:val="none"/>
              </w:rPr>
            </w:pPr>
          </w:p>
        </w:tc>
        <w:tc>
          <w:tcPr>
            <w:tcW w:w="244" w:type="pct"/>
            <w:vMerge w:val="continue"/>
            <w:tcBorders>
              <w:left w:val="single" w:color="auto" w:sz="4" w:space="0"/>
            </w:tcBorders>
            <w:noWrap w:val="0"/>
            <w:vAlign w:val="center"/>
          </w:tcPr>
          <w:p w14:paraId="24405A4B">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eastAsia" w:ascii="宋体" w:hAnsi="宋体" w:eastAsia="宋体" w:cs="宋体"/>
                <w:color w:val="auto"/>
                <w:sz w:val="21"/>
                <w:szCs w:val="21"/>
                <w:highlight w:val="none"/>
              </w:rPr>
            </w:pPr>
          </w:p>
        </w:tc>
        <w:tc>
          <w:tcPr>
            <w:tcW w:w="294" w:type="pct"/>
            <w:shd w:val="clear" w:color="auto" w:fill="auto"/>
            <w:noWrap w:val="0"/>
            <w:vAlign w:val="center"/>
          </w:tcPr>
          <w:p w14:paraId="144E69E3">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kern w:val="2"/>
                <w:sz w:val="21"/>
                <w:szCs w:val="21"/>
                <w:highlight w:val="none"/>
                <w:lang w:val="zh-CN" w:eastAsia="zh-CN" w:bidi="ar-SA"/>
              </w:rPr>
            </w:pPr>
            <w:r>
              <w:rPr>
                <w:rFonts w:hint="eastAsia" w:ascii="宋体" w:hAnsi="宋体" w:eastAsia="宋体" w:cs="宋体"/>
                <w:b/>
                <w:bCs/>
                <w:color w:val="auto"/>
                <w:szCs w:val="21"/>
                <w:highlight w:val="none"/>
                <w:lang w:val="zh-CN"/>
              </w:rPr>
              <w:t>5</w:t>
            </w:r>
          </w:p>
        </w:tc>
        <w:tc>
          <w:tcPr>
            <w:tcW w:w="983" w:type="pct"/>
            <w:shd w:val="clear" w:color="auto" w:fill="auto"/>
            <w:noWrap w:val="0"/>
            <w:vAlign w:val="center"/>
          </w:tcPr>
          <w:p w14:paraId="0E5BB306">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kern w:val="2"/>
                <w:sz w:val="21"/>
                <w:szCs w:val="21"/>
                <w:highlight w:val="none"/>
                <w:lang w:val="zh-CN" w:eastAsia="zh-CN" w:bidi="ar-SA"/>
              </w:rPr>
            </w:pPr>
            <w:r>
              <w:rPr>
                <w:rFonts w:hint="eastAsia" w:ascii="宋体" w:hAnsi="宋体" w:eastAsia="宋体" w:cs="宋体"/>
                <w:b/>
                <w:bCs/>
                <w:color w:val="auto"/>
                <w:szCs w:val="21"/>
                <w:highlight w:val="none"/>
                <w:lang w:val="zh-CN"/>
              </w:rPr>
              <w:t>安全生产保证</w:t>
            </w:r>
            <w:r>
              <w:rPr>
                <w:rFonts w:hint="eastAsia" w:ascii="宋体" w:hAnsi="宋体" w:eastAsia="宋体" w:cs="宋体"/>
                <w:b/>
                <w:bCs/>
                <w:color w:val="auto"/>
                <w:szCs w:val="21"/>
                <w:highlight w:val="none"/>
                <w:lang w:val="en-US" w:eastAsia="zh-CN"/>
              </w:rPr>
              <w:t>体系及</w:t>
            </w:r>
            <w:r>
              <w:rPr>
                <w:rFonts w:hint="eastAsia" w:ascii="宋体" w:hAnsi="宋体" w:eastAsia="宋体" w:cs="宋体"/>
                <w:b/>
                <w:bCs/>
                <w:color w:val="auto"/>
                <w:szCs w:val="21"/>
                <w:highlight w:val="none"/>
                <w:lang w:val="zh-CN"/>
              </w:rPr>
              <w:t>措施、文明施工</w:t>
            </w:r>
            <w:r>
              <w:rPr>
                <w:rFonts w:hint="eastAsia" w:ascii="宋体" w:hAnsi="宋体" w:eastAsia="宋体" w:cs="宋体"/>
                <w:b/>
                <w:bCs/>
                <w:color w:val="auto"/>
                <w:szCs w:val="21"/>
                <w:highlight w:val="none"/>
                <w:lang w:val="en-US" w:eastAsia="zh-CN"/>
              </w:rPr>
              <w:t>方案及措施</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rPr>
              <w:t>水土保持方案及措施</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rPr>
              <w:t>环境保护方法及措施</w:t>
            </w:r>
          </w:p>
        </w:tc>
        <w:tc>
          <w:tcPr>
            <w:tcW w:w="372" w:type="pct"/>
            <w:shd w:val="clear" w:color="auto" w:fill="auto"/>
            <w:noWrap w:val="0"/>
            <w:vAlign w:val="center"/>
          </w:tcPr>
          <w:p w14:paraId="5FF89B71">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kern w:val="2"/>
                <w:sz w:val="21"/>
                <w:szCs w:val="21"/>
                <w:highlight w:val="none"/>
                <w:lang w:val="zh-CN" w:eastAsia="zh-CN" w:bidi="ar-SA"/>
              </w:rPr>
            </w:pPr>
            <w:r>
              <w:rPr>
                <w:rFonts w:hint="eastAsia" w:ascii="宋体" w:hAnsi="宋体" w:eastAsia="宋体" w:cs="宋体"/>
                <w:b/>
                <w:bCs/>
                <w:color w:val="auto"/>
                <w:szCs w:val="21"/>
                <w:highlight w:val="none"/>
                <w:lang w:val="en-US" w:eastAsia="zh-CN"/>
              </w:rPr>
              <w:t>2分</w:t>
            </w:r>
          </w:p>
        </w:tc>
        <w:tc>
          <w:tcPr>
            <w:tcW w:w="2775" w:type="pct"/>
            <w:shd w:val="clear" w:color="auto" w:fill="auto"/>
            <w:noWrap w:val="0"/>
            <w:vAlign w:val="center"/>
          </w:tcPr>
          <w:p w14:paraId="1046D80B">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评价安全生产保证体系及措施是否健全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文明施工方案及措施是否健全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水土保持方案及措施是否健全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环境保护方法及措施是否健全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每项</w:t>
            </w:r>
            <w:r>
              <w:rPr>
                <w:rFonts w:hint="eastAsia" w:ascii="宋体" w:hAnsi="宋体" w:eastAsia="宋体" w:cs="宋体"/>
                <w:color w:val="auto"/>
                <w:szCs w:val="21"/>
                <w:highlight w:val="none"/>
                <w:lang w:val="en-US" w:eastAsia="zh-CN"/>
              </w:rPr>
              <w:t>健全得0.5</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最高得2分</w:t>
            </w:r>
            <w:r>
              <w:rPr>
                <w:rFonts w:hint="eastAsia" w:ascii="宋体" w:hAnsi="宋体" w:eastAsia="宋体" w:cs="宋体"/>
                <w:color w:val="auto"/>
                <w:szCs w:val="21"/>
                <w:highlight w:val="none"/>
              </w:rPr>
              <w:t>。</w:t>
            </w:r>
          </w:p>
        </w:tc>
      </w:tr>
      <w:tr w14:paraId="7204CB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9" w:type="pct"/>
            <w:gridSpan w:val="2"/>
            <w:vMerge w:val="continue"/>
            <w:tcBorders>
              <w:right w:val="single" w:color="auto" w:sz="4" w:space="0"/>
            </w:tcBorders>
            <w:noWrap w:val="0"/>
            <w:vAlign w:val="center"/>
          </w:tcPr>
          <w:p w14:paraId="58B33CDF">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44" w:type="pct"/>
            <w:vMerge w:val="continue"/>
            <w:tcBorders>
              <w:left w:val="single" w:color="auto" w:sz="4" w:space="0"/>
            </w:tcBorders>
            <w:noWrap w:val="0"/>
            <w:vAlign w:val="center"/>
          </w:tcPr>
          <w:p w14:paraId="602A058D">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4" w:type="pct"/>
            <w:shd w:val="clear" w:color="auto" w:fill="auto"/>
            <w:noWrap w:val="0"/>
            <w:vAlign w:val="center"/>
          </w:tcPr>
          <w:p w14:paraId="77A62475">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kern w:val="2"/>
                <w:sz w:val="21"/>
                <w:szCs w:val="21"/>
                <w:highlight w:val="none"/>
                <w:lang w:val="zh-CN" w:eastAsia="zh-CN" w:bidi="ar-SA"/>
              </w:rPr>
            </w:pPr>
            <w:r>
              <w:rPr>
                <w:rFonts w:hint="eastAsia" w:ascii="宋体" w:hAnsi="宋体" w:eastAsia="宋体" w:cs="宋体"/>
                <w:b/>
                <w:bCs/>
                <w:color w:val="auto"/>
                <w:szCs w:val="21"/>
                <w:highlight w:val="none"/>
                <w:lang w:val="en-US" w:eastAsia="zh-CN"/>
              </w:rPr>
              <w:t>6</w:t>
            </w:r>
          </w:p>
        </w:tc>
        <w:tc>
          <w:tcPr>
            <w:tcW w:w="983" w:type="pct"/>
            <w:shd w:val="clear" w:color="auto" w:fill="auto"/>
            <w:noWrap w:val="0"/>
            <w:vAlign w:val="center"/>
          </w:tcPr>
          <w:p w14:paraId="65C68612">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kern w:val="2"/>
                <w:sz w:val="21"/>
                <w:szCs w:val="21"/>
                <w:highlight w:val="none"/>
                <w:lang w:val="zh-CN" w:eastAsia="zh-CN" w:bidi="ar-SA"/>
              </w:rPr>
            </w:pPr>
            <w:r>
              <w:rPr>
                <w:rFonts w:hint="eastAsia" w:ascii="宋体" w:hAnsi="宋体" w:eastAsia="宋体" w:cs="宋体"/>
                <w:b/>
                <w:bCs/>
                <w:color w:val="auto"/>
                <w:szCs w:val="21"/>
                <w:highlight w:val="none"/>
                <w:lang w:val="en-US" w:eastAsia="zh-CN"/>
              </w:rPr>
              <w:t>工程度汛措施</w:t>
            </w:r>
          </w:p>
        </w:tc>
        <w:tc>
          <w:tcPr>
            <w:tcW w:w="372" w:type="pct"/>
            <w:shd w:val="clear" w:color="auto" w:fill="auto"/>
            <w:noWrap w:val="0"/>
            <w:vAlign w:val="center"/>
          </w:tcPr>
          <w:p w14:paraId="6A4981E0">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lang w:val="en-US" w:eastAsia="zh-CN"/>
              </w:rPr>
              <w:t>2分</w:t>
            </w:r>
          </w:p>
        </w:tc>
        <w:tc>
          <w:tcPr>
            <w:tcW w:w="2775" w:type="pct"/>
            <w:shd w:val="clear" w:color="auto" w:fill="auto"/>
            <w:noWrap w:val="0"/>
            <w:vAlign w:val="center"/>
          </w:tcPr>
          <w:p w14:paraId="3B604CB8">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度汛组织机构设置是否健全、度汛保障措施是否合理、应急预案是否有效合理并具有针对性</w:t>
            </w:r>
            <w:r>
              <w:rPr>
                <w:rFonts w:hint="eastAsia" w:ascii="宋体" w:hAnsi="宋体" w:eastAsia="宋体" w:cs="宋体"/>
                <w:color w:val="auto"/>
                <w:szCs w:val="21"/>
                <w:highlight w:val="none"/>
                <w:lang w:eastAsia="zh-CN"/>
              </w:rPr>
              <w:t>；控制过流工期安排、控制过流措施、方案是否合理，具有针对性并满足招标文件要求。</w:t>
            </w:r>
            <w:r>
              <w:rPr>
                <w:rFonts w:hint="eastAsia" w:ascii="宋体" w:hAnsi="宋体" w:eastAsia="宋体" w:cs="宋体"/>
                <w:color w:val="auto"/>
                <w:szCs w:val="21"/>
                <w:highlight w:val="none"/>
              </w:rPr>
              <w:t>合理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完整</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分，一般得</w:t>
            </w:r>
            <w:r>
              <w:rPr>
                <w:rFonts w:hint="eastAsia" w:ascii="宋体" w:hAnsi="宋体" w:eastAsia="宋体" w:cs="宋体"/>
                <w:color w:val="auto"/>
                <w:szCs w:val="21"/>
                <w:highlight w:val="none"/>
                <w:lang w:val="en-US" w:eastAsia="zh-CN"/>
              </w:rPr>
              <w:t>0（含）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w:t>
            </w:r>
          </w:p>
        </w:tc>
      </w:tr>
      <w:tr w14:paraId="6C6E97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9" w:type="pct"/>
            <w:gridSpan w:val="2"/>
            <w:tcBorders>
              <w:right w:val="single" w:color="auto" w:sz="4" w:space="0"/>
            </w:tcBorders>
            <w:noWrap w:val="0"/>
            <w:vAlign w:val="center"/>
          </w:tcPr>
          <w:p w14:paraId="400ACF18">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11B70866">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44" w:type="pct"/>
            <w:tcBorders>
              <w:left w:val="single" w:color="auto" w:sz="4" w:space="0"/>
            </w:tcBorders>
            <w:noWrap w:val="0"/>
            <w:vAlign w:val="center"/>
          </w:tcPr>
          <w:p w14:paraId="5892DC53">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B</w:t>
            </w:r>
          </w:p>
          <w:p w14:paraId="335F32EE">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p w14:paraId="3C26EE14">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管理</w:t>
            </w:r>
          </w:p>
          <w:p w14:paraId="022095FB">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机构</w:t>
            </w:r>
          </w:p>
          <w:p w14:paraId="2981034D">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02133433">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p w14:paraId="04C5667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p w14:paraId="1F781619">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94" w:type="pct"/>
            <w:noWrap w:val="0"/>
            <w:vAlign w:val="center"/>
          </w:tcPr>
          <w:p w14:paraId="7CB3458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w:t>
            </w:r>
            <w:bookmarkStart w:id="2482" w:name="_GoBack"/>
            <w:bookmarkEnd w:id="2482"/>
          </w:p>
        </w:tc>
        <w:tc>
          <w:tcPr>
            <w:tcW w:w="983" w:type="pct"/>
            <w:noWrap w:val="0"/>
            <w:vAlign w:val="center"/>
          </w:tcPr>
          <w:p w14:paraId="0E94922B">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lang w:val="zh-CN"/>
              </w:rPr>
              <w:t>组织机构及主要负责人</w:t>
            </w:r>
          </w:p>
        </w:tc>
        <w:tc>
          <w:tcPr>
            <w:tcW w:w="372" w:type="pct"/>
            <w:noWrap w:val="0"/>
            <w:vAlign w:val="center"/>
          </w:tcPr>
          <w:p w14:paraId="65F1A4DA">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lang w:val="zh-CN"/>
              </w:rPr>
              <w:t>10</w:t>
            </w:r>
            <w:r>
              <w:rPr>
                <w:rFonts w:hint="eastAsia" w:ascii="宋体" w:hAnsi="宋体" w:eastAsia="宋体" w:cs="宋体"/>
                <w:color w:val="auto"/>
                <w:szCs w:val="21"/>
                <w:highlight w:val="none"/>
                <w:lang w:val="en-US" w:eastAsia="zh-CN"/>
              </w:rPr>
              <w:t>分</w:t>
            </w:r>
          </w:p>
        </w:tc>
        <w:tc>
          <w:tcPr>
            <w:tcW w:w="2775" w:type="pct"/>
            <w:noWrap w:val="0"/>
            <w:vAlign w:val="center"/>
          </w:tcPr>
          <w:p w14:paraId="63254028">
            <w:pPr>
              <w:keepNext w:val="0"/>
              <w:keepLines w:val="0"/>
              <w:pageBreakBefore w:val="0"/>
              <w:widowControl/>
              <w:numPr>
                <w:ilvl w:val="0"/>
                <w:numId w:val="0"/>
              </w:numPr>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Cs w:val="21"/>
                <w:highlight w:val="none"/>
                <w:lang w:val="en-US" w:eastAsia="zh-CN"/>
              </w:rPr>
              <w:t>针对本项目编制组织机构体系，根据设置的人员、岗位职责、各方协调、管理制度</w:t>
            </w:r>
            <w:r>
              <w:rPr>
                <w:rFonts w:hint="eastAsia" w:ascii="宋体" w:hAnsi="宋体" w:eastAsia="宋体" w:cs="宋体"/>
                <w:color w:val="auto"/>
                <w:szCs w:val="21"/>
                <w:highlight w:val="none"/>
              </w:rPr>
              <w:t>等</w:t>
            </w:r>
            <w:r>
              <w:rPr>
                <w:rFonts w:hint="eastAsia" w:ascii="宋体" w:hAnsi="宋体" w:eastAsia="宋体" w:cs="宋体"/>
                <w:color w:val="auto"/>
                <w:szCs w:val="21"/>
                <w:highlight w:val="none"/>
                <w:lang w:val="en-US" w:eastAsia="zh-CN"/>
              </w:rPr>
              <w:t>方面</w:t>
            </w:r>
            <w:r>
              <w:rPr>
                <w:rFonts w:hint="eastAsia" w:ascii="宋体" w:hAnsi="宋体" w:eastAsia="宋体" w:cs="宋体"/>
                <w:color w:val="auto"/>
                <w:szCs w:val="21"/>
                <w:highlight w:val="none"/>
              </w:rPr>
              <w:t>进行综合评审，合理得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分，基本合理得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分，一般得</w:t>
            </w:r>
            <w:r>
              <w:rPr>
                <w:rFonts w:hint="eastAsia" w:ascii="宋体" w:hAnsi="宋体" w:eastAsia="宋体" w:cs="宋体"/>
                <w:color w:val="auto"/>
                <w:szCs w:val="21"/>
                <w:highlight w:val="none"/>
                <w:lang w:val="en-US" w:eastAsia="zh-CN"/>
              </w:rPr>
              <w:t>0（含）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Cs w:val="21"/>
                <w:highlight w:val="none"/>
              </w:rPr>
              <w:t>分。</w:t>
            </w:r>
          </w:p>
          <w:p w14:paraId="74CBD8BF">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项目经理有类似工程经历的得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p>
          <w:p w14:paraId="35B98AB8">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技术负责人有类似工程经历</w:t>
            </w:r>
            <w:r>
              <w:rPr>
                <w:rFonts w:hint="eastAsia" w:ascii="宋体" w:hAnsi="宋体" w:eastAsia="宋体" w:cs="宋体"/>
                <w:color w:val="auto"/>
                <w:szCs w:val="21"/>
                <w:highlight w:val="none"/>
                <w:lang w:eastAsia="zh-CN"/>
              </w:rPr>
              <w:t>的</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p>
          <w:p w14:paraId="48D5D178">
            <w:pPr>
              <w:keepNext w:val="0"/>
              <w:keepLines w:val="0"/>
              <w:pageBreakBefore w:val="0"/>
              <w:widowControl w:val="0"/>
              <w:suppressLineNumbers w:val="0"/>
              <w:kinsoku/>
              <w:wordWrap/>
              <w:topLinePunct w:val="0"/>
              <w:autoSpaceDE w:val="0"/>
              <w:autoSpaceDN w:val="0"/>
              <w:bidi w:val="0"/>
              <w:adjustRightInd w:val="0"/>
              <w:spacing w:before="0" w:beforeAutospacing="0" w:after="0" w:afterAutospacing="0" w:line="360" w:lineRule="auto"/>
              <w:ind w:left="0" w:leftChars="0" w:right="0" w:rightChars="0" w:firstLine="0" w:firstLineChars="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注：项目经理或技术负责人类似工程施工经历指在类似项目中担任过项目经理或技术负责人的经历。提供</w:t>
            </w:r>
            <w:r>
              <w:rPr>
                <w:rFonts w:hint="eastAsia" w:ascii="宋体" w:hAnsi="宋体" w:eastAsia="宋体" w:cs="宋体"/>
                <w:b/>
                <w:bCs/>
                <w:color w:val="auto"/>
                <w:kern w:val="2"/>
                <w:sz w:val="21"/>
                <w:szCs w:val="21"/>
                <w:highlight w:val="none"/>
                <w:shd w:val="clear" w:color="auto" w:fill="auto"/>
                <w:lang w:val="en-US" w:eastAsia="zh-CN" w:bidi="ar"/>
              </w:rPr>
              <w:t>中标通知书、合同协议书、合同工程</w:t>
            </w:r>
            <w:r>
              <w:rPr>
                <w:rFonts w:hint="eastAsia" w:ascii="宋体" w:hAnsi="宋体" w:eastAsia="宋体" w:cs="宋体"/>
                <w:b/>
                <w:bCs/>
                <w:color w:val="auto"/>
                <w:kern w:val="2"/>
                <w:sz w:val="21"/>
                <w:szCs w:val="21"/>
                <w:highlight w:val="none"/>
                <w:lang w:val="en-US" w:eastAsia="zh-CN" w:bidi="ar-SA"/>
              </w:rPr>
              <w:t>（完工）验收或竣工验收证明</w:t>
            </w:r>
            <w:r>
              <w:rPr>
                <w:rFonts w:hint="eastAsia" w:ascii="宋体" w:hAnsi="宋体" w:eastAsia="宋体" w:cs="宋体"/>
                <w:b/>
                <w:bCs/>
                <w:color w:val="auto"/>
                <w:kern w:val="2"/>
                <w:sz w:val="21"/>
                <w:szCs w:val="21"/>
                <w:highlight w:val="none"/>
                <w:shd w:val="clear"/>
                <w:lang w:val="en-US" w:eastAsia="zh-CN" w:bidi="ar"/>
              </w:rPr>
              <w:t>，</w:t>
            </w:r>
            <w:r>
              <w:rPr>
                <w:rFonts w:hint="eastAsia" w:ascii="宋体" w:hAnsi="宋体" w:eastAsia="宋体" w:cs="宋体"/>
                <w:b/>
                <w:bCs/>
                <w:color w:val="auto"/>
                <w:kern w:val="2"/>
                <w:sz w:val="21"/>
                <w:szCs w:val="21"/>
                <w:highlight w:val="none"/>
                <w:lang w:val="en-US" w:eastAsia="zh-CN" w:bidi="ar-SA"/>
              </w:rPr>
              <w:t>若上述材料未显示项目经理或技术负责人的</w:t>
            </w:r>
            <w:r>
              <w:rPr>
                <w:rFonts w:hint="eastAsia" w:ascii="宋体" w:hAnsi="宋体" w:eastAsia="宋体" w:cs="宋体"/>
                <w:b/>
                <w:bCs/>
                <w:color w:val="auto"/>
                <w:kern w:val="2"/>
                <w:sz w:val="21"/>
                <w:szCs w:val="21"/>
                <w:highlight w:val="none"/>
                <w:shd w:val="clear" w:color="auto" w:fill="auto"/>
                <w:lang w:val="en-US" w:eastAsia="zh-CN" w:bidi="ar"/>
              </w:rPr>
              <w:t>姓名</w:t>
            </w:r>
            <w:r>
              <w:rPr>
                <w:rFonts w:hint="eastAsia" w:ascii="宋体" w:hAnsi="宋体" w:eastAsia="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shd w:val="clear" w:color="auto" w:fill="auto"/>
                <w:lang w:val="en-US" w:eastAsia="zh-CN" w:bidi="ar"/>
              </w:rPr>
              <w:t>应提供业主出具的证明材料</w:t>
            </w:r>
            <w:r>
              <w:rPr>
                <w:rFonts w:hint="eastAsia" w:ascii="宋体" w:hAnsi="宋体" w:eastAsia="宋体" w:cs="宋体"/>
                <w:b/>
                <w:bCs/>
                <w:color w:val="auto"/>
                <w:spacing w:val="0"/>
                <w:kern w:val="0"/>
                <w:sz w:val="21"/>
                <w:szCs w:val="21"/>
                <w:highlight w:val="none"/>
                <w:lang w:val="en-US" w:eastAsia="zh-CN" w:bidi="ar-SA"/>
              </w:rPr>
              <w:t>，</w:t>
            </w:r>
            <w:r>
              <w:rPr>
                <w:rFonts w:hint="eastAsia" w:ascii="宋体" w:hAnsi="宋体" w:eastAsia="宋体" w:cs="宋体"/>
                <w:b/>
                <w:bCs/>
                <w:color w:val="auto"/>
                <w:kern w:val="2"/>
                <w:sz w:val="21"/>
                <w:szCs w:val="21"/>
                <w:highlight w:val="none"/>
                <w:shd w:val="clear"/>
                <w:lang w:val="en-US" w:eastAsia="zh-CN" w:bidi="ar"/>
              </w:rPr>
              <w:t>全国</w:t>
            </w:r>
            <w:r>
              <w:rPr>
                <w:rFonts w:hint="eastAsia" w:ascii="宋体" w:hAnsi="宋体" w:eastAsia="宋体" w:cs="宋体"/>
                <w:b/>
                <w:bCs/>
                <w:color w:val="auto"/>
                <w:spacing w:val="0"/>
                <w:kern w:val="0"/>
                <w:sz w:val="21"/>
                <w:szCs w:val="21"/>
                <w:highlight w:val="none"/>
                <w:lang w:val="en-US" w:eastAsia="zh-CN" w:bidi="ar-SA"/>
              </w:rPr>
              <w:t>水利建设市场监管平台截图，</w:t>
            </w:r>
            <w:r>
              <w:rPr>
                <w:rFonts w:hint="eastAsia" w:ascii="宋体" w:hAnsi="宋体" w:eastAsia="宋体" w:cs="宋体"/>
                <w:b/>
                <w:bCs/>
                <w:color w:val="auto"/>
                <w:kern w:val="2"/>
                <w:sz w:val="21"/>
                <w:szCs w:val="21"/>
                <w:highlight w:val="none"/>
                <w:shd w:val="clear" w:color="auto" w:fill="auto"/>
                <w:lang w:val="en-US" w:eastAsia="zh-CN" w:bidi="ar"/>
              </w:rPr>
              <w:t>否则不得分。</w:t>
            </w:r>
          </w:p>
        </w:tc>
      </w:tr>
      <w:tr w14:paraId="18B4D6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4" w:type="pct"/>
            <w:vMerge w:val="restart"/>
            <w:tcBorders>
              <w:right w:val="single" w:color="auto" w:sz="4" w:space="0"/>
            </w:tcBorders>
            <w:noWrap w:val="0"/>
            <w:vAlign w:val="center"/>
          </w:tcPr>
          <w:p w14:paraId="29D4657B">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6FE0F8B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p w14:paraId="62FAAEFF">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p w14:paraId="1DD3878F">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p w14:paraId="2548075E">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50" w:type="pct"/>
            <w:gridSpan w:val="2"/>
            <w:vMerge w:val="restart"/>
            <w:tcBorders>
              <w:left w:val="single" w:color="auto" w:sz="4" w:space="0"/>
            </w:tcBorders>
            <w:noWrap w:val="0"/>
            <w:vAlign w:val="center"/>
          </w:tcPr>
          <w:p w14:paraId="143F005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C</w:t>
            </w:r>
          </w:p>
          <w:p w14:paraId="5B4BFBB5">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r>
              <w:rPr>
                <w:rFonts w:hint="eastAsia" w:ascii="宋体" w:hAnsi="宋体" w:eastAsia="宋体" w:cs="宋体"/>
                <w:color w:val="auto"/>
                <w:sz w:val="21"/>
                <w:szCs w:val="21"/>
                <w:highlight w:val="none"/>
                <w:lang w:val="en-US" w:eastAsia="zh-CN"/>
              </w:rPr>
              <w:t>总</w:t>
            </w:r>
            <w:r>
              <w:rPr>
                <w:rFonts w:hint="eastAsia" w:ascii="宋体" w:hAnsi="宋体" w:eastAsia="宋体" w:cs="宋体"/>
                <w:color w:val="auto"/>
                <w:sz w:val="21"/>
                <w:szCs w:val="21"/>
                <w:highlight w:val="none"/>
              </w:rPr>
              <w:t>报价</w:t>
            </w:r>
          </w:p>
          <w:p w14:paraId="35BAED5A">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48B45C4C">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p w14:paraId="3A87F1F1">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p w14:paraId="7C99076C">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94" w:type="pct"/>
            <w:noWrap w:val="0"/>
            <w:vAlign w:val="center"/>
          </w:tcPr>
          <w:p w14:paraId="3941C928">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8</w:t>
            </w:r>
          </w:p>
        </w:tc>
        <w:tc>
          <w:tcPr>
            <w:tcW w:w="983" w:type="pct"/>
            <w:noWrap w:val="0"/>
            <w:vAlign w:val="center"/>
          </w:tcPr>
          <w:p w14:paraId="42013502">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投标总报价</w:t>
            </w:r>
          </w:p>
        </w:tc>
        <w:tc>
          <w:tcPr>
            <w:tcW w:w="372" w:type="pct"/>
            <w:noWrap w:val="0"/>
            <w:vAlign w:val="center"/>
          </w:tcPr>
          <w:p w14:paraId="4E041D6A">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zh-CN"/>
              </w:rPr>
              <w:t>3</w:t>
            </w:r>
            <w:r>
              <w:rPr>
                <w:rFonts w:hint="eastAsia" w:ascii="宋体" w:hAnsi="宋体" w:eastAsia="宋体" w:cs="宋体"/>
                <w:b w:val="0"/>
                <w:bCs w:val="0"/>
                <w:color w:val="auto"/>
                <w:sz w:val="21"/>
                <w:szCs w:val="21"/>
                <w:highlight w:val="none"/>
                <w:lang w:val="en-US" w:eastAsia="zh-CN"/>
              </w:rPr>
              <w:t>5分</w:t>
            </w:r>
          </w:p>
        </w:tc>
        <w:tc>
          <w:tcPr>
            <w:tcW w:w="2775" w:type="pct"/>
            <w:noWrap w:val="0"/>
            <w:vAlign w:val="center"/>
          </w:tcPr>
          <w:p w14:paraId="5FCB90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snapToGrid w:val="0"/>
                <w:color w:val="auto"/>
                <w:spacing w:val="0"/>
                <w:kern w:val="2"/>
                <w:position w:val="0"/>
                <w:sz w:val="21"/>
                <w:szCs w:val="21"/>
                <w:highlight w:val="none"/>
                <w:lang w:val="en-US" w:eastAsia="zh-CN" w:bidi="ar-SA"/>
              </w:rPr>
            </w:pPr>
            <w:r>
              <w:rPr>
                <w:rFonts w:hint="eastAsia" w:ascii="宋体" w:hAnsi="宋体" w:eastAsia="宋体" w:cs="宋体"/>
                <w:snapToGrid w:val="0"/>
                <w:color w:val="auto"/>
                <w:spacing w:val="0"/>
                <w:kern w:val="2"/>
                <w:position w:val="0"/>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总</w:t>
            </w:r>
            <w:r>
              <w:rPr>
                <w:rFonts w:hint="eastAsia" w:ascii="宋体" w:hAnsi="宋体" w:eastAsia="宋体" w:cs="宋体"/>
                <w:snapToGrid w:val="0"/>
                <w:color w:val="auto"/>
                <w:spacing w:val="0"/>
                <w:kern w:val="2"/>
                <w:position w:val="0"/>
                <w:sz w:val="21"/>
                <w:szCs w:val="21"/>
                <w:highlight w:val="none"/>
                <w:lang w:val="en-US" w:eastAsia="zh-CN" w:bidi="ar-SA"/>
              </w:rPr>
              <w:t>报价（满分35分）</w:t>
            </w:r>
          </w:p>
          <w:p w14:paraId="6835CE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snapToGrid w:val="0"/>
                <w:color w:val="auto"/>
                <w:spacing w:val="0"/>
                <w:kern w:val="2"/>
                <w:position w:val="0"/>
                <w:sz w:val="21"/>
                <w:szCs w:val="21"/>
                <w:highlight w:val="none"/>
                <w:lang w:val="en-US" w:eastAsia="zh-CN" w:bidi="ar-SA"/>
              </w:rPr>
              <w:t>1.当投标</w:t>
            </w:r>
            <w:r>
              <w:rPr>
                <w:rFonts w:hint="eastAsia" w:ascii="宋体" w:hAnsi="宋体" w:eastAsia="宋体" w:cs="宋体"/>
                <w:color w:val="auto"/>
                <w:spacing w:val="0"/>
                <w:kern w:val="2"/>
                <w:position w:val="0"/>
                <w:sz w:val="21"/>
                <w:szCs w:val="21"/>
                <w:highlight w:val="none"/>
                <w:lang w:val="en-US" w:eastAsia="zh-CN" w:bidi="ar-SA"/>
              </w:rPr>
              <w:t>报价＞C，每高于评标基准价1%在基本分（30分）基础上扣1分，扣完为止。（不足1%的按相应比例进行折算）</w:t>
            </w:r>
          </w:p>
          <w:p w14:paraId="525493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2.当投标报价=C，得基本分30分。</w:t>
            </w:r>
          </w:p>
          <w:p w14:paraId="2ECDE3D9">
            <w:pPr>
              <w:keepNext w:val="0"/>
              <w:keepLines w:val="0"/>
              <w:pageBreakBefore w:val="0"/>
              <w:widowControl/>
              <w:suppressLineNumbers w:val="0"/>
              <w:kinsoku/>
              <w:wordWrap/>
              <w:overflowPunct/>
              <w:topLinePunct w:val="0"/>
              <w:bidi w:val="0"/>
              <w:adjustRightInd/>
              <w:snapToGrid w:val="0"/>
              <w:spacing w:before="0" w:beforeAutospacing="0" w:after="0" w:afterAutospacing="0" w:line="360" w:lineRule="auto"/>
              <w:ind w:left="0" w:leftChars="0" w:right="0" w:rightChars="0" w:firstLine="0" w:firstLineChars="0"/>
              <w:jc w:val="left"/>
              <w:textAlignment w:val="auto"/>
              <w:rPr>
                <w:rFonts w:hint="default" w:ascii="宋体" w:hAnsi="宋体" w:eastAsia="宋体" w:cs="宋体"/>
                <w:color w:val="auto"/>
                <w:sz w:val="21"/>
                <w:szCs w:val="21"/>
                <w:highlight w:val="none"/>
              </w:rPr>
            </w:pPr>
            <w:r>
              <w:rPr>
                <w:rFonts w:hint="eastAsia" w:ascii="宋体" w:hAnsi="宋体" w:eastAsia="宋体" w:cs="宋体"/>
                <w:color w:val="auto"/>
                <w:spacing w:val="0"/>
                <w:position w:val="0"/>
                <w:sz w:val="21"/>
                <w:szCs w:val="21"/>
                <w:highlight w:val="none"/>
                <w:lang w:val="en-US" w:eastAsia="zh-CN"/>
              </w:rPr>
              <w:t>3.当投标报价＜C，每低于评标基准价1%在基本分（30分）基础上加1分，加至35分满分为止。若投标报价低于评标基准价5%（不含）以上时，每再低1%在满分35分的基础上扣1分的比例扣分，扣完为止。（不足1%的按相应比例进行折算）</w:t>
            </w:r>
          </w:p>
        </w:tc>
      </w:tr>
      <w:tr w14:paraId="39E4D4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4" w:type="pct"/>
            <w:vMerge w:val="continue"/>
            <w:tcBorders>
              <w:right w:val="single" w:color="auto" w:sz="4" w:space="0"/>
            </w:tcBorders>
            <w:noWrap w:val="0"/>
            <w:vAlign w:val="center"/>
          </w:tcPr>
          <w:p w14:paraId="0C279AA2">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50" w:type="pct"/>
            <w:gridSpan w:val="2"/>
            <w:vMerge w:val="continue"/>
            <w:tcBorders>
              <w:left w:val="single" w:color="auto" w:sz="4" w:space="0"/>
            </w:tcBorders>
            <w:noWrap w:val="0"/>
            <w:vAlign w:val="center"/>
          </w:tcPr>
          <w:p w14:paraId="656F121F">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4" w:type="pct"/>
            <w:shd w:val="clear" w:color="auto" w:fill="auto"/>
            <w:noWrap w:val="0"/>
            <w:vAlign w:val="center"/>
          </w:tcPr>
          <w:p w14:paraId="5A3A8374">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9</w:t>
            </w:r>
          </w:p>
        </w:tc>
        <w:tc>
          <w:tcPr>
            <w:tcW w:w="983" w:type="pct"/>
            <w:noWrap w:val="0"/>
            <w:vAlign w:val="center"/>
          </w:tcPr>
          <w:p w14:paraId="5615141E">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单价分析及取费合理性</w:t>
            </w:r>
          </w:p>
        </w:tc>
        <w:tc>
          <w:tcPr>
            <w:tcW w:w="372" w:type="pct"/>
            <w:noWrap w:val="0"/>
            <w:vAlign w:val="center"/>
          </w:tcPr>
          <w:p w14:paraId="37A4F549">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lang w:val="en-US" w:eastAsia="zh-CN"/>
              </w:rPr>
              <w:t>分</w:t>
            </w:r>
          </w:p>
        </w:tc>
        <w:tc>
          <w:tcPr>
            <w:tcW w:w="2775" w:type="pct"/>
            <w:noWrap w:val="0"/>
            <w:vAlign w:val="center"/>
          </w:tcPr>
          <w:p w14:paraId="1829A212">
            <w:pPr>
              <w:keepNext w:val="0"/>
              <w:keepLines w:val="0"/>
              <w:widowControl/>
              <w:suppressLineNumbers w:val="0"/>
              <w:adjustRightInd/>
              <w:snapToGrid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 w:val="21"/>
                <w:szCs w:val="21"/>
                <w:highlight w:val="none"/>
              </w:rPr>
              <w:t>针对主要单价(混凝土C20 F150 W6、混凝土C25 F150 W6、混凝土C30F150 W6、混凝土C35 F150 W6、钢筋HRB400 Φ28mm)，综合考察其取费以及价格水平的合理性酌情赋分。每发现一项主要单价施工因素、计算不合理扣1分，直至扣完。</w:t>
            </w:r>
          </w:p>
        </w:tc>
      </w:tr>
      <w:tr w14:paraId="42225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4" w:type="pct"/>
            <w:tcBorders>
              <w:right w:val="single" w:color="auto" w:sz="4" w:space="0"/>
            </w:tcBorders>
            <w:noWrap w:val="0"/>
            <w:vAlign w:val="center"/>
          </w:tcPr>
          <w:p w14:paraId="7E893FAF">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1FAC2CCD">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50" w:type="pct"/>
            <w:gridSpan w:val="2"/>
            <w:tcBorders>
              <w:left w:val="single" w:color="auto" w:sz="4" w:space="0"/>
            </w:tcBorders>
            <w:noWrap w:val="0"/>
            <w:vAlign w:val="center"/>
          </w:tcPr>
          <w:p w14:paraId="0AE4AD3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D</w:t>
            </w:r>
          </w:p>
          <w:p w14:paraId="6EB8A27A">
            <w:pPr>
              <w:keepNext/>
              <w:keepLines/>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outlineLvl w:val="2"/>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en-US" w:eastAsia="zh-CN"/>
              </w:rPr>
              <w:t>用</w:t>
            </w:r>
          </w:p>
          <w:p w14:paraId="6B01989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5657DAB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p w14:paraId="0711A7E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p w14:paraId="524F25B9">
            <w:pPr>
              <w:keepNext/>
              <w:keepLines/>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outlineLvl w:val="2"/>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94" w:type="pct"/>
            <w:shd w:val="clear" w:color="auto" w:fill="auto"/>
            <w:noWrap w:val="0"/>
            <w:vAlign w:val="center"/>
          </w:tcPr>
          <w:p w14:paraId="3F29586C">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p>
        </w:tc>
        <w:tc>
          <w:tcPr>
            <w:tcW w:w="983" w:type="pct"/>
            <w:noWrap w:val="0"/>
            <w:vAlign w:val="center"/>
          </w:tcPr>
          <w:p w14:paraId="1C43AE9F">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信</w:t>
            </w:r>
            <w:r>
              <w:rPr>
                <w:rFonts w:hint="eastAsia" w:ascii="宋体" w:hAnsi="宋体" w:eastAsia="宋体" w:cs="宋体"/>
                <w:color w:val="auto"/>
                <w:sz w:val="21"/>
                <w:szCs w:val="21"/>
                <w:highlight w:val="none"/>
                <w:lang w:val="en-US" w:eastAsia="zh-CN"/>
              </w:rPr>
              <w:t>用</w:t>
            </w:r>
            <w:r>
              <w:rPr>
                <w:rFonts w:hint="eastAsia" w:ascii="宋体" w:hAnsi="宋体" w:eastAsia="宋体" w:cs="宋体"/>
                <w:color w:val="auto"/>
                <w:sz w:val="21"/>
                <w:szCs w:val="21"/>
                <w:highlight w:val="none"/>
                <w:lang w:val="zh-CN"/>
              </w:rPr>
              <w:t>等级</w:t>
            </w:r>
          </w:p>
        </w:tc>
        <w:tc>
          <w:tcPr>
            <w:tcW w:w="372" w:type="pct"/>
            <w:noWrap w:val="0"/>
            <w:vAlign w:val="center"/>
          </w:tcPr>
          <w:p w14:paraId="003FAB96">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lang w:val="en-US" w:eastAsia="zh-CN"/>
              </w:rPr>
              <w:t>分</w:t>
            </w:r>
          </w:p>
        </w:tc>
        <w:tc>
          <w:tcPr>
            <w:tcW w:w="2775" w:type="pct"/>
            <w:noWrap w:val="0"/>
            <w:vAlign w:val="center"/>
          </w:tcPr>
          <w:p w14:paraId="5139B1A6">
            <w:pPr>
              <w:keepNext w:val="0"/>
              <w:keepLines w:val="0"/>
              <w:pageBreakBefore w:val="0"/>
              <w:widowControl/>
              <w:suppressLineNumbers w:val="0"/>
              <w:kinsoku/>
              <w:wordWrap/>
              <w:overflowPunct/>
              <w:topLinePunct w:val="0"/>
              <w:bidi w:val="0"/>
              <w:adjustRightInd/>
              <w:snapToGrid w:val="0"/>
              <w:spacing w:before="0" w:beforeAutospacing="0" w:after="0" w:afterAutospacing="0" w:line="360" w:lineRule="auto"/>
              <w:ind w:left="0" w:leftChars="0" w:right="0" w:rightChars="0" w:firstLine="0" w:firstLineChars="0"/>
              <w:jc w:val="left"/>
              <w:textAlignment w:val="auto"/>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以水利部备案的</w:t>
            </w:r>
            <w:r>
              <w:rPr>
                <w:rFonts w:hint="eastAsia" w:ascii="宋体" w:hAnsi="宋体" w:eastAsia="宋体" w:cs="宋体"/>
                <w:color w:val="auto"/>
                <w:szCs w:val="21"/>
                <w:highlight w:val="none"/>
              </w:rPr>
              <w:t>信用</w:t>
            </w:r>
            <w:r>
              <w:rPr>
                <w:rFonts w:hint="eastAsia" w:ascii="宋体" w:hAnsi="宋体" w:eastAsia="宋体" w:cs="宋体"/>
                <w:color w:val="auto"/>
                <w:szCs w:val="21"/>
                <w:highlight w:val="none"/>
                <w:lang w:val="en-US" w:eastAsia="zh-CN"/>
              </w:rPr>
              <w:t>评价机构</w:t>
            </w:r>
            <w:r>
              <w:rPr>
                <w:rFonts w:hint="eastAsia" w:ascii="宋体" w:hAnsi="宋体" w:eastAsia="宋体" w:cs="宋体"/>
                <w:color w:val="auto"/>
                <w:szCs w:val="21"/>
                <w:highlight w:val="none"/>
              </w:rPr>
              <w:t>评定</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且在有效期内AAA级为5分，AA级为4分，A级为3分。（以</w:t>
            </w:r>
            <w:r>
              <w:rPr>
                <w:rFonts w:hint="eastAsia" w:ascii="宋体" w:hAnsi="宋体" w:eastAsia="宋体" w:cs="宋体"/>
                <w:color w:val="auto"/>
                <w:szCs w:val="21"/>
                <w:highlight w:val="none"/>
                <w:lang w:eastAsia="zh-CN"/>
              </w:rPr>
              <w:t>全国</w:t>
            </w:r>
            <w:r>
              <w:rPr>
                <w:rFonts w:hint="eastAsia" w:ascii="宋体" w:hAnsi="宋体" w:eastAsia="宋体" w:cs="宋体"/>
                <w:color w:val="auto"/>
                <w:szCs w:val="21"/>
                <w:highlight w:val="none"/>
              </w:rPr>
              <w:t>水利建设市场监管平台公开的为准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lang w:eastAsia="zh-CN"/>
              </w:rPr>
              <w:t>全国</w:t>
            </w:r>
            <w:r>
              <w:rPr>
                <w:rFonts w:hint="eastAsia" w:ascii="宋体" w:hAnsi="宋体" w:eastAsia="宋体" w:cs="宋体"/>
                <w:color w:val="auto"/>
                <w:szCs w:val="21"/>
                <w:highlight w:val="none"/>
              </w:rPr>
              <w:t>水利建设市场监管平台</w:t>
            </w:r>
            <w:r>
              <w:rPr>
                <w:rFonts w:hint="eastAsia" w:ascii="宋体" w:hAnsi="宋体" w:eastAsia="宋体" w:cs="宋体"/>
                <w:color w:val="auto"/>
                <w:szCs w:val="21"/>
                <w:highlight w:val="none"/>
                <w:lang w:val="en-US" w:eastAsia="zh-CN"/>
              </w:rPr>
              <w:t>查询截图，查询时间在招标公告发布日期之后</w:t>
            </w:r>
            <w:r>
              <w:rPr>
                <w:rFonts w:hint="eastAsia" w:ascii="宋体" w:hAnsi="宋体" w:eastAsia="宋体" w:cs="宋体"/>
                <w:color w:val="auto"/>
                <w:szCs w:val="21"/>
                <w:highlight w:val="none"/>
              </w:rPr>
              <w:t>）。</w:t>
            </w:r>
          </w:p>
        </w:tc>
      </w:tr>
      <w:tr w14:paraId="737E90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4" w:type="pct"/>
            <w:vMerge w:val="restart"/>
            <w:tcBorders>
              <w:right w:val="single" w:color="auto" w:sz="4" w:space="0"/>
            </w:tcBorders>
            <w:noWrap w:val="0"/>
            <w:vAlign w:val="center"/>
          </w:tcPr>
          <w:p w14:paraId="6D03F9F7">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4DB31C6A">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p w14:paraId="71855373">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50" w:type="pct"/>
            <w:gridSpan w:val="2"/>
            <w:vMerge w:val="restart"/>
            <w:tcBorders>
              <w:left w:val="single" w:color="auto" w:sz="4" w:space="0"/>
            </w:tcBorders>
            <w:noWrap w:val="0"/>
            <w:vAlign w:val="center"/>
          </w:tcPr>
          <w:p w14:paraId="29E9649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E</w:t>
            </w:r>
          </w:p>
          <w:p w14:paraId="27261CE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其它评分因素︵</w:t>
            </w:r>
          </w:p>
          <w:p w14:paraId="7CA9597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p w14:paraId="5F5930E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p w14:paraId="71A82B4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94" w:type="pct"/>
            <w:vMerge w:val="restart"/>
            <w:noWrap w:val="0"/>
            <w:vAlign w:val="center"/>
          </w:tcPr>
          <w:p w14:paraId="279BA79D">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983" w:type="pct"/>
            <w:noWrap w:val="0"/>
            <w:vAlign w:val="center"/>
          </w:tcPr>
          <w:p w14:paraId="65D9D494">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Cs w:val="21"/>
                <w:highlight w:val="none"/>
                <w:lang w:val="en-US" w:eastAsia="zh-CN"/>
              </w:rPr>
              <w:t>体系认证证书</w:t>
            </w:r>
          </w:p>
        </w:tc>
        <w:tc>
          <w:tcPr>
            <w:tcW w:w="372" w:type="pct"/>
            <w:noWrap w:val="0"/>
            <w:vAlign w:val="center"/>
          </w:tcPr>
          <w:p w14:paraId="45050DAF">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Cs w:val="21"/>
                <w:highlight w:val="none"/>
                <w:lang w:val="en-US" w:eastAsia="zh-CN"/>
              </w:rPr>
              <w:t>4分</w:t>
            </w:r>
          </w:p>
        </w:tc>
        <w:tc>
          <w:tcPr>
            <w:tcW w:w="2775" w:type="pct"/>
            <w:noWrap w:val="0"/>
            <w:vAlign w:val="center"/>
          </w:tcPr>
          <w:p w14:paraId="5107D2EE">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Cs w:val="21"/>
                <w:highlight w:val="none"/>
              </w:rPr>
              <w:t>同时具有质量管理体系认证证书、环境管理体系认证证书、职业健康安全管理体系认证证书且在有效期内的，得</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分</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否则不得分。</w:t>
            </w:r>
          </w:p>
        </w:tc>
      </w:tr>
      <w:tr w14:paraId="50FABD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324" w:type="pct"/>
            <w:vMerge w:val="continue"/>
            <w:tcBorders>
              <w:right w:val="single" w:color="auto" w:sz="4" w:space="0"/>
            </w:tcBorders>
            <w:noWrap w:val="0"/>
            <w:vAlign w:val="center"/>
          </w:tcPr>
          <w:p w14:paraId="0D544820">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color w:val="auto"/>
                <w:kern w:val="2"/>
                <w:sz w:val="21"/>
                <w:szCs w:val="21"/>
                <w:highlight w:val="none"/>
                <w:lang w:val="en-US" w:eastAsia="zh-CN" w:bidi="ar-SA"/>
              </w:rPr>
            </w:pPr>
          </w:p>
        </w:tc>
        <w:tc>
          <w:tcPr>
            <w:tcW w:w="250" w:type="pct"/>
            <w:gridSpan w:val="2"/>
            <w:vMerge w:val="continue"/>
            <w:tcBorders>
              <w:left w:val="single" w:color="auto" w:sz="4" w:space="0"/>
            </w:tcBorders>
            <w:noWrap w:val="0"/>
            <w:vAlign w:val="center"/>
          </w:tcPr>
          <w:p w14:paraId="23BDD624">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color w:val="auto"/>
                <w:kern w:val="2"/>
                <w:sz w:val="21"/>
                <w:szCs w:val="21"/>
                <w:highlight w:val="none"/>
                <w:lang w:val="en-US" w:eastAsia="zh-CN" w:bidi="ar-SA"/>
              </w:rPr>
            </w:pPr>
          </w:p>
        </w:tc>
        <w:tc>
          <w:tcPr>
            <w:tcW w:w="294" w:type="pct"/>
            <w:vMerge w:val="continue"/>
            <w:noWrap w:val="0"/>
            <w:vAlign w:val="center"/>
          </w:tcPr>
          <w:p w14:paraId="09F61AD0">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color w:val="auto"/>
                <w:kern w:val="2"/>
                <w:sz w:val="21"/>
                <w:szCs w:val="21"/>
                <w:highlight w:val="none"/>
                <w:lang w:val="en-US" w:eastAsia="zh-CN" w:bidi="ar-SA"/>
              </w:rPr>
            </w:pPr>
          </w:p>
        </w:tc>
        <w:tc>
          <w:tcPr>
            <w:tcW w:w="983" w:type="pct"/>
            <w:noWrap w:val="0"/>
            <w:vAlign w:val="center"/>
          </w:tcPr>
          <w:p w14:paraId="53DEE8B5">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投标人的业绩、类似工程经历</w:t>
            </w:r>
          </w:p>
        </w:tc>
        <w:tc>
          <w:tcPr>
            <w:tcW w:w="372" w:type="pct"/>
            <w:noWrap w:val="0"/>
            <w:vAlign w:val="center"/>
          </w:tcPr>
          <w:p w14:paraId="329A73DE">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Cs w:val="21"/>
                <w:highlight w:val="none"/>
                <w:lang w:val="en-US" w:eastAsia="zh-CN"/>
              </w:rPr>
              <w:t>6分</w:t>
            </w:r>
          </w:p>
        </w:tc>
        <w:tc>
          <w:tcPr>
            <w:tcW w:w="2775" w:type="pct"/>
            <w:noWrap w:val="0"/>
            <w:vAlign w:val="center"/>
          </w:tcPr>
          <w:p w14:paraId="2404487C">
            <w:pPr>
              <w:keepNext w:val="0"/>
              <w:keepLines w:val="0"/>
              <w:pageBreakBefore w:val="0"/>
              <w:widowControl/>
              <w:suppressLineNumbers w:val="0"/>
              <w:kinsoku/>
              <w:wordWrap/>
              <w:topLinePunct w:val="0"/>
              <w:autoSpaceDE w:val="0"/>
              <w:autoSpaceDN w:val="0"/>
              <w:bidi w:val="0"/>
              <w:adjustRightInd w:val="0"/>
              <w:spacing w:before="0" w:beforeAutospacing="0" w:after="0" w:afterAutospacing="0" w:line="360" w:lineRule="auto"/>
              <w:ind w:left="0" w:right="0" w:rightChars="0" w:firstLineChars="0"/>
              <w:jc w:val="both"/>
              <w:rPr>
                <w:rFonts w:hint="default" w:ascii="宋体" w:hAnsi="宋体" w:eastAsia="宋体" w:cs="宋体"/>
                <w:color w:val="auto"/>
                <w:kern w:val="2"/>
                <w:sz w:val="21"/>
                <w:szCs w:val="21"/>
                <w:highlight w:val="none"/>
                <w:shd w:val="clear" w:color="auto" w:fill="FFFFFF"/>
                <w:lang w:val="en-US" w:eastAsia="zh-CN" w:bidi="ar"/>
              </w:rPr>
            </w:pPr>
            <w:r>
              <w:rPr>
                <w:rFonts w:hint="eastAsia" w:ascii="宋体" w:hAnsi="宋体" w:eastAsia="宋体" w:cs="宋体"/>
                <w:color w:val="auto"/>
                <w:kern w:val="2"/>
                <w:sz w:val="21"/>
                <w:szCs w:val="21"/>
                <w:highlight w:val="none"/>
                <w:shd w:val="clear" w:color="auto" w:fill="FFFFFF"/>
                <w:lang w:val="en-US" w:eastAsia="zh-CN" w:bidi="ar"/>
              </w:rPr>
              <w:t>投</w:t>
            </w:r>
            <w:r>
              <w:rPr>
                <w:rFonts w:hint="eastAsia" w:ascii="宋体" w:hAnsi="宋体" w:eastAsia="宋体" w:cs="宋体"/>
                <w:color w:val="auto"/>
                <w:kern w:val="0"/>
                <w:sz w:val="21"/>
                <w:szCs w:val="21"/>
                <w:highlight w:val="none"/>
                <w:shd w:val="clear" w:color="auto" w:fill="FFFFFF"/>
                <w:lang w:val="en-US" w:eastAsia="zh-CN" w:bidi="ar-SA"/>
              </w:rPr>
              <w:t>标人具有</w:t>
            </w:r>
            <w:r>
              <w:rPr>
                <w:rFonts w:hint="eastAsia" w:ascii="宋体" w:hAnsi="宋体" w:eastAsia="宋体" w:cs="宋体"/>
                <w:color w:val="auto"/>
                <w:kern w:val="0"/>
                <w:sz w:val="21"/>
                <w:szCs w:val="21"/>
                <w:highlight w:val="none"/>
                <w:lang w:val="en-US" w:eastAsia="zh-CN" w:bidi="ar-SA"/>
              </w:rPr>
              <w:t>2021年8月1日以来，承担过类似工程施工，每</w:t>
            </w:r>
            <w:r>
              <w:rPr>
                <w:rFonts w:hint="eastAsia" w:ascii="宋体" w:hAnsi="宋体" w:eastAsia="宋体" w:cs="宋体"/>
                <w:color w:val="auto"/>
                <w:kern w:val="0"/>
                <w:sz w:val="21"/>
                <w:szCs w:val="21"/>
                <w:highlight w:val="none"/>
                <w:shd w:val="clear" w:color="auto" w:fill="FFFFFF"/>
                <w:lang w:val="en-US" w:eastAsia="zh-CN" w:bidi="ar-SA"/>
              </w:rPr>
              <w:t>提供一</w:t>
            </w:r>
            <w:r>
              <w:rPr>
                <w:rFonts w:hint="eastAsia" w:ascii="宋体" w:hAnsi="宋体" w:eastAsia="宋体" w:cs="宋体"/>
                <w:color w:val="auto"/>
                <w:kern w:val="0"/>
                <w:sz w:val="21"/>
                <w:szCs w:val="21"/>
                <w:highlight w:val="none"/>
                <w:lang w:val="en-US" w:eastAsia="zh-CN" w:bidi="ar-SA"/>
              </w:rPr>
              <w:t>项得</w:t>
            </w:r>
            <w:r>
              <w:rPr>
                <w:rFonts w:hint="eastAsia" w:ascii="宋体" w:hAnsi="宋体" w:eastAsia="宋体" w:cs="宋体"/>
                <w:color w:val="auto"/>
                <w:kern w:val="0"/>
                <w:sz w:val="21"/>
                <w:szCs w:val="21"/>
                <w:highlight w:val="none"/>
                <w:shd w:val="clear" w:color="auto" w:fill="FFFFFF"/>
                <w:lang w:val="en-US" w:eastAsia="zh-CN" w:bidi="ar-SA"/>
              </w:rPr>
              <w:t>3</w:t>
            </w:r>
            <w:r>
              <w:rPr>
                <w:rFonts w:hint="eastAsia" w:ascii="宋体" w:hAnsi="宋体" w:eastAsia="宋体" w:cs="宋体"/>
                <w:color w:val="auto"/>
                <w:kern w:val="0"/>
                <w:sz w:val="21"/>
                <w:szCs w:val="21"/>
                <w:highlight w:val="none"/>
                <w:lang w:val="en-US" w:eastAsia="zh-CN" w:bidi="ar-SA"/>
              </w:rPr>
              <w:t>分；此项最多得6分。</w:t>
            </w:r>
          </w:p>
          <w:p w14:paraId="5C09301A">
            <w:pPr>
              <w:keepNext w:val="0"/>
              <w:keepLines w:val="0"/>
              <w:pageBreakBefore w:val="0"/>
              <w:widowControl/>
              <w:suppressLineNumbers w:val="0"/>
              <w:kinsoku/>
              <w:wordWrap/>
              <w:topLinePunct w:val="0"/>
              <w:autoSpaceDE w:val="0"/>
              <w:autoSpaceDN w:val="0"/>
              <w:bidi w:val="0"/>
              <w:adjustRightInd w:val="0"/>
              <w:spacing w:before="0" w:beforeAutospacing="0" w:after="0" w:afterAutospacing="0" w:line="360" w:lineRule="auto"/>
              <w:ind w:left="0" w:right="0" w:rightChars="0" w:firstLineChars="0"/>
              <w:jc w:val="both"/>
              <w:rPr>
                <w:rFonts w:hint="eastAsia" w:ascii="宋体" w:hAnsi="宋体" w:eastAsia="宋体" w:cs="宋体"/>
                <w:color w:val="auto"/>
                <w:kern w:val="2"/>
                <w:sz w:val="21"/>
                <w:szCs w:val="21"/>
                <w:highlight w:val="none"/>
                <w:shd w:val="clear" w:color="auto" w:fill="FFFFFF"/>
                <w:lang w:val="en-US" w:eastAsia="zh-CN" w:bidi="ar"/>
              </w:rPr>
            </w:pPr>
            <w:r>
              <w:rPr>
                <w:rFonts w:hint="eastAsia" w:ascii="宋体" w:hAnsi="宋体" w:eastAsia="宋体" w:cs="宋体"/>
                <w:b/>
                <w:bCs/>
                <w:color w:val="auto"/>
                <w:kern w:val="2"/>
                <w:sz w:val="21"/>
                <w:szCs w:val="21"/>
                <w:highlight w:val="none"/>
                <w:shd w:val="clear" w:color="auto" w:fill="FFFFFF"/>
                <w:lang w:val="en-US" w:eastAsia="zh-CN" w:bidi="ar"/>
              </w:rPr>
              <w:t>注：</w:t>
            </w:r>
            <w:r>
              <w:rPr>
                <w:rFonts w:hint="eastAsia" w:ascii="宋体" w:hAnsi="宋体" w:eastAsia="宋体" w:cs="宋体"/>
                <w:b/>
                <w:color w:val="auto"/>
                <w:kern w:val="2"/>
                <w:sz w:val="21"/>
                <w:szCs w:val="21"/>
                <w:highlight w:val="none"/>
                <w:lang w:val="en-US" w:eastAsia="zh-CN" w:bidi="ar-SA"/>
              </w:rPr>
              <w:t>应提供合同协议书或</w:t>
            </w:r>
            <w:r>
              <w:rPr>
                <w:rFonts w:hint="eastAsia" w:ascii="宋体" w:hAnsi="宋体" w:eastAsia="宋体" w:cs="宋体"/>
                <w:b/>
                <w:bCs/>
                <w:color w:val="auto"/>
                <w:kern w:val="2"/>
                <w:sz w:val="21"/>
                <w:szCs w:val="21"/>
                <w:highlight w:val="none"/>
                <w:shd w:val="clear"/>
                <w:lang w:val="en-US" w:eastAsia="zh-CN" w:bidi="ar"/>
              </w:rPr>
              <w:t>合同工程</w:t>
            </w:r>
            <w:r>
              <w:rPr>
                <w:rFonts w:hint="eastAsia" w:ascii="宋体" w:hAnsi="宋体" w:eastAsia="宋体" w:cs="宋体"/>
                <w:b/>
                <w:bCs/>
                <w:color w:val="auto"/>
                <w:kern w:val="2"/>
                <w:sz w:val="21"/>
                <w:szCs w:val="21"/>
                <w:highlight w:val="none"/>
                <w:lang w:val="en-US" w:eastAsia="zh-CN" w:bidi="ar-SA"/>
              </w:rPr>
              <w:t>（完工）验收或竣工验收证明</w:t>
            </w:r>
            <w:r>
              <w:rPr>
                <w:rFonts w:hint="eastAsia" w:ascii="宋体" w:hAnsi="宋体" w:eastAsia="宋体" w:cs="宋体"/>
                <w:b/>
                <w:color w:val="auto"/>
                <w:kern w:val="2"/>
                <w:sz w:val="21"/>
                <w:szCs w:val="21"/>
                <w:highlight w:val="none"/>
                <w:lang w:val="en-US" w:eastAsia="zh-CN" w:bidi="ar-SA"/>
              </w:rPr>
              <w:t>，提供的上述任一证明材料应显示工程规模等级，如无显示，需另行提供建设单位出具的证明文件或行政部门的批复文件，不提供不予计分。</w:t>
            </w:r>
          </w:p>
        </w:tc>
      </w:tr>
      <w:tr w14:paraId="6F289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868" w:type="pct"/>
            <w:gridSpan w:val="4"/>
            <w:tcBorders>
              <w:right w:val="single" w:color="auto" w:sz="4" w:space="0"/>
            </w:tcBorders>
            <w:noWrap w:val="0"/>
            <w:vAlign w:val="center"/>
          </w:tcPr>
          <w:p w14:paraId="26848A84">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2.2.4(6)</w:t>
            </w:r>
          </w:p>
          <w:p w14:paraId="666CDE77">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F</w:t>
            </w:r>
            <w:r>
              <w:rPr>
                <w:rFonts w:hint="eastAsia" w:ascii="宋体" w:hAnsi="宋体" w:eastAsia="宋体" w:cs="宋体"/>
                <w:b/>
                <w:color w:val="auto"/>
                <w:sz w:val="21"/>
                <w:szCs w:val="21"/>
                <w:highlight w:val="none"/>
              </w:rPr>
              <w:t>奖罚情况</w:t>
            </w:r>
          </w:p>
          <w:p w14:paraId="728E9F6D">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 w:val="21"/>
                <w:szCs w:val="21"/>
                <w:highlight w:val="none"/>
                <w:lang w:val="zh-CN"/>
              </w:rPr>
            </w:pPr>
          </w:p>
        </w:tc>
        <w:tc>
          <w:tcPr>
            <w:tcW w:w="4131" w:type="pct"/>
            <w:gridSpan w:val="3"/>
            <w:tcBorders>
              <w:left w:val="single" w:color="auto" w:sz="4" w:space="0"/>
            </w:tcBorders>
            <w:noWrap w:val="0"/>
            <w:vAlign w:val="center"/>
          </w:tcPr>
          <w:p w14:paraId="63B9DF43">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以下情形为奖励分值，累计不超过</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w:t>
            </w:r>
          </w:p>
          <w:p w14:paraId="3CC7E2A2">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1.承建的水利工程近三年获得省级行政主管部门颁发的“优质工程”的，加1分，最多不超过1分。</w:t>
            </w:r>
          </w:p>
          <w:p w14:paraId="02AA3961">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.承建的水利工程近三年获得“大禹奖”或“鲁班奖”的，加</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分，最多不超过</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2778921B">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3.获得“水利安全生产标准化”达标单位的，一级（水利部颁发）加 3 分，二级（省级水行政主管部门颁发）加 2分，三级（省辖市或直管县水行政主管部门颁发）加 1分。</w:t>
            </w:r>
          </w:p>
          <w:p w14:paraId="5CA8A153">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上述1、2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项加分时，同一奖项类别的同一工程不重复计算。</w:t>
            </w:r>
          </w:p>
          <w:p w14:paraId="6304CF97">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以下情形为惩罚分值，没有累计限制</w:t>
            </w:r>
            <w:r>
              <w:rPr>
                <w:rFonts w:hint="eastAsia" w:ascii="宋体" w:hAnsi="宋体" w:eastAsia="宋体" w:cs="宋体"/>
                <w:color w:val="auto"/>
                <w:sz w:val="21"/>
                <w:szCs w:val="21"/>
                <w:highlight w:val="none"/>
              </w:rPr>
              <w:t>：</w:t>
            </w:r>
          </w:p>
          <w:p w14:paraId="6E31892E">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1.近三年承建的水利工程发生过一般安全生产事故的，一次扣3分，较大及以上的一次扣5分。</w:t>
            </w:r>
          </w:p>
          <w:p w14:paraId="05B44668">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2.近三年承建的水利工程发生过一般质量事故的，一次扣3分，较大及以上的一次扣5分。</w:t>
            </w:r>
          </w:p>
          <w:p w14:paraId="4342F6B3">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3.除以上1、2项外，</w:t>
            </w:r>
            <w:r>
              <w:rPr>
                <w:rFonts w:hint="eastAsia" w:ascii="宋体" w:hAnsi="宋体" w:eastAsia="宋体" w:cs="宋体"/>
                <w:color w:val="auto"/>
                <w:sz w:val="21"/>
                <w:szCs w:val="21"/>
                <w:highlight w:val="none"/>
                <w:lang w:eastAsia="zh-CN"/>
              </w:rPr>
              <w:t>行政处罚信息</w:t>
            </w:r>
            <w:r>
              <w:rPr>
                <w:rFonts w:hint="eastAsia" w:ascii="宋体" w:hAnsi="宋体" w:eastAsia="宋体" w:cs="宋体"/>
                <w:color w:val="auto"/>
                <w:sz w:val="21"/>
                <w:szCs w:val="21"/>
                <w:highlight w:val="none"/>
              </w:rPr>
              <w:t>在</w:t>
            </w:r>
            <w:r>
              <w:rPr>
                <w:rFonts w:hint="eastAsia" w:ascii="宋体" w:hAnsi="宋体" w:eastAsia="宋体" w:cs="宋体"/>
                <w:bCs/>
                <w:color w:val="auto"/>
                <w:sz w:val="21"/>
                <w:szCs w:val="21"/>
                <w:highlight w:val="none"/>
              </w:rPr>
              <w:t>全国水利建设市场监管服务平台</w:t>
            </w:r>
            <w:r>
              <w:rPr>
                <w:rFonts w:hint="eastAsia" w:ascii="宋体" w:hAnsi="宋体" w:eastAsia="宋体" w:cs="宋体"/>
                <w:color w:val="auto"/>
                <w:sz w:val="21"/>
                <w:szCs w:val="21"/>
                <w:highlight w:val="none"/>
              </w:rPr>
              <w:t>上公告且在</w:t>
            </w:r>
            <w:r>
              <w:rPr>
                <w:rFonts w:hint="eastAsia" w:ascii="宋体" w:hAnsi="宋体" w:eastAsia="宋体" w:cs="宋体"/>
                <w:color w:val="auto"/>
                <w:sz w:val="21"/>
                <w:szCs w:val="21"/>
                <w:highlight w:val="none"/>
                <w:lang w:val="en-US" w:eastAsia="zh-CN"/>
              </w:rPr>
              <w:t>公示</w:t>
            </w:r>
            <w:r>
              <w:rPr>
                <w:rFonts w:hint="eastAsia" w:ascii="宋体" w:hAnsi="宋体" w:eastAsia="宋体" w:cs="宋体"/>
                <w:color w:val="auto"/>
                <w:sz w:val="21"/>
                <w:szCs w:val="21"/>
                <w:highlight w:val="none"/>
              </w:rPr>
              <w:t>期限内的，一次扣3分。</w:t>
            </w:r>
          </w:p>
          <w:p w14:paraId="4A204EA8">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注：近三年指20</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1日</w:t>
            </w:r>
            <w:r>
              <w:rPr>
                <w:rFonts w:hint="eastAsia" w:ascii="宋体" w:hAnsi="宋体" w:eastAsia="宋体" w:cs="宋体"/>
                <w:color w:val="auto"/>
                <w:sz w:val="21"/>
                <w:szCs w:val="21"/>
                <w:highlight w:val="none"/>
              </w:rPr>
              <w:t>以来。</w:t>
            </w:r>
          </w:p>
        </w:tc>
      </w:tr>
      <w:tr w14:paraId="06265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jc w:val="center"/>
        </w:trPr>
        <w:tc>
          <w:tcPr>
            <w:tcW w:w="868" w:type="pct"/>
            <w:gridSpan w:val="4"/>
            <w:tcBorders>
              <w:right w:val="single" w:color="auto" w:sz="4" w:space="0"/>
            </w:tcBorders>
            <w:noWrap w:val="0"/>
            <w:vAlign w:val="center"/>
          </w:tcPr>
          <w:p w14:paraId="146B6B9E">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3.4.1</w:t>
            </w:r>
          </w:p>
        </w:tc>
        <w:tc>
          <w:tcPr>
            <w:tcW w:w="4131" w:type="pct"/>
            <w:gridSpan w:val="3"/>
            <w:tcBorders>
              <w:left w:val="single" w:color="auto" w:sz="4" w:space="0"/>
            </w:tcBorders>
            <w:noWrap w:val="0"/>
            <w:vAlign w:val="center"/>
          </w:tcPr>
          <w:p w14:paraId="0F95501B">
            <w:pPr>
              <w:keepNext w:val="0"/>
              <w:keepLines w:val="0"/>
              <w:pageBreakBefore w:val="0"/>
              <w:widowControl/>
              <w:suppressLineNumbers w:val="0"/>
              <w:kinsoku/>
              <w:wordWrap/>
              <w:topLinePunct w:val="0"/>
              <w:bidi w:val="0"/>
              <w:spacing w:before="0" w:beforeAutospacing="0" w:after="0" w:afterAutospacing="0" w:line="360" w:lineRule="auto"/>
              <w:ind w:left="0" w:leftChars="0" w:right="0" w:rightChars="0" w:firstLine="0" w:firstLineChars="0"/>
              <w:jc w:val="both"/>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投标人最终得分</w:t>
            </w:r>
            <w:r>
              <w:rPr>
                <w:rFonts w:hint="eastAsia" w:ascii="宋体" w:hAnsi="宋体" w:eastAsia="宋体" w:cs="宋体"/>
                <w:color w:val="auto"/>
                <w:sz w:val="21"/>
                <w:szCs w:val="21"/>
                <w:highlight w:val="none"/>
                <w:lang w:val="en-US" w:eastAsia="zh-CN"/>
              </w:rPr>
              <w:t>=所有评标委员会成员赋分的算术平均值，最终结果保留两位小数。</w:t>
            </w:r>
          </w:p>
        </w:tc>
      </w:tr>
    </w:tbl>
    <w:p w14:paraId="4D6417F1"/>
    <w:p w14:paraId="38BABD2A">
      <w:pPr>
        <w:widowControl/>
        <w:jc w:val="left"/>
        <w:outlineLvl w:val="9"/>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br w:type="page"/>
      </w:r>
    </w:p>
    <w:p w14:paraId="78BA84B5">
      <w:pPr>
        <w:keepNext w:val="0"/>
        <w:keepLines w:val="0"/>
        <w:pageBreakBefore w:val="0"/>
        <w:widowControl w:val="0"/>
        <w:kinsoku/>
        <w:wordWrap/>
        <w:overflowPunct/>
        <w:topLinePunct w:val="0"/>
        <w:autoSpaceDE w:val="0"/>
        <w:autoSpaceDN w:val="0"/>
        <w:bidi w:val="0"/>
        <w:adjustRightInd w:val="0"/>
        <w:snapToGrid/>
        <w:spacing w:before="0" w:beforeLines="0" w:after="0" w:afterLines="0" w:line="360" w:lineRule="auto"/>
        <w:jc w:val="center"/>
        <w:textAlignment w:val="auto"/>
        <w:outlineLvl w:val="1"/>
        <w:rPr>
          <w:rFonts w:hint="eastAsia" w:ascii="宋体" w:hAnsi="宋体" w:eastAsia="宋体" w:cs="宋体"/>
          <w:b/>
          <w:bCs/>
          <w:color w:val="auto"/>
          <w:szCs w:val="21"/>
          <w:highlight w:val="none"/>
          <w:lang w:val="en-US"/>
        </w:rPr>
      </w:pPr>
      <w:bookmarkStart w:id="341" w:name="_Toc8388"/>
      <w:bookmarkStart w:id="342" w:name="_Toc26329"/>
      <w:bookmarkStart w:id="343" w:name="_Toc29717"/>
      <w:r>
        <w:rPr>
          <w:rFonts w:hint="eastAsia" w:ascii="宋体" w:hAnsi="宋体" w:eastAsia="宋体" w:cs="宋体"/>
          <w:b/>
          <w:bCs/>
          <w:color w:val="auto"/>
          <w:kern w:val="2"/>
          <w:sz w:val="21"/>
          <w:szCs w:val="21"/>
          <w:highlight w:val="none"/>
          <w:lang w:val="en-US" w:eastAsia="zh-CN"/>
        </w:rPr>
        <w:t>一、评标办法</w:t>
      </w:r>
      <w:bookmarkEnd w:id="341"/>
      <w:bookmarkEnd w:id="342"/>
      <w:bookmarkEnd w:id="343"/>
    </w:p>
    <w:p w14:paraId="0800FC74">
      <w:pPr>
        <w:keepNext/>
        <w:keepLines/>
        <w:adjustRightInd w:val="0"/>
        <w:snapToGrid w:val="0"/>
        <w:spacing w:before="0" w:beforeLines="0" w:after="0" w:afterLines="0" w:line="360" w:lineRule="auto"/>
        <w:outlineLvl w:val="2"/>
        <w:rPr>
          <w:rFonts w:hint="eastAsia" w:ascii="宋体" w:hAnsi="宋体" w:eastAsia="宋体" w:cs="宋体"/>
          <w:b/>
          <w:bCs/>
          <w:color w:val="auto"/>
          <w:kern w:val="2"/>
          <w:sz w:val="21"/>
          <w:szCs w:val="21"/>
          <w:highlight w:val="none"/>
          <w:lang w:val="en-US" w:eastAsia="zh-CN" w:bidi="ar-SA"/>
        </w:rPr>
      </w:pPr>
      <w:bookmarkStart w:id="344" w:name="_Toc9482"/>
      <w:bookmarkStart w:id="345" w:name="_Toc5504"/>
      <w:bookmarkStart w:id="346" w:name="_Toc31806"/>
      <w:r>
        <w:rPr>
          <w:rFonts w:hint="eastAsia" w:ascii="宋体" w:hAnsi="宋体" w:eastAsia="宋体" w:cs="宋体"/>
          <w:b/>
          <w:bCs/>
          <w:color w:val="auto"/>
          <w:kern w:val="2"/>
          <w:sz w:val="21"/>
          <w:szCs w:val="21"/>
          <w:highlight w:val="none"/>
          <w:lang w:val="en-US" w:eastAsia="zh-CN" w:bidi="ar-SA"/>
        </w:rPr>
        <w:t>1.评标方法</w:t>
      </w:r>
      <w:bookmarkEnd w:id="297"/>
      <w:bookmarkEnd w:id="344"/>
      <w:bookmarkEnd w:id="345"/>
      <w:bookmarkEnd w:id="346"/>
    </w:p>
    <w:p w14:paraId="5B56395B">
      <w:pPr>
        <w:widowControl/>
        <w:spacing w:beforeLines="0" w:afterLines="0" w:line="360" w:lineRule="auto"/>
        <w:ind w:firstLine="371" w:firstLineChars="177"/>
        <w:jc w:val="left"/>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z w:val="21"/>
          <w:szCs w:val="21"/>
          <w:highlight w:val="none"/>
        </w:rPr>
        <w:t>本次评标采用</w:t>
      </w:r>
      <w:r>
        <w:rPr>
          <w:rFonts w:hint="eastAsia" w:ascii="宋体" w:hAnsi="宋体" w:eastAsia="宋体" w:cs="宋体"/>
          <w:color w:val="auto"/>
          <w:sz w:val="21"/>
          <w:szCs w:val="21"/>
          <w:highlight w:val="none"/>
          <w:lang w:val="en-US" w:eastAsia="zh-CN"/>
        </w:rPr>
        <w:t>综合评估法评审</w:t>
      </w:r>
      <w:r>
        <w:rPr>
          <w:rFonts w:hint="eastAsia" w:ascii="宋体" w:hAnsi="宋体" w:eastAsia="宋体" w:cs="宋体"/>
          <w:color w:val="auto"/>
          <w:sz w:val="21"/>
          <w:szCs w:val="21"/>
          <w:highlight w:val="none"/>
        </w:rPr>
        <w:t>。评标委员会对满足招标文件</w:t>
      </w:r>
      <w:r>
        <w:rPr>
          <w:rFonts w:hint="eastAsia" w:ascii="宋体" w:hAnsi="宋体" w:eastAsia="宋体" w:cs="宋体"/>
          <w:color w:val="auto"/>
          <w:sz w:val="21"/>
          <w:szCs w:val="21"/>
          <w:highlight w:val="none"/>
          <w:lang w:val="en-US" w:eastAsia="zh-CN"/>
        </w:rPr>
        <w:t>确定的</w:t>
      </w:r>
      <w:r>
        <w:rPr>
          <w:rFonts w:hint="eastAsia" w:ascii="宋体" w:hAnsi="宋体" w:eastAsia="宋体" w:cs="宋体"/>
          <w:color w:val="auto"/>
          <w:sz w:val="21"/>
          <w:szCs w:val="21"/>
          <w:highlight w:val="none"/>
        </w:rPr>
        <w:t>评</w:t>
      </w:r>
      <w:r>
        <w:rPr>
          <w:rFonts w:hint="eastAsia" w:ascii="宋体" w:hAnsi="宋体" w:eastAsia="宋体" w:cs="宋体"/>
          <w:color w:val="auto"/>
          <w:sz w:val="21"/>
          <w:szCs w:val="21"/>
          <w:highlight w:val="none"/>
          <w:lang w:val="en-US" w:eastAsia="zh-CN"/>
        </w:rPr>
        <w:t>审</w:t>
      </w:r>
      <w:r>
        <w:rPr>
          <w:rFonts w:hint="eastAsia" w:ascii="宋体" w:hAnsi="宋体" w:eastAsia="宋体" w:cs="宋体"/>
          <w:color w:val="auto"/>
          <w:sz w:val="21"/>
          <w:szCs w:val="21"/>
          <w:highlight w:val="none"/>
        </w:rPr>
        <w:t>标准</w:t>
      </w:r>
      <w:r>
        <w:rPr>
          <w:rFonts w:hint="eastAsia" w:ascii="宋体" w:hAnsi="宋体" w:eastAsia="宋体" w:cs="宋体"/>
          <w:color w:val="auto"/>
          <w:sz w:val="21"/>
          <w:szCs w:val="21"/>
          <w:highlight w:val="none"/>
          <w:lang w:val="en-US" w:eastAsia="zh-CN"/>
        </w:rPr>
        <w:t>和方法，客观、公正地对投标文件进行评审和比较，</w:t>
      </w:r>
      <w:r>
        <w:rPr>
          <w:rFonts w:hint="eastAsia" w:ascii="宋体" w:hAnsi="宋体" w:eastAsia="宋体" w:cs="宋体"/>
          <w:color w:val="auto"/>
          <w:spacing w:val="0"/>
          <w:position w:val="0"/>
          <w:sz w:val="21"/>
          <w:szCs w:val="21"/>
          <w:highlight w:val="none"/>
        </w:rPr>
        <w:t>并按照最终得分由高到低顺序推荐中标候选人。</w:t>
      </w:r>
    </w:p>
    <w:p w14:paraId="2F2C0180">
      <w:pPr>
        <w:widowControl/>
        <w:spacing w:before="0" w:beforeLines="0" w:after="0" w:afterLines="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position w:val="0"/>
          <w:sz w:val="21"/>
          <w:szCs w:val="21"/>
          <w:highlight w:val="none"/>
          <w:lang w:val="en-US" w:eastAsia="zh-CN"/>
        </w:rPr>
        <w:t>2.</w:t>
      </w:r>
      <w:bookmarkStart w:id="347" w:name="_Toc2664"/>
      <w:bookmarkStart w:id="348" w:name="_Toc20606"/>
      <w:bookmarkStart w:id="349" w:name="_Toc10379"/>
      <w:r>
        <w:rPr>
          <w:rFonts w:hint="eastAsia" w:ascii="宋体" w:hAnsi="宋体" w:eastAsia="宋体" w:cs="宋体"/>
          <w:b/>
          <w:bCs/>
          <w:color w:val="auto"/>
          <w:sz w:val="21"/>
          <w:szCs w:val="21"/>
          <w:highlight w:val="none"/>
        </w:rPr>
        <w:t>评审标准</w:t>
      </w:r>
      <w:bookmarkEnd w:id="347"/>
      <w:bookmarkEnd w:id="348"/>
      <w:bookmarkEnd w:id="349"/>
    </w:p>
    <w:p w14:paraId="191B642E">
      <w:pPr>
        <w:keepNext/>
        <w:keepLines/>
        <w:pageBreakBefore w:val="0"/>
        <w:widowControl/>
        <w:kinsoku/>
        <w:wordWrap/>
        <w:overflowPunct/>
        <w:topLinePunct w:val="0"/>
        <w:autoSpaceDE/>
        <w:autoSpaceDN/>
        <w:bidi w:val="0"/>
        <w:adjustRightInd w:val="0"/>
        <w:snapToGrid w:val="0"/>
        <w:spacing w:before="0" w:beforeLines="0" w:afterLines="0"/>
        <w:ind w:firstLine="0" w:firstLineChars="0"/>
        <w:jc w:val="left"/>
        <w:textAlignment w:val="auto"/>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 初步评审标准</w:t>
      </w:r>
    </w:p>
    <w:p w14:paraId="41814D3F">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形式评审标准：见评标办法前附表。</w:t>
      </w:r>
    </w:p>
    <w:p w14:paraId="1178BBDA">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资格评审标准：见评标办法前附表。</w:t>
      </w:r>
    </w:p>
    <w:p w14:paraId="16087333">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响应性评审标准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见评标办法前附表。</w:t>
      </w:r>
    </w:p>
    <w:p w14:paraId="7C710A4A">
      <w:pPr>
        <w:keepNext/>
        <w:keepLines/>
        <w:pageBreakBefore w:val="0"/>
        <w:widowControl/>
        <w:kinsoku/>
        <w:wordWrap/>
        <w:overflowPunct/>
        <w:topLinePunct w:val="0"/>
        <w:autoSpaceDE/>
        <w:autoSpaceDN/>
        <w:bidi w:val="0"/>
        <w:adjustRightInd w:val="0"/>
        <w:snapToGrid w:val="0"/>
        <w:spacing w:before="0" w:beforeLines="0" w:afterLines="0"/>
        <w:ind w:firstLine="0" w:firstLineChars="0"/>
        <w:jc w:val="left"/>
        <w:textAlignment w:val="auto"/>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w:t>
      </w:r>
      <w:r>
        <w:rPr>
          <w:rFonts w:hint="eastAsia" w:ascii="宋体" w:hAnsi="宋体" w:eastAsia="宋体" w:cs="宋体"/>
          <w:b/>
          <w:bCs/>
          <w:color w:val="auto"/>
          <w:sz w:val="21"/>
          <w:szCs w:val="21"/>
          <w:highlight w:val="none"/>
          <w:lang w:val="en-US" w:eastAsia="zh-CN"/>
        </w:rPr>
        <w:t>详细</w:t>
      </w:r>
      <w:r>
        <w:rPr>
          <w:rFonts w:hint="eastAsia" w:ascii="宋体" w:hAnsi="宋体" w:eastAsia="宋体" w:cs="宋体"/>
          <w:b/>
          <w:bCs/>
          <w:color w:val="auto"/>
          <w:sz w:val="21"/>
          <w:szCs w:val="21"/>
          <w:highlight w:val="none"/>
        </w:rPr>
        <w:t>评审标准</w:t>
      </w:r>
    </w:p>
    <w:p w14:paraId="6349309D">
      <w:pPr>
        <w:widowControl/>
        <w:spacing w:before="0" w:beforeLines="0" w:after="0" w:afterLines="0" w:line="360" w:lineRule="auto"/>
        <w:ind w:firstLine="420" w:firstLineChars="200"/>
        <w:jc w:val="left"/>
        <w:outlineLvl w:val="9"/>
        <w:rPr>
          <w:rFonts w:hint="eastAsia" w:ascii="宋体" w:hAnsi="宋体" w:eastAsia="宋体" w:cs="宋体"/>
          <w:color w:val="auto"/>
          <w:sz w:val="21"/>
          <w:szCs w:val="21"/>
          <w:highlight w:val="none"/>
        </w:rPr>
      </w:pPr>
      <w:bookmarkStart w:id="350" w:name="_Toc17066"/>
      <w:bookmarkStart w:id="351" w:name="_Toc18347"/>
      <w:bookmarkStart w:id="352" w:name="_Toc8614"/>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施工组织设计：35分</w:t>
      </w:r>
    </w:p>
    <w:p w14:paraId="403481B8">
      <w:pPr>
        <w:widowControl/>
        <w:spacing w:before="0" w:beforeLines="0" w:after="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项目管理机构：10分</w:t>
      </w:r>
    </w:p>
    <w:p w14:paraId="3AE4836B">
      <w:pPr>
        <w:widowControl/>
        <w:spacing w:before="0" w:beforeLines="0" w:after="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投标报价：40分</w:t>
      </w:r>
    </w:p>
    <w:p w14:paraId="40E33135">
      <w:pPr>
        <w:widowControl/>
        <w:spacing w:before="0" w:beforeLines="0" w:after="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信用等级：5分</w:t>
      </w:r>
    </w:p>
    <w:p w14:paraId="604B7405">
      <w:pPr>
        <w:widowControl/>
        <w:spacing w:before="0" w:beforeLines="0" w:after="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其它评分因素：10分</w:t>
      </w:r>
    </w:p>
    <w:p w14:paraId="159B96F0">
      <w:pPr>
        <w:widowControl/>
        <w:spacing w:before="0" w:beforeLines="0" w:after="0" w:afterLines="0"/>
        <w:ind w:firstLine="0" w:firstLineChars="0"/>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评标程序</w:t>
      </w:r>
      <w:bookmarkEnd w:id="350"/>
      <w:bookmarkEnd w:id="351"/>
      <w:bookmarkEnd w:id="352"/>
    </w:p>
    <w:p w14:paraId="12EB5D11">
      <w:pPr>
        <w:keepNext/>
        <w:keepLines/>
        <w:pageBreakBefore w:val="0"/>
        <w:widowControl/>
        <w:kinsoku/>
        <w:wordWrap/>
        <w:overflowPunct/>
        <w:topLinePunct w:val="0"/>
        <w:autoSpaceDE/>
        <w:autoSpaceDN/>
        <w:bidi w:val="0"/>
        <w:adjustRightInd w:val="0"/>
        <w:snapToGrid w:val="0"/>
        <w:spacing w:before="0" w:beforeLines="0" w:afterLines="0"/>
        <w:ind w:firstLine="0" w:firstLineChars="0"/>
        <w:jc w:val="left"/>
        <w:textAlignment w:val="auto"/>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 初步评审</w:t>
      </w:r>
    </w:p>
    <w:p w14:paraId="314DCB51">
      <w:pPr>
        <w:widowControl/>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评标委员会依据</w:t>
      </w:r>
      <w:r>
        <w:rPr>
          <w:rFonts w:hint="eastAsia" w:ascii="宋体" w:hAnsi="宋体" w:eastAsia="宋体" w:cs="宋体"/>
          <w:b/>
          <w:bCs/>
          <w:color w:val="auto"/>
          <w:sz w:val="21"/>
          <w:szCs w:val="21"/>
          <w:highlight w:val="none"/>
        </w:rPr>
        <w:t>本章2.1</w:t>
      </w:r>
      <w:r>
        <w:rPr>
          <w:rFonts w:hint="eastAsia" w:ascii="宋体" w:hAnsi="宋体" w:eastAsia="宋体" w:cs="宋体"/>
          <w:b/>
          <w:bCs/>
          <w:color w:val="auto"/>
          <w:sz w:val="21"/>
          <w:szCs w:val="21"/>
          <w:highlight w:val="none"/>
          <w:lang w:val="en-US" w:eastAsia="zh-CN"/>
        </w:rPr>
        <w:t>款</w:t>
      </w:r>
      <w:r>
        <w:rPr>
          <w:rFonts w:hint="eastAsia" w:ascii="宋体" w:hAnsi="宋体" w:eastAsia="宋体" w:cs="宋体"/>
          <w:color w:val="auto"/>
          <w:sz w:val="21"/>
          <w:szCs w:val="21"/>
          <w:highlight w:val="none"/>
        </w:rPr>
        <w:t>规定的评审标准对投标文件进行初步评审。</w:t>
      </w:r>
      <w:r>
        <w:rPr>
          <w:rFonts w:hint="eastAsia" w:ascii="宋体" w:hAnsi="宋体" w:eastAsia="宋体" w:cs="宋体"/>
          <w:b/>
          <w:bCs/>
          <w:color w:val="auto"/>
          <w:sz w:val="21"/>
          <w:szCs w:val="21"/>
          <w:highlight w:val="none"/>
        </w:rPr>
        <w:t>有一项不符合评审标准的，作无效标处理。</w:t>
      </w:r>
    </w:p>
    <w:p w14:paraId="6279479A">
      <w:pPr>
        <w:widowControl/>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投标人有以下情形之一的，其投标作无效标处理：</w:t>
      </w:r>
    </w:p>
    <w:p w14:paraId="460ADD3E">
      <w:pPr>
        <w:widowControl/>
        <w:tabs>
          <w:tab w:val="left" w:pos="945"/>
        </w:tabs>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（1）第二章“投标人须知”第1.4.3项规定的任何一种情形的；</w:t>
      </w:r>
    </w:p>
    <w:p w14:paraId="3A518764">
      <w:pPr>
        <w:widowControl/>
        <w:tabs>
          <w:tab w:val="left" w:pos="945"/>
        </w:tabs>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（2）串通投标或弄虚作假或有其他违法行为的；</w:t>
      </w:r>
    </w:p>
    <w:p w14:paraId="080CEB4F">
      <w:pPr>
        <w:widowControl/>
        <w:tabs>
          <w:tab w:val="left" w:pos="945"/>
        </w:tabs>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（3）不按评标委员会要求澄清、说明</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补正的</w:t>
      </w:r>
      <w:r>
        <w:rPr>
          <w:rFonts w:hint="eastAsia" w:ascii="宋体" w:hAnsi="宋体" w:eastAsia="宋体" w:cs="宋体"/>
          <w:color w:val="auto"/>
          <w:sz w:val="21"/>
          <w:szCs w:val="21"/>
          <w:highlight w:val="none"/>
          <w:lang w:eastAsia="zh-CN"/>
        </w:rPr>
        <w:t>；</w:t>
      </w:r>
    </w:p>
    <w:p w14:paraId="56ADF550">
      <w:pPr>
        <w:widowControl/>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投标报价有算术错误的，评标委员会按以下原则对投标报价进行修正，修正的价格经投标人书面确认后具有约束力。投标人不接受修正价格的，其投标作无效标处理。</w:t>
      </w:r>
    </w:p>
    <w:p w14:paraId="2814ABEA">
      <w:pPr>
        <w:widowControl/>
        <w:tabs>
          <w:tab w:val="left" w:pos="945"/>
        </w:tabs>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（1）投标文件中的大写金额与小写金额不一致时，以大写金额为准；</w:t>
      </w:r>
    </w:p>
    <w:p w14:paraId="3D2CA010">
      <w:pPr>
        <w:widowControl/>
        <w:tabs>
          <w:tab w:val="left" w:pos="945"/>
        </w:tabs>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（2）总价金额与依据单价计算出的结果不一致时，以单价金额为准修正总价，但单价金额小数点有明显错误的除外。</w:t>
      </w:r>
    </w:p>
    <w:bookmarkEnd w:id="298"/>
    <w:bookmarkEnd w:id="299"/>
    <w:bookmarkEnd w:id="300"/>
    <w:bookmarkEnd w:id="301"/>
    <w:bookmarkEnd w:id="302"/>
    <w:bookmarkEnd w:id="303"/>
    <w:bookmarkEnd w:id="304"/>
    <w:bookmarkEnd w:id="305"/>
    <w:bookmarkEnd w:id="306"/>
    <w:bookmarkEnd w:id="307"/>
    <w:bookmarkEnd w:id="308"/>
    <w:bookmarkEnd w:id="309"/>
    <w:bookmarkEnd w:id="310"/>
    <w:p w14:paraId="5A327A51">
      <w:pPr>
        <w:keepNext/>
        <w:keepLines/>
        <w:pageBreakBefore w:val="0"/>
        <w:widowControl/>
        <w:tabs>
          <w:tab w:val="left" w:pos="945"/>
        </w:tabs>
        <w:kinsoku/>
        <w:wordWrap/>
        <w:overflowPunct/>
        <w:topLinePunct w:val="0"/>
        <w:autoSpaceDE w:val="0"/>
        <w:autoSpaceDN w:val="0"/>
        <w:bidi w:val="0"/>
        <w:adjustRightInd w:val="0"/>
        <w:snapToGrid w:val="0"/>
        <w:spacing w:before="0" w:beforeLines="0" w:afterLines="0"/>
        <w:ind w:firstLine="0" w:firstLineChars="0"/>
        <w:jc w:val="left"/>
        <w:textAlignment w:val="auto"/>
        <w:outlineLvl w:val="3"/>
        <w:rPr>
          <w:rFonts w:hint="eastAsia" w:ascii="宋体" w:hAnsi="宋体" w:eastAsia="宋体" w:cs="宋体"/>
          <w:b/>
          <w:bCs/>
          <w:color w:val="auto"/>
          <w:sz w:val="21"/>
          <w:szCs w:val="21"/>
          <w:highlight w:val="none"/>
        </w:rPr>
      </w:pPr>
      <w:bookmarkStart w:id="353" w:name="_Toc186623356"/>
      <w:bookmarkStart w:id="354" w:name="_Toc417551312"/>
      <w:bookmarkStart w:id="355" w:name="_Toc400376674"/>
      <w:bookmarkStart w:id="356" w:name="_Toc400377361"/>
      <w:bookmarkStart w:id="357" w:name="_Toc186623669"/>
      <w:bookmarkStart w:id="358" w:name="_Toc413335013"/>
      <w:bookmarkStart w:id="359" w:name="_Toc400818886"/>
      <w:bookmarkStart w:id="360" w:name="_Toc221950514"/>
      <w:bookmarkStart w:id="361" w:name="_Toc11345"/>
      <w:r>
        <w:rPr>
          <w:rFonts w:hint="eastAsia" w:ascii="宋体" w:hAnsi="宋体" w:eastAsia="宋体" w:cs="宋体"/>
          <w:b/>
          <w:bCs/>
          <w:color w:val="auto"/>
          <w:sz w:val="21"/>
          <w:szCs w:val="21"/>
          <w:highlight w:val="none"/>
        </w:rPr>
        <w:t>3.2 详细评审</w:t>
      </w:r>
      <w:bookmarkEnd w:id="353"/>
      <w:bookmarkEnd w:id="354"/>
      <w:bookmarkEnd w:id="355"/>
      <w:bookmarkEnd w:id="356"/>
      <w:bookmarkEnd w:id="357"/>
      <w:bookmarkEnd w:id="358"/>
      <w:bookmarkEnd w:id="359"/>
    </w:p>
    <w:p w14:paraId="2CBF495D">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3.2.1 评标委员会按本章第2.2款规定的量化因素和分值对入围详细评审的有效投标人进行打分，并计算出综合评估得分。入围详细评审的有效投标人办法详见评标办法前附表规定。</w:t>
      </w:r>
    </w:p>
    <w:p w14:paraId="6B029791">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（1）按本章第2.2.4（1）目规定的评审因素和分值对施工组织设计计算出得分A；</w:t>
      </w:r>
    </w:p>
    <w:p w14:paraId="0642C069">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（2）按本章第2.2.4（2）目规定的评审因素和分值对项目管理机构计算出得分B；</w:t>
      </w:r>
    </w:p>
    <w:p w14:paraId="422E344F">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（3）按本章第2.2.4（3）目规定的评审因素和分值对投标报价计算出得分C；</w:t>
      </w:r>
    </w:p>
    <w:p w14:paraId="4C139887">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（4）按本章第2.2.4（4）目规定的评审因素和分值对信用计算出得分D；</w:t>
      </w:r>
    </w:p>
    <w:p w14:paraId="6D409C60">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（5）按本章第2.2.4（5）目规定的评审因素和分值对其他因素计算出得分E；</w:t>
      </w:r>
    </w:p>
    <w:p w14:paraId="0C3F619E">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（6）按本章第2.2.4（6）目规定的评审因素和分值对奖罚情况计算出得分F.</w:t>
      </w:r>
    </w:p>
    <w:p w14:paraId="3658B073">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评分分值计算保留小数点后两位，小数点后第三位“四舍五入”。</w:t>
      </w:r>
    </w:p>
    <w:p w14:paraId="322585F1">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投标人得分=A+B+C+D+E+</w:t>
      </w:r>
      <w:r>
        <w:rPr>
          <w:rFonts w:hint="eastAsia" w:ascii="宋体" w:hAnsi="宋体" w:eastAsia="宋体" w:cs="宋体"/>
          <w:color w:val="auto"/>
          <w:sz w:val="21"/>
          <w:szCs w:val="21"/>
          <w:highlight w:val="none"/>
          <w:lang w:val="en-US" w:eastAsia="zh-CN"/>
        </w:rPr>
        <w:t>F</w:t>
      </w:r>
      <w:r>
        <w:rPr>
          <w:rFonts w:hint="eastAsia" w:ascii="宋体" w:hAnsi="宋体" w:eastAsia="宋体" w:cs="宋体"/>
          <w:color w:val="auto"/>
          <w:sz w:val="21"/>
          <w:szCs w:val="21"/>
          <w:highlight w:val="none"/>
        </w:rPr>
        <w:t>。</w:t>
      </w:r>
    </w:p>
    <w:p w14:paraId="5862C48C">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w:t>
      </w:r>
      <w:r>
        <w:rPr>
          <w:rFonts w:hint="eastAsia" w:ascii="宋体" w:hAnsi="宋体" w:eastAsia="宋体" w:cs="宋体"/>
          <w:color w:val="auto"/>
          <w:sz w:val="21"/>
          <w:szCs w:val="21"/>
          <w:highlight w:val="none"/>
          <w:lang w:val="en-US" w:eastAsia="zh-CN"/>
        </w:rPr>
        <w:t>无效标</w:t>
      </w:r>
      <w:r>
        <w:rPr>
          <w:rFonts w:hint="eastAsia" w:ascii="宋体" w:hAnsi="宋体" w:eastAsia="宋体" w:cs="宋体"/>
          <w:color w:val="auto"/>
          <w:sz w:val="21"/>
          <w:szCs w:val="21"/>
          <w:highlight w:val="none"/>
        </w:rPr>
        <w:t>处理。</w:t>
      </w:r>
    </w:p>
    <w:p w14:paraId="75881223">
      <w:pPr>
        <w:keepNext/>
        <w:keepLines/>
        <w:widowControl w:val="0"/>
        <w:spacing w:before="0" w:beforeLines="0" w:after="0" w:afterLines="0" w:line="360" w:lineRule="auto"/>
        <w:ind w:firstLine="422" w:firstLineChars="200"/>
        <w:jc w:val="both"/>
        <w:outlineLvl w:val="3"/>
        <w:rPr>
          <w:rFonts w:hint="eastAsia" w:ascii="宋体" w:hAnsi="宋体" w:eastAsia="宋体" w:cs="宋体"/>
          <w:b/>
          <w:bCs w:val="0"/>
          <w:color w:val="auto"/>
          <w:kern w:val="2"/>
          <w:sz w:val="21"/>
          <w:szCs w:val="21"/>
          <w:highlight w:val="none"/>
          <w:lang w:val="en-US" w:eastAsia="zh-CN" w:bidi="ar-SA"/>
        </w:rPr>
      </w:pPr>
      <w:bookmarkStart w:id="362" w:name="_Toc144974575"/>
      <w:bookmarkStart w:id="363" w:name="_Toc152042385"/>
      <w:bookmarkStart w:id="364" w:name="_Toc972"/>
      <w:bookmarkStart w:id="365" w:name="_Toc26506"/>
      <w:bookmarkStart w:id="366" w:name="_Toc30963"/>
      <w:bookmarkStart w:id="367" w:name="_Toc19962"/>
      <w:bookmarkStart w:id="368" w:name="_Toc301170927"/>
      <w:bookmarkStart w:id="369" w:name="_Toc383795264"/>
      <w:bookmarkStart w:id="370" w:name="_Toc11036"/>
      <w:bookmarkStart w:id="371" w:name="_Toc301170462"/>
      <w:bookmarkStart w:id="372" w:name="_Toc17332"/>
      <w:bookmarkStart w:id="373" w:name="_Toc29998"/>
      <w:bookmarkStart w:id="374" w:name="_Toc4353"/>
      <w:bookmarkStart w:id="375" w:name="_Toc6942"/>
      <w:bookmarkStart w:id="376" w:name="_Toc327875574"/>
      <w:bookmarkStart w:id="377" w:name="_Toc12538"/>
      <w:bookmarkStart w:id="378" w:name="_Toc10421"/>
      <w:bookmarkStart w:id="379" w:name="_Toc15279"/>
      <w:bookmarkStart w:id="380" w:name="_Toc30953"/>
      <w:bookmarkStart w:id="381" w:name="_Toc152045607"/>
      <w:bookmarkStart w:id="382" w:name="_Toc24848"/>
      <w:bookmarkStart w:id="383" w:name="_Toc9224"/>
      <w:bookmarkStart w:id="384" w:name="_Toc10095"/>
      <w:bookmarkStart w:id="385" w:name="_Toc4440"/>
      <w:bookmarkStart w:id="386" w:name="_Toc352312318"/>
      <w:bookmarkStart w:id="387" w:name="_Toc16216"/>
      <w:bookmarkStart w:id="388" w:name="_Toc30890"/>
      <w:r>
        <w:rPr>
          <w:rFonts w:hint="eastAsia" w:ascii="宋体" w:hAnsi="宋体" w:eastAsia="宋体" w:cs="宋体"/>
          <w:b/>
          <w:bCs w:val="0"/>
          <w:color w:val="auto"/>
          <w:kern w:val="2"/>
          <w:sz w:val="21"/>
          <w:szCs w:val="21"/>
          <w:highlight w:val="none"/>
          <w:lang w:val="en-US" w:eastAsia="zh-CN" w:bidi="ar-SA"/>
        </w:rPr>
        <w:t>3.3 投标文件的澄清</w:t>
      </w:r>
      <w:bookmarkEnd w:id="362"/>
      <w:r>
        <w:rPr>
          <w:rFonts w:hint="eastAsia" w:ascii="宋体" w:hAnsi="宋体" w:eastAsia="宋体" w:cs="宋体"/>
          <w:b/>
          <w:bCs w:val="0"/>
          <w:color w:val="auto"/>
          <w:kern w:val="2"/>
          <w:sz w:val="21"/>
          <w:szCs w:val="21"/>
          <w:highlight w:val="none"/>
          <w:lang w:val="en-US" w:eastAsia="zh-CN" w:bidi="ar-SA"/>
        </w:rPr>
        <w:t>和补正</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1585DFE9">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在评标过程中，评标委员会可以书面形式要求投标人对所提交投标文件中不明确的内容进行书面澄清或说明，或者对细微偏差进行补正。评标委员会不接受投标人主动提出的澄清、说明或补正。</w:t>
      </w:r>
    </w:p>
    <w:p w14:paraId="312FDC2E">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澄清、说明和补正不得改变投标文件的实质性内容（算术性错误修正的除外）。投标人的书面澄清、说明和补正属于投标文件的组成部分。</w:t>
      </w:r>
    </w:p>
    <w:p w14:paraId="1BFE6620">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评标委员会对投标人提交的澄清、说明或补正有疑问的，可以要求投标人进一步澄清、说明或补正，直至满足评标委员会的要求。</w:t>
      </w:r>
    </w:p>
    <w:p w14:paraId="1DC9F8C5">
      <w:pPr>
        <w:keepNext/>
        <w:keepLines/>
        <w:widowControl w:val="0"/>
        <w:spacing w:before="0" w:beforeLines="0" w:after="0" w:afterLines="0" w:line="360" w:lineRule="auto"/>
        <w:ind w:firstLine="422" w:firstLineChars="200"/>
        <w:jc w:val="both"/>
        <w:outlineLvl w:val="3"/>
        <w:rPr>
          <w:rFonts w:hint="eastAsia" w:ascii="宋体" w:hAnsi="宋体" w:eastAsia="宋体" w:cs="宋体"/>
          <w:b/>
          <w:bCs w:val="0"/>
          <w:color w:val="auto"/>
          <w:kern w:val="2"/>
          <w:sz w:val="21"/>
          <w:szCs w:val="21"/>
          <w:highlight w:val="none"/>
          <w:lang w:val="en-US" w:eastAsia="zh-CN" w:bidi="ar-SA"/>
        </w:rPr>
      </w:pPr>
      <w:bookmarkStart w:id="389" w:name="_Toc16874"/>
      <w:bookmarkStart w:id="390" w:name="_Toc301170463"/>
      <w:bookmarkStart w:id="391" w:name="_Toc152045608"/>
      <w:bookmarkStart w:id="392" w:name="_Toc25256"/>
      <w:bookmarkStart w:id="393" w:name="_Toc282"/>
      <w:bookmarkStart w:id="394" w:name="_Toc2813"/>
      <w:bookmarkStart w:id="395" w:name="_Toc5012"/>
      <w:bookmarkStart w:id="396" w:name="_Toc327875575"/>
      <w:bookmarkStart w:id="397" w:name="_Toc5131"/>
      <w:bookmarkStart w:id="398" w:name="_Toc17084"/>
      <w:bookmarkStart w:id="399" w:name="_Toc352312319"/>
      <w:bookmarkStart w:id="400" w:name="_Toc1295"/>
      <w:bookmarkStart w:id="401" w:name="_Toc301170928"/>
      <w:bookmarkStart w:id="402" w:name="_Toc144974576"/>
      <w:bookmarkStart w:id="403" w:name="_Toc383795265"/>
      <w:bookmarkStart w:id="404" w:name="_Toc30850"/>
      <w:bookmarkStart w:id="405" w:name="_Toc10685"/>
      <w:bookmarkStart w:id="406" w:name="_Toc32373"/>
      <w:bookmarkStart w:id="407" w:name="_Toc152042386"/>
      <w:bookmarkStart w:id="408" w:name="_Toc17857"/>
      <w:bookmarkStart w:id="409" w:name="_Toc14079"/>
      <w:bookmarkStart w:id="410" w:name="_Toc18291"/>
      <w:bookmarkStart w:id="411" w:name="_Toc24757"/>
      <w:bookmarkStart w:id="412" w:name="_Toc26616"/>
      <w:bookmarkStart w:id="413" w:name="_Toc10312"/>
      <w:bookmarkStart w:id="414" w:name="_Toc10208"/>
      <w:bookmarkStart w:id="415" w:name="_Toc24639"/>
      <w:r>
        <w:rPr>
          <w:rFonts w:hint="eastAsia" w:ascii="宋体" w:hAnsi="宋体" w:eastAsia="宋体" w:cs="宋体"/>
          <w:b/>
          <w:bCs w:val="0"/>
          <w:color w:val="auto"/>
          <w:kern w:val="2"/>
          <w:sz w:val="21"/>
          <w:szCs w:val="21"/>
          <w:highlight w:val="none"/>
          <w:lang w:val="en-US" w:eastAsia="zh-CN" w:bidi="ar-SA"/>
        </w:rPr>
        <w:t>3.4 评标结果</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6536E8F8">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评标委员会依据本章第2.2条评分标准进行评分，按评标办法前附表的约定计算投标人最终得分，根据得分由高到低的顺序推荐中标候选人。</w:t>
      </w:r>
    </w:p>
    <w:p w14:paraId="18DC38DA">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评标委员会完成评标后，应当向招标人提交书面评标报告。</w:t>
      </w:r>
    </w:p>
    <w:p w14:paraId="16A377CF">
      <w:pPr>
        <w:widowControl w:val="0"/>
        <w:autoSpaceDE w:val="0"/>
        <w:autoSpaceDN w:val="0"/>
        <w:adjustRightInd w:val="0"/>
        <w:spacing w:beforeLines="0" w:afterLines="0"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br w:type="page"/>
      </w:r>
    </w:p>
    <w:bookmarkEnd w:id="360"/>
    <w:bookmarkEnd w:id="361"/>
    <w:p w14:paraId="22859D46">
      <w:pPr>
        <w:keepNext w:val="0"/>
        <w:keepLines w:val="0"/>
        <w:pageBreakBefore w:val="0"/>
        <w:widowControl w:val="0"/>
        <w:kinsoku/>
        <w:wordWrap/>
        <w:overflowPunct/>
        <w:topLinePunct w:val="0"/>
        <w:autoSpaceDE w:val="0"/>
        <w:autoSpaceDN w:val="0"/>
        <w:bidi w:val="0"/>
        <w:adjustRightInd w:val="0"/>
        <w:snapToGrid/>
        <w:spacing w:before="0" w:beforeLines="0" w:after="0" w:afterLines="0" w:line="360" w:lineRule="auto"/>
        <w:jc w:val="center"/>
        <w:textAlignment w:val="auto"/>
        <w:outlineLvl w:val="1"/>
        <w:rPr>
          <w:rFonts w:hint="eastAsia" w:ascii="宋体" w:hAnsi="宋体" w:eastAsia="宋体" w:cs="宋体"/>
          <w:b/>
          <w:bCs/>
          <w:color w:val="auto"/>
          <w:kern w:val="2"/>
          <w:sz w:val="21"/>
          <w:szCs w:val="21"/>
          <w:highlight w:val="none"/>
          <w:lang w:val="en-US" w:eastAsia="zh-CN"/>
        </w:rPr>
      </w:pPr>
      <w:bookmarkStart w:id="416" w:name="_Toc17302"/>
      <w:bookmarkStart w:id="417" w:name="_Toc30218"/>
      <w:bookmarkStart w:id="418" w:name="_Toc8256"/>
      <w:r>
        <w:rPr>
          <w:rFonts w:hint="eastAsia" w:ascii="宋体" w:hAnsi="宋体" w:eastAsia="宋体" w:cs="宋体"/>
          <w:b/>
          <w:bCs/>
          <w:color w:val="auto"/>
          <w:kern w:val="2"/>
          <w:sz w:val="21"/>
          <w:szCs w:val="21"/>
          <w:highlight w:val="none"/>
          <w:lang w:val="en-US" w:eastAsia="zh-CN"/>
        </w:rPr>
        <w:t>二、</w:t>
      </w:r>
      <w:r>
        <w:rPr>
          <w:rFonts w:hint="eastAsia" w:ascii="宋体" w:hAnsi="宋体" w:eastAsia="宋体" w:cs="宋体"/>
          <w:b/>
          <w:color w:val="auto"/>
          <w:kern w:val="0"/>
          <w:sz w:val="21"/>
          <w:szCs w:val="21"/>
          <w:highlight w:val="none"/>
          <w:lang w:val="en-US" w:eastAsia="zh-CN"/>
        </w:rPr>
        <w:t>定</w:t>
      </w:r>
      <w:r>
        <w:rPr>
          <w:rFonts w:hint="eastAsia" w:ascii="宋体" w:hAnsi="宋体" w:eastAsia="宋体" w:cs="宋体"/>
          <w:b/>
          <w:color w:val="auto"/>
          <w:kern w:val="0"/>
          <w:sz w:val="21"/>
          <w:szCs w:val="21"/>
          <w:highlight w:val="none"/>
        </w:rPr>
        <w:t>标办法</w:t>
      </w:r>
      <w:r>
        <w:rPr>
          <w:rFonts w:hint="eastAsia" w:ascii="宋体" w:hAnsi="宋体" w:eastAsia="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lang w:val="en-US" w:eastAsia="zh-CN"/>
        </w:rPr>
        <w:t>核查随机法</w:t>
      </w:r>
      <w:r>
        <w:rPr>
          <w:rFonts w:hint="eastAsia" w:ascii="宋体" w:hAnsi="宋体" w:eastAsia="宋体" w:cs="宋体"/>
          <w:b/>
          <w:color w:val="auto"/>
          <w:kern w:val="0"/>
          <w:sz w:val="21"/>
          <w:szCs w:val="21"/>
          <w:highlight w:val="none"/>
          <w:lang w:eastAsia="zh-CN"/>
        </w:rPr>
        <w:t>）</w:t>
      </w:r>
      <w:bookmarkEnd w:id="416"/>
      <w:bookmarkEnd w:id="417"/>
      <w:bookmarkEnd w:id="418"/>
    </w:p>
    <w:p w14:paraId="2748C75F">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419" w:name="_Toc849"/>
      <w:bookmarkStart w:id="420" w:name="_Toc16679"/>
      <w:bookmarkStart w:id="421" w:name="_Toc23030"/>
      <w:bookmarkStart w:id="422" w:name="_Toc4957"/>
      <w:bookmarkStart w:id="423" w:name="_Toc7190"/>
      <w:bookmarkStart w:id="424" w:name="_Toc14023"/>
      <w:bookmarkStart w:id="425" w:name="_Toc5810"/>
      <w:bookmarkStart w:id="426" w:name="_Toc9250"/>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、定标依据</w:t>
      </w:r>
      <w:bookmarkEnd w:id="419"/>
      <w:bookmarkEnd w:id="420"/>
      <w:bookmarkEnd w:id="421"/>
      <w:bookmarkEnd w:id="422"/>
    </w:p>
    <w:p w14:paraId="5BA72A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bookmarkStart w:id="427" w:name="OLE_LINK41"/>
      <w:r>
        <w:rPr>
          <w:rFonts w:hint="eastAsia" w:ascii="宋体" w:hAnsi="宋体" w:eastAsia="宋体" w:cs="宋体"/>
          <w:color w:val="auto"/>
          <w:sz w:val="21"/>
          <w:szCs w:val="21"/>
          <w:highlight w:val="none"/>
        </w:rPr>
        <w:t>本次定标办法的制定依据下列文件进行：</w:t>
      </w:r>
    </w:p>
    <w:p w14:paraId="22B5ACE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42FE254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〔2024〕21号）；</w:t>
      </w:r>
    </w:p>
    <w:p w14:paraId="60FCEFA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〔2021〕23号）</w:t>
      </w:r>
      <w:r>
        <w:rPr>
          <w:rFonts w:hint="eastAsia" w:ascii="宋体" w:hAnsi="宋体" w:eastAsia="宋体" w:cs="宋体"/>
          <w:color w:val="auto"/>
          <w:sz w:val="21"/>
          <w:szCs w:val="21"/>
          <w:highlight w:val="none"/>
        </w:rPr>
        <w:t>；</w:t>
      </w:r>
    </w:p>
    <w:p w14:paraId="0448B6C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）〉的通知》</w:t>
      </w:r>
      <w:r>
        <w:rPr>
          <w:rFonts w:hint="eastAsia" w:ascii="宋体" w:hAnsi="宋体" w:eastAsia="宋体" w:cs="宋体"/>
          <w:color w:val="auto"/>
          <w:sz w:val="21"/>
          <w:szCs w:val="21"/>
          <w:highlight w:val="none"/>
        </w:rPr>
        <w:t>的通知；</w:t>
      </w:r>
    </w:p>
    <w:p w14:paraId="58674D4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3D4B3F1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7CBD9048">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7BE69D0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bookmarkEnd w:id="427"/>
    <w:p w14:paraId="445426C2">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428" w:name="_Toc29090"/>
      <w:bookmarkStart w:id="429" w:name="_Toc25258"/>
      <w:bookmarkStart w:id="430" w:name="_Toc28603"/>
      <w:bookmarkStart w:id="431" w:name="_Toc22184"/>
      <w:bookmarkStart w:id="432" w:name="_Toc14808"/>
      <w:bookmarkStart w:id="433" w:name="_Toc9674"/>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、定标原则</w:t>
      </w:r>
      <w:bookmarkEnd w:id="428"/>
      <w:bookmarkEnd w:id="429"/>
      <w:bookmarkEnd w:id="430"/>
      <w:bookmarkEnd w:id="431"/>
      <w:bookmarkEnd w:id="432"/>
      <w:bookmarkEnd w:id="433"/>
    </w:p>
    <w:p w14:paraId="0924E52F">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遵循公开透明、择优竞价、科学规范、廉洁高效的原则，通过</w:t>
      </w:r>
      <w:r>
        <w:rPr>
          <w:rFonts w:hint="eastAsia" w:ascii="宋体" w:hAnsi="宋体" w:eastAsia="宋体" w:cs="宋体"/>
          <w:b/>
          <w:bCs/>
          <w:color w:val="auto"/>
          <w:sz w:val="21"/>
          <w:szCs w:val="21"/>
          <w:highlight w:val="none"/>
        </w:rPr>
        <w:t>核查随机法</w:t>
      </w:r>
      <w:r>
        <w:rPr>
          <w:rFonts w:hint="eastAsia" w:ascii="宋体" w:hAnsi="宋体" w:eastAsia="宋体" w:cs="宋体"/>
          <w:color w:val="auto"/>
          <w:sz w:val="21"/>
          <w:szCs w:val="21"/>
          <w:highlight w:val="none"/>
        </w:rPr>
        <w:t>确定中标人。</w:t>
      </w:r>
    </w:p>
    <w:p w14:paraId="2A7273A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招标人应当在收到评标报告后10日内完成定标工作，定标过程包括核查、定标会议两个阶段。定标会议应当在公共资源交易平台按流程进行，不能按时完成定标工作的，应当通过公共资源交易平台发布延期原因和最终定标时间，最终定标时间不得超过投标有效期。公共资源交易平台应当对定标会议进行音视频记录，并存档备查。</w:t>
      </w:r>
      <w:r>
        <w:rPr>
          <w:rFonts w:hint="eastAsia" w:ascii="宋体" w:hAnsi="宋体" w:eastAsia="宋体" w:cs="宋体"/>
          <w:color w:val="auto"/>
          <w:sz w:val="21"/>
          <w:szCs w:val="21"/>
          <w:highlight w:val="none"/>
        </w:rPr>
        <w:t>定标地点为驻马店市公共资源交易中心。</w:t>
      </w:r>
      <w:bookmarkStart w:id="434" w:name="_Toc31048"/>
    </w:p>
    <w:p w14:paraId="78580197">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435" w:name="_Toc25602"/>
      <w:bookmarkStart w:id="436" w:name="_Toc16613"/>
      <w:bookmarkStart w:id="437" w:name="_Toc16772"/>
      <w:bookmarkStart w:id="438" w:name="_Toc7704"/>
      <w:bookmarkStart w:id="439" w:name="_Toc24063"/>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、定标方法</w:t>
      </w:r>
      <w:bookmarkEnd w:id="434"/>
      <w:bookmarkEnd w:id="435"/>
      <w:bookmarkEnd w:id="436"/>
      <w:bookmarkEnd w:id="437"/>
      <w:bookmarkEnd w:id="438"/>
      <w:bookmarkEnd w:id="439"/>
    </w:p>
    <w:p w14:paraId="76E08E22">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b w:val="0"/>
          <w:bCs w:val="0"/>
          <w:color w:val="auto"/>
          <w:sz w:val="21"/>
          <w:szCs w:val="21"/>
          <w:highlight w:val="none"/>
        </w:rPr>
      </w:pPr>
      <w:bookmarkStart w:id="440" w:name="OLE_LINK43"/>
      <w:r>
        <w:rPr>
          <w:rFonts w:hint="eastAsia" w:ascii="宋体" w:hAnsi="宋体" w:eastAsia="宋体" w:cs="宋体"/>
          <w:b w:val="0"/>
          <w:bCs w:val="0"/>
          <w:color w:val="auto"/>
          <w:sz w:val="21"/>
          <w:szCs w:val="21"/>
          <w:highlight w:val="none"/>
        </w:rPr>
        <w:t>本项目定标方法采用核查随机法进行定标。</w:t>
      </w:r>
    </w:p>
    <w:p w14:paraId="3744633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bookmarkEnd w:id="440"/>
    <w:p w14:paraId="092DCC8D">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441" w:name="_Toc23309"/>
      <w:bookmarkStart w:id="442" w:name="_Toc25938"/>
      <w:bookmarkStart w:id="443" w:name="_Toc12956"/>
      <w:bookmarkStart w:id="444" w:name="_Toc31431"/>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、定标委员会的组建</w:t>
      </w:r>
      <w:bookmarkEnd w:id="441"/>
      <w:bookmarkEnd w:id="442"/>
      <w:bookmarkEnd w:id="443"/>
      <w:bookmarkEnd w:id="444"/>
    </w:p>
    <w:p w14:paraId="1A745BD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由薄山水库运行中心组建，成员5人，其中中心4人，外邀市直水利系统专家1人。定标委员会组长由单位的法定代表人、主要负责人或分管负责人担任，其他成员由单位的领导班子成员、业务熟悉的管理人员、具有工程建设类中级及以上技术职称或注册执业资格的人员中产生。</w:t>
      </w:r>
    </w:p>
    <w:p w14:paraId="6B914C2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定标委员会成员客观、公正、独立地履行职责，遵守职业道德，对所提出的评审意见署名并承担个人责任，不得委托他人代替定标。</w:t>
      </w:r>
    </w:p>
    <w:p w14:paraId="4364856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有下列情况之一的，不得担任定标委员会成员：</w:t>
      </w:r>
    </w:p>
    <w:p w14:paraId="7CF8BFA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1.与中标候选人或中标候选人主要负责人有近亲属关系或有经济利益关系的，可能影响定标公正的；</w:t>
      </w:r>
    </w:p>
    <w:p w14:paraId="06679F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2.曾因在招标投标有关活动中从事违法行为而受过行政处罚或刑事处罚的；</w:t>
      </w:r>
    </w:p>
    <w:p w14:paraId="5A6C6DB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3.中标候选人的在职人员或招标项目代理机构的在职人员。</w:t>
      </w:r>
    </w:p>
    <w:p w14:paraId="6D3D7667">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445" w:name="_Toc9111"/>
      <w:bookmarkStart w:id="446" w:name="_Toc27202"/>
      <w:bookmarkStart w:id="447" w:name="_Toc26714"/>
      <w:bookmarkStart w:id="448" w:name="_Toc25727"/>
      <w:bookmarkStart w:id="449" w:name="_Toc2644"/>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、定标核查</w:t>
      </w:r>
      <w:bookmarkEnd w:id="445"/>
      <w:bookmarkEnd w:id="446"/>
      <w:bookmarkEnd w:id="447"/>
      <w:bookmarkEnd w:id="448"/>
      <w:bookmarkEnd w:id="449"/>
    </w:p>
    <w:p w14:paraId="6514F60B">
      <w:pPr>
        <w:keepNext w:val="0"/>
        <w:keepLines w:val="0"/>
        <w:pageBreakBefore w:val="0"/>
        <w:widowControl w:val="0"/>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Cs w:val="21"/>
          <w:highlight w:val="none"/>
        </w:rPr>
        <w:t>定标委员会将对中标候选人进行定标核查，并形成核查报告。核查内容包括：</w:t>
      </w:r>
    </w:p>
    <w:p w14:paraId="0EB441F4">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rPr>
        <w:t>（1）企业信用信息：①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②投标人市场主体被列入“信用中国-严重失信主体名单查询”、“信用河南-失信惩戒对象名单”的，均依法限制或禁止其参与本项目投标活动（提供自招标公告发布日之后网页查询截图，查询截图须显示查询时间）。③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④单位负责人为同一人或者存在控股、管理关系的不同单位，不得同时参加本项目投标（提供“国家企业信用信息公示系统”中完整的报告）。</w:t>
      </w:r>
    </w:p>
    <w:p w14:paraId="6B791ADA">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（2）营业执照、资质证书、安全生产许可证；</w:t>
      </w:r>
    </w:p>
    <w:p w14:paraId="61A3EC51">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（3）项目经理注册证书及安全生产考核合格证等项目组人员相关从业资格证书；</w:t>
      </w:r>
    </w:p>
    <w:p w14:paraId="6982199C">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（4）项目经理无在建情况；</w:t>
      </w:r>
    </w:p>
    <w:p w14:paraId="12CE2FED">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（5）相关人员社保证明；</w:t>
      </w:r>
    </w:p>
    <w:p w14:paraId="6102D3F4">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（6）财务状况；</w:t>
      </w:r>
    </w:p>
    <w:p w14:paraId="0A9E6E2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（7）招标人认为需要核查及核评的其他内容。</w:t>
      </w:r>
    </w:p>
    <w:p w14:paraId="0E901F1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.2 </w:t>
      </w:r>
      <w:r>
        <w:rPr>
          <w:rFonts w:hint="eastAsia" w:ascii="宋体" w:hAnsi="宋体" w:eastAsia="宋体" w:cs="宋体"/>
          <w:color w:val="auto"/>
          <w:szCs w:val="21"/>
          <w:highlight w:val="none"/>
        </w:rPr>
        <w:t>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本项目不采用考察或质询方式进行核查。</w:t>
      </w:r>
    </w:p>
    <w:p w14:paraId="5B9038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.3 </w:t>
      </w:r>
      <w:r>
        <w:rPr>
          <w:rFonts w:hint="eastAsia" w:ascii="宋体" w:hAnsi="宋体" w:eastAsia="宋体" w:cs="宋体"/>
          <w:color w:val="auto"/>
          <w:szCs w:val="21"/>
          <w:highlight w:val="none"/>
        </w:rPr>
        <w:t>核查内容不得设置不合理限制和隐性壁垒。招标文件中没有规定的核查标准和方法不得作为定标核查的依据，不得在定标过程中新增定标条件和要求。</w:t>
      </w:r>
    </w:p>
    <w:p w14:paraId="140B8777">
      <w:pPr>
        <w:keepNext w:val="0"/>
        <w:keepLines w:val="0"/>
        <w:pageBreakBefore w:val="0"/>
        <w:widowControl w:val="0"/>
        <w:kinsoku/>
        <w:wordWrap w:val="0"/>
        <w:overflowPunct/>
        <w:topLinePunct w:val="0"/>
        <w:bidi w:val="0"/>
        <w:snapToGrid/>
        <w:spacing w:beforeLines="0" w:afterLines="0" w:line="360" w:lineRule="auto"/>
        <w:ind w:firstLine="420" w:firstLineChars="20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.4 </w:t>
      </w:r>
      <w:r>
        <w:rPr>
          <w:rFonts w:hint="eastAsia" w:ascii="宋体" w:hAnsi="宋体" w:eastAsia="宋体" w:cs="宋体"/>
          <w:color w:val="auto"/>
          <w:szCs w:val="21"/>
          <w:highlight w:val="none"/>
        </w:rPr>
        <w:t>定标委员会经核查发现中标候选人确有弄虚作假、串通投标等情形的，应当否决相应中标候选人的中标资格，并及时向行政监督部门报告。</w:t>
      </w:r>
      <w:bookmarkStart w:id="450" w:name="_Toc5648"/>
      <w:bookmarkStart w:id="451" w:name="_Toc18790"/>
      <w:bookmarkStart w:id="452" w:name="_Toc11203"/>
      <w:bookmarkStart w:id="453" w:name="_Toc18959"/>
      <w:bookmarkStart w:id="454" w:name="_Toc23939"/>
      <w:bookmarkStart w:id="455" w:name="_Toc18001"/>
    </w:p>
    <w:p w14:paraId="3503A966">
      <w:pPr>
        <w:keepNext w:val="0"/>
        <w:keepLines w:val="0"/>
        <w:pageBreakBefore w:val="0"/>
        <w:widowControl w:val="0"/>
        <w:kinsoku/>
        <w:wordWrap w:val="0"/>
        <w:overflowPunct/>
        <w:topLinePunct w:val="0"/>
        <w:bidi w:val="0"/>
        <w:snapToGrid/>
        <w:spacing w:beforeLines="0" w:afterLines="0" w:line="360" w:lineRule="auto"/>
        <w:jc w:val="left"/>
        <w:textAlignment w:val="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、定标</w:t>
      </w:r>
      <w:bookmarkEnd w:id="450"/>
      <w:bookmarkEnd w:id="451"/>
      <w:bookmarkEnd w:id="452"/>
      <w:bookmarkEnd w:id="453"/>
      <w:bookmarkEnd w:id="454"/>
      <w:bookmarkEnd w:id="455"/>
      <w:r>
        <w:rPr>
          <w:rFonts w:hint="eastAsia" w:ascii="宋体" w:hAnsi="宋体" w:eastAsia="宋体" w:cs="宋体"/>
          <w:b/>
          <w:bCs/>
          <w:color w:val="auto"/>
          <w:sz w:val="21"/>
          <w:szCs w:val="21"/>
          <w:highlight w:val="none"/>
          <w:lang w:val="en-US" w:eastAsia="zh-CN"/>
        </w:rPr>
        <w:t>会议</w:t>
      </w:r>
    </w:p>
    <w:p w14:paraId="3662300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定标委员会将通过</w:t>
      </w:r>
      <w:r>
        <w:rPr>
          <w:rFonts w:hint="eastAsia" w:ascii="宋体" w:hAnsi="宋体" w:eastAsia="宋体" w:cs="宋体"/>
          <w:b/>
          <w:bCs/>
          <w:color w:val="auto"/>
          <w:kern w:val="2"/>
          <w:sz w:val="21"/>
          <w:szCs w:val="21"/>
          <w:highlight w:val="none"/>
          <w:lang w:val="en-US" w:eastAsia="zh-CN" w:bidi="ar-SA"/>
        </w:rPr>
        <w:t>核查随机法</w:t>
      </w:r>
      <w:r>
        <w:rPr>
          <w:rFonts w:hint="eastAsia" w:ascii="宋体" w:hAnsi="宋体" w:eastAsia="宋体" w:cs="宋体"/>
          <w:color w:val="auto"/>
          <w:kern w:val="2"/>
          <w:sz w:val="21"/>
          <w:szCs w:val="21"/>
          <w:highlight w:val="none"/>
          <w:lang w:val="en-US" w:eastAsia="zh-CN" w:bidi="ar-SA"/>
        </w:rPr>
        <w:t>进行定标。</w:t>
      </w:r>
    </w:p>
    <w:p w14:paraId="4A40356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会议地点为市公共资源交易平台，会议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2E3C76E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会议按以下程序进行:</w:t>
      </w:r>
    </w:p>
    <w:p w14:paraId="3ED956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1、在定标现场放置标注为“1”、“2”的2组自然数代码球。</w:t>
      </w:r>
    </w:p>
    <w:p w14:paraId="5FE07C8F">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54B9B48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3、第二轮随机确定抽取顺序：在抽取箱放入标有从1到N自然数的乒乓球（N为经评审合格的中标候选人数），由中标候选人抽取代码球，代码球上的数字对应为相应中标候选人。</w:t>
      </w:r>
    </w:p>
    <w:p w14:paraId="534DCC8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4、第三轮随机选取中标人：在抽取箱内放入N个代码球，定标委员会组长从中随机抽取1个代码球，抽中代码球对应的中标候选人即为中标人。</w:t>
      </w:r>
    </w:p>
    <w:p w14:paraId="24A3FA96">
      <w:pPr>
        <w:keepNext w:val="0"/>
        <w:keepLines w:val="0"/>
        <w:pageBreakBefore w:val="0"/>
        <w:widowControl w:val="0"/>
        <w:kinsoku/>
        <w:wordWrap w:val="0"/>
        <w:overflowPunct/>
        <w:topLinePunct w:val="0"/>
        <w:bidi w:val="0"/>
        <w:snapToGrid/>
        <w:spacing w:beforeLines="0" w:afterLines="0" w:line="360" w:lineRule="auto"/>
        <w:ind w:firstLine="420" w:firstLineChars="200"/>
        <w:jc w:val="left"/>
        <w:textAlignment w:val="auto"/>
        <w:outlineLvl w:val="2"/>
        <w:rPr>
          <w:rFonts w:hint="eastAsia" w:ascii="宋体" w:hAnsi="宋体" w:eastAsia="宋体" w:cs="宋体"/>
          <w:b/>
          <w:bCs/>
          <w:color w:val="auto"/>
          <w:sz w:val="21"/>
          <w:szCs w:val="21"/>
          <w:highlight w:val="none"/>
          <w:lang w:val="en-US" w:eastAsia="zh-CN"/>
        </w:rPr>
      </w:pPr>
      <w:r>
        <w:rPr>
          <w:rFonts w:hint="eastAsia" w:ascii="Calibri" w:hAnsi="宋体" w:eastAsia="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bookmarkStart w:id="456" w:name="_Toc23431"/>
      <w:bookmarkStart w:id="457" w:name="_Toc11373"/>
      <w:bookmarkStart w:id="458" w:name="_Toc14587"/>
      <w:bookmarkStart w:id="459" w:name="_Toc23497"/>
      <w:bookmarkStart w:id="460" w:name="_Toc16424"/>
      <w:bookmarkStart w:id="461" w:name="_Toc9183"/>
      <w:bookmarkStart w:id="462" w:name="_Toc23427"/>
      <w:bookmarkStart w:id="463" w:name="_Toc27971"/>
      <w:bookmarkStart w:id="464" w:name="_Toc21472"/>
    </w:p>
    <w:p w14:paraId="3687E3E9">
      <w:pPr>
        <w:keepNext w:val="0"/>
        <w:keepLines w:val="0"/>
        <w:pageBreakBefore w:val="0"/>
        <w:widowControl w:val="0"/>
        <w:kinsoku/>
        <w:wordWrap w:val="0"/>
        <w:overflowPunct/>
        <w:topLinePunct w:val="0"/>
        <w:bidi w:val="0"/>
        <w:snapToGrid/>
        <w:spacing w:beforeLines="0" w:afterLines="0" w:line="360" w:lineRule="auto"/>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、定标报告</w:t>
      </w:r>
      <w:bookmarkEnd w:id="456"/>
      <w:bookmarkEnd w:id="457"/>
      <w:bookmarkEnd w:id="458"/>
      <w:bookmarkEnd w:id="459"/>
      <w:bookmarkEnd w:id="460"/>
    </w:p>
    <w:p w14:paraId="53A5CB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定标委员会将按照招标文件中明确的定标原则、方法和程序，在中标候选人中确定中标人，并形成书面定标报告。</w:t>
      </w:r>
    </w:p>
    <w:p w14:paraId="209BE09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定标报告应当包括定标时间、定标地点、定标委员会成员名单、定标原则、定标方法、择优因素、定标程序及定标结果等内容。</w:t>
      </w:r>
    </w:p>
    <w:p w14:paraId="46C81D3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outlineLvl w:val="9"/>
        <w:rPr>
          <w:rFonts w:hint="eastAsia" w:ascii="宋体" w:hAnsi="宋体" w:eastAsia="宋体" w:cs="宋体"/>
          <w:b/>
          <w:bCs/>
          <w:color w:val="auto"/>
          <w:sz w:val="21"/>
          <w:szCs w:val="21"/>
          <w:highlight w:val="none"/>
          <w:lang w:val="en-US" w:eastAsia="zh-CN"/>
        </w:rPr>
      </w:pPr>
      <w:r>
        <w:rPr>
          <w:rFonts w:hint="eastAsia" w:ascii="Calibri" w:hAnsi="宋体" w:eastAsia="宋体" w:cs="宋体"/>
          <w:color w:val="auto"/>
          <w:sz w:val="21"/>
          <w:szCs w:val="21"/>
          <w:highlight w:val="none"/>
        </w:rPr>
        <w:t>招标人在定标工作完成后3日内发布中标结果公示，公示期不少于3日。中标结果公示应当载明定标时间、定标地点、定标方法、中标人名称、中标价格、质量、工期、资格条件、项目</w:t>
      </w:r>
      <w:r>
        <w:rPr>
          <w:rFonts w:hint="eastAsia" w:ascii="Calibri" w:hAnsi="宋体" w:eastAsia="宋体" w:cs="宋体"/>
          <w:color w:val="auto"/>
          <w:sz w:val="21"/>
          <w:szCs w:val="21"/>
          <w:highlight w:val="none"/>
          <w:lang w:val="en-US" w:eastAsia="zh-CN"/>
        </w:rPr>
        <w:t>经理</w:t>
      </w:r>
      <w:r>
        <w:rPr>
          <w:rFonts w:hint="eastAsia" w:ascii="Calibri" w:hAnsi="宋体" w:eastAsia="宋体" w:cs="宋体"/>
          <w:color w:val="auto"/>
          <w:sz w:val="21"/>
          <w:szCs w:val="21"/>
          <w:highlight w:val="none"/>
        </w:rPr>
        <w:t>信息，中标候选人的核查、考察、比较优势，核查未通过的中标候选人名单和原因，以及异议和投诉渠道等内容。对中标结果公示有异议的，应当在公示期内向招标人提出。</w:t>
      </w:r>
      <w:bookmarkStart w:id="465" w:name="_Toc4409"/>
      <w:bookmarkStart w:id="466" w:name="_Toc9685"/>
      <w:bookmarkStart w:id="467" w:name="_Toc15980"/>
    </w:p>
    <w:p w14:paraId="4B21D7B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、定标后结果处置</w:t>
      </w:r>
      <w:bookmarkEnd w:id="461"/>
      <w:bookmarkEnd w:id="462"/>
      <w:bookmarkEnd w:id="463"/>
      <w:bookmarkEnd w:id="464"/>
      <w:bookmarkEnd w:id="465"/>
      <w:bookmarkEnd w:id="466"/>
      <w:bookmarkEnd w:id="467"/>
    </w:p>
    <w:p w14:paraId="6A1AD2A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bookmarkStart w:id="468" w:name="OLE_LINK49"/>
      <w:r>
        <w:rPr>
          <w:rFonts w:hint="eastAsia" w:ascii="宋体" w:hAnsi="宋体" w:eastAsia="宋体" w:cs="宋体"/>
          <w:color w:val="auto"/>
          <w:sz w:val="21"/>
          <w:szCs w:val="21"/>
          <w:highlight w:val="none"/>
        </w:rPr>
        <w:t>（1）确定的中标人经公示后无异议，可以发放《中标通知书》。</w:t>
      </w:r>
    </w:p>
    <w:p w14:paraId="5CC6400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054C3DA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6D4C6C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（4）定标后有下列情形之一的，应当重新定标:</w:t>
      </w:r>
    </w:p>
    <w:p w14:paraId="755E236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(一)定标委员会未按定标办法公正履职的</w:t>
      </w:r>
      <w:r>
        <w:rPr>
          <w:rFonts w:hint="eastAsia" w:ascii="宋体" w:hAnsi="宋体" w:eastAsia="宋体" w:cs="宋体"/>
          <w:color w:val="auto"/>
          <w:sz w:val="21"/>
          <w:szCs w:val="21"/>
          <w:highlight w:val="none"/>
          <w:lang w:eastAsia="zh-CN"/>
        </w:rPr>
        <w:t>；</w:t>
      </w:r>
    </w:p>
    <w:p w14:paraId="72156FF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(二)定标委员会成员与中标候选人有利害关系且未回避的</w:t>
      </w:r>
      <w:r>
        <w:rPr>
          <w:rFonts w:hint="eastAsia" w:ascii="宋体" w:hAnsi="宋体" w:eastAsia="宋体" w:cs="宋体"/>
          <w:color w:val="auto"/>
          <w:sz w:val="21"/>
          <w:szCs w:val="21"/>
          <w:highlight w:val="none"/>
          <w:lang w:eastAsia="zh-CN"/>
        </w:rPr>
        <w:t>；</w:t>
      </w:r>
    </w:p>
    <w:p w14:paraId="207F197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(三)招标文件规定的其他情形。</w:t>
      </w:r>
    </w:p>
    <w:bookmarkEnd w:id="423"/>
    <w:bookmarkEnd w:id="424"/>
    <w:bookmarkEnd w:id="425"/>
    <w:bookmarkEnd w:id="426"/>
    <w:bookmarkEnd w:id="468"/>
    <w:p w14:paraId="272734A4">
      <w:pPr>
        <w:widowControl/>
        <w:spacing w:before="240" w:beforeLines="100" w:after="0"/>
        <w:ind w:right="102"/>
        <w:jc w:val="left"/>
        <w:outlineLvl w:val="9"/>
        <w:rPr>
          <w:rFonts w:hint="eastAsia" w:ascii="宋体" w:hAnsi="宋体" w:eastAsia="宋体" w:cs="宋体"/>
          <w:color w:val="auto"/>
          <w:szCs w:val="22"/>
          <w:highlight w:val="none"/>
        </w:rPr>
      </w:pPr>
      <w:bookmarkStart w:id="469" w:name="_Toc263175949"/>
      <w:bookmarkStart w:id="470" w:name="_Toc266859647"/>
      <w:bookmarkStart w:id="471" w:name="_Toc221950515"/>
      <w:r>
        <w:rPr>
          <w:rFonts w:hint="eastAsia" w:ascii="宋体" w:hAnsi="宋体" w:eastAsia="宋体" w:cs="宋体"/>
          <w:color w:val="auto"/>
          <w:szCs w:val="22"/>
          <w:highlight w:val="none"/>
        </w:rPr>
        <w:br w:type="page"/>
      </w:r>
    </w:p>
    <w:bookmarkEnd w:id="469"/>
    <w:bookmarkEnd w:id="470"/>
    <w:bookmarkEnd w:id="471"/>
    <w:p w14:paraId="05CBD0D4">
      <w:pPr>
        <w:widowControl/>
        <w:spacing w:before="0" w:beforeLines="0" w:after="0" w:line="360" w:lineRule="auto"/>
        <w:ind w:right="102" w:firstLine="2891" w:firstLineChars="900"/>
        <w:jc w:val="left"/>
        <w:outlineLvl w:val="0"/>
        <w:rPr>
          <w:rFonts w:hint="eastAsia" w:ascii="宋体" w:hAnsi="宋体" w:eastAsia="宋体" w:cs="宋体"/>
          <w:b/>
          <w:bCs/>
          <w:color w:val="auto"/>
          <w:sz w:val="32"/>
          <w:szCs w:val="32"/>
          <w:highlight w:val="none"/>
          <w:lang w:val="en-US" w:eastAsia="zh-CN"/>
        </w:rPr>
      </w:pPr>
      <w:bookmarkStart w:id="472" w:name="_Toc222032669"/>
      <w:bookmarkStart w:id="473" w:name="_Toc222031002"/>
      <w:bookmarkStart w:id="474" w:name="_Toc30216"/>
      <w:bookmarkStart w:id="475" w:name="_Toc222029500"/>
      <w:bookmarkStart w:id="476" w:name="_Toc168476127"/>
      <w:bookmarkStart w:id="477" w:name="_Toc9721"/>
      <w:bookmarkStart w:id="478" w:name="_Toc168475724"/>
      <w:bookmarkStart w:id="479" w:name="_Toc222033851"/>
      <w:bookmarkStart w:id="480" w:name="_Toc221950660"/>
      <w:bookmarkStart w:id="481" w:name="_Toc4872"/>
      <w:bookmarkStart w:id="482" w:name="_Toc144974577"/>
      <w:bookmarkStart w:id="483" w:name="_Toc229305360"/>
      <w:r>
        <w:rPr>
          <w:rFonts w:hint="eastAsia" w:ascii="宋体" w:hAnsi="宋体" w:eastAsia="宋体" w:cs="宋体"/>
          <w:b/>
          <w:bCs/>
          <w:color w:val="auto"/>
          <w:sz w:val="32"/>
          <w:szCs w:val="32"/>
          <w:highlight w:val="none"/>
          <w:lang w:val="en-US" w:eastAsia="zh-CN"/>
        </w:rPr>
        <w:t>第四章 合同条款及格式</w:t>
      </w:r>
      <w:bookmarkEnd w:id="472"/>
      <w:bookmarkEnd w:id="473"/>
      <w:bookmarkEnd w:id="474"/>
      <w:bookmarkEnd w:id="475"/>
      <w:bookmarkEnd w:id="476"/>
      <w:bookmarkEnd w:id="477"/>
      <w:bookmarkEnd w:id="478"/>
      <w:bookmarkEnd w:id="479"/>
      <w:bookmarkEnd w:id="480"/>
      <w:bookmarkEnd w:id="481"/>
      <w:bookmarkEnd w:id="482"/>
      <w:bookmarkEnd w:id="483"/>
    </w:p>
    <w:p w14:paraId="02B54D64">
      <w:pPr>
        <w:widowControl/>
        <w:numPr>
          <w:ilvl w:val="-1"/>
          <w:numId w:val="0"/>
        </w:numPr>
        <w:spacing w:beforeLines="0" w:line="360" w:lineRule="auto"/>
        <w:jc w:val="center"/>
        <w:rPr>
          <w:rFonts w:hint="eastAsia" w:ascii="Calibri" w:hAnsi="Calibri" w:eastAsia="宋体" w:cs="Times New Roman"/>
          <w:b/>
          <w:szCs w:val="21"/>
        </w:rPr>
      </w:pPr>
      <w:r>
        <w:rPr>
          <w:rFonts w:hint="eastAsia" w:ascii="宋体" w:hAnsi="宋体" w:eastAsia="宋体" w:cs="Times New Roman"/>
          <w:b/>
          <w:bCs w:val="0"/>
          <w:color w:val="auto"/>
          <w:sz w:val="21"/>
          <w:szCs w:val="21"/>
          <w:highlight w:val="none"/>
          <w:lang w:eastAsia="zh-CN"/>
        </w:rPr>
        <w:t>（</w:t>
      </w:r>
      <w:r>
        <w:rPr>
          <w:rFonts w:hint="eastAsia" w:ascii="宋体" w:hAnsi="宋体" w:eastAsia="宋体" w:cs="Times New Roman"/>
          <w:b/>
          <w:bCs w:val="0"/>
          <w:color w:val="auto"/>
          <w:sz w:val="21"/>
          <w:szCs w:val="21"/>
          <w:highlight w:val="none"/>
          <w:lang w:val="en-US" w:eastAsia="zh-CN"/>
        </w:rPr>
        <w:t>以实际合同签订为准</w:t>
      </w:r>
      <w:r>
        <w:rPr>
          <w:rFonts w:hint="eastAsia" w:ascii="宋体" w:hAnsi="宋体" w:eastAsia="宋体" w:cs="Times New Roman"/>
          <w:b/>
          <w:bCs w:val="0"/>
          <w:color w:val="auto"/>
          <w:sz w:val="21"/>
          <w:szCs w:val="21"/>
          <w:highlight w:val="none"/>
          <w:lang w:eastAsia="zh-CN"/>
        </w:rPr>
        <w:t>）</w:t>
      </w:r>
    </w:p>
    <w:p w14:paraId="777C65E1">
      <w:pPr>
        <w:widowControl w:val="0"/>
        <w:wordWrap w:val="0"/>
        <w:spacing w:before="0" w:after="0" w:line="360" w:lineRule="auto"/>
        <w:ind w:firstLine="3584" w:firstLineChars="1700"/>
        <w:jc w:val="left"/>
        <w:outlineLvl w:val="9"/>
        <w:rPr>
          <w:rFonts w:hint="eastAsia" w:ascii="宋体" w:hAnsi="宋体" w:eastAsia="宋体" w:cs="宋体"/>
          <w:b/>
          <w:bCs/>
          <w:color w:val="auto"/>
          <w:sz w:val="21"/>
          <w:szCs w:val="21"/>
          <w:highlight w:val="none"/>
        </w:rPr>
      </w:pPr>
      <w:bookmarkStart w:id="484" w:name="_Toc222031003"/>
      <w:bookmarkStart w:id="485" w:name="_Toc221948339"/>
      <w:bookmarkStart w:id="486" w:name="_Toc229305361"/>
      <w:bookmarkStart w:id="487" w:name="_Toc221950661"/>
      <w:bookmarkStart w:id="488" w:name="_Toc222032670"/>
      <w:bookmarkStart w:id="489" w:name="_Toc222029501"/>
      <w:bookmarkStart w:id="490" w:name="_Toc5282"/>
      <w:bookmarkStart w:id="491" w:name="_Toc222033852"/>
      <w:bookmarkStart w:id="492" w:name="_Toc19650"/>
      <w:r>
        <w:rPr>
          <w:rFonts w:hint="eastAsia" w:ascii="宋体" w:hAnsi="宋体" w:eastAsia="宋体" w:cs="宋体"/>
          <w:b/>
          <w:bCs/>
          <w:color w:val="auto"/>
          <w:sz w:val="21"/>
          <w:szCs w:val="21"/>
          <w:highlight w:val="none"/>
        </w:rPr>
        <w:t>第一节 通用合同条款</w:t>
      </w:r>
      <w:bookmarkEnd w:id="484"/>
      <w:bookmarkEnd w:id="485"/>
      <w:bookmarkEnd w:id="486"/>
      <w:bookmarkEnd w:id="487"/>
      <w:bookmarkEnd w:id="488"/>
      <w:bookmarkEnd w:id="489"/>
      <w:bookmarkEnd w:id="490"/>
      <w:bookmarkEnd w:id="491"/>
      <w:bookmarkEnd w:id="492"/>
    </w:p>
    <w:p w14:paraId="1F91EEE2">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493" w:name="_Toc10146"/>
      <w:bookmarkStart w:id="494" w:name="_Toc222031004"/>
      <w:bookmarkStart w:id="495" w:name="_Toc268299766"/>
      <w:bookmarkStart w:id="496" w:name="_Toc21317"/>
      <w:bookmarkStart w:id="497" w:name="_Toc427509410"/>
      <w:bookmarkStart w:id="498" w:name="_Toc427509910"/>
      <w:bookmarkStart w:id="499" w:name="_Toc222029502"/>
      <w:bookmarkStart w:id="500" w:name="_Toc222032671"/>
      <w:bookmarkStart w:id="501" w:name="_Toc3451192"/>
      <w:bookmarkStart w:id="502" w:name="_Toc222033853"/>
      <w:bookmarkStart w:id="503" w:name="_Toc267492114"/>
      <w:bookmarkStart w:id="504" w:name="_Toc23314"/>
      <w:bookmarkStart w:id="505" w:name="_Toc25012"/>
      <w:bookmarkStart w:id="506" w:name="_Toc2238"/>
      <w:bookmarkStart w:id="507" w:name="_Toc229305362"/>
      <w:bookmarkStart w:id="508" w:name="_Toc816"/>
      <w:bookmarkStart w:id="509" w:name="_Toc221950662"/>
      <w:bookmarkStart w:id="510" w:name="_Toc10376"/>
      <w:bookmarkStart w:id="511" w:name="_Toc24323"/>
      <w:bookmarkStart w:id="512" w:name="_Toc10099"/>
      <w:bookmarkStart w:id="513" w:name="_Toc8155"/>
      <w:bookmarkStart w:id="514" w:name="_Toc266859650"/>
      <w:bookmarkStart w:id="515" w:name="_Toc332378869"/>
      <w:bookmarkStart w:id="516" w:name="_Toc10711"/>
      <w:bookmarkStart w:id="517" w:name="_Toc26075"/>
      <w:bookmarkStart w:id="518" w:name="_Toc271870444"/>
      <w:bookmarkStart w:id="519" w:name="_Toc36069688"/>
      <w:r>
        <w:rPr>
          <w:rFonts w:hint="eastAsia" w:ascii="宋体" w:hAnsi="宋体" w:eastAsia="宋体" w:cs="宋体"/>
          <w:b/>
          <w:bCs/>
          <w:color w:val="auto"/>
          <w:sz w:val="21"/>
          <w:szCs w:val="21"/>
          <w:highlight w:val="none"/>
        </w:rPr>
        <w:t>1. 一般约定</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346F592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20" w:name="_Toc221950667"/>
      <w:r>
        <w:rPr>
          <w:rFonts w:hint="eastAsia" w:ascii="宋体" w:hAnsi="宋体" w:eastAsia="宋体" w:cs="宋体"/>
          <w:b/>
          <w:bCs/>
          <w:color w:val="auto"/>
          <w:sz w:val="21"/>
          <w:szCs w:val="21"/>
          <w:highlight w:val="none"/>
        </w:rPr>
        <w:t>1.1词语定义</w:t>
      </w:r>
    </w:p>
    <w:p w14:paraId="0FCC173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合同</w:t>
      </w:r>
    </w:p>
    <w:p w14:paraId="51E11BA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合同文件（或称合同）：指合同协议书、中标通知书、投标函及投标函附录、专用合同条款、通用合同条款、技术标准和要求、图纸、已标价工程量清单，以及其他合同文件。</w:t>
      </w:r>
    </w:p>
    <w:p w14:paraId="1FC1173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合同协议书：指第1.5款所指的合同协议书。</w:t>
      </w:r>
    </w:p>
    <w:p w14:paraId="7F56617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中标通知书：指发包人通知承包人中标的函件。</w:t>
      </w:r>
    </w:p>
    <w:p w14:paraId="06E5AC4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投标函：指构成合同文件组成部分的由承包人填写并签署的投标函。</w:t>
      </w:r>
    </w:p>
    <w:p w14:paraId="099F769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 投标函附录：指附在投标函后构成合同文件的投标函附录。</w:t>
      </w:r>
    </w:p>
    <w:p w14:paraId="5CED835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1.1.1.6 技术标准和要求：</w:t>
      </w:r>
      <w:bookmarkEnd w:id="520"/>
      <w:r>
        <w:rPr>
          <w:rFonts w:hint="eastAsia" w:ascii="宋体" w:hAnsi="宋体" w:eastAsia="宋体" w:cs="宋体"/>
          <w:color w:val="auto"/>
          <w:sz w:val="21"/>
          <w:szCs w:val="21"/>
          <w:highlight w:val="none"/>
        </w:rPr>
        <w:t>指构成合同文件组成部分的名为技术标准和要求（合同技术条款）的文件，包括合同双方当事人约定对其所作的修改或补充。</w:t>
      </w:r>
    </w:p>
    <w:p w14:paraId="200BF7F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bookmarkStart w:id="521" w:name="_Toc221950668"/>
      <w:r>
        <w:rPr>
          <w:rFonts w:hint="eastAsia" w:ascii="宋体" w:hAnsi="宋体" w:eastAsia="宋体" w:cs="宋体"/>
          <w:color w:val="auto"/>
          <w:sz w:val="21"/>
          <w:szCs w:val="21"/>
          <w:highlight w:val="none"/>
        </w:rPr>
        <w:t>1.1.1.7 图纸：指列入合同的招标图纸、投标图纸和发包人按合同约定向承包人提供的施工图纸和其他图纸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包括配套说明和有关资料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bookmarkEnd w:id="521"/>
      <w:r>
        <w:rPr>
          <w:rFonts w:hint="eastAsia" w:ascii="宋体" w:hAnsi="宋体" w:eastAsia="宋体" w:cs="宋体"/>
          <w:color w:val="auto"/>
          <w:sz w:val="21"/>
          <w:szCs w:val="21"/>
          <w:highlight w:val="none"/>
        </w:rPr>
        <w:t>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p>
    <w:p w14:paraId="0D1381A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bookmarkStart w:id="522" w:name="_Toc221950669"/>
      <w:r>
        <w:rPr>
          <w:rFonts w:hint="eastAsia" w:ascii="宋体" w:hAnsi="宋体" w:eastAsia="宋体" w:cs="宋体"/>
          <w:color w:val="auto"/>
          <w:sz w:val="21"/>
          <w:szCs w:val="21"/>
          <w:highlight w:val="none"/>
        </w:rPr>
        <w:t>1.1.2</w:t>
      </w:r>
      <w:bookmarkEnd w:id="522"/>
      <w:r>
        <w:rPr>
          <w:rFonts w:hint="eastAsia" w:ascii="宋体" w:hAnsi="宋体" w:eastAsia="宋体" w:cs="宋体"/>
          <w:color w:val="auto"/>
          <w:sz w:val="21"/>
          <w:szCs w:val="21"/>
          <w:highlight w:val="none"/>
        </w:rPr>
        <w:t xml:space="preserve"> 合同当事人和人员</w:t>
      </w:r>
    </w:p>
    <w:p w14:paraId="64CED80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1.1.2.1 合同当事人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指发包人和（或）承包人。</w:t>
      </w:r>
    </w:p>
    <w:p w14:paraId="33419BB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1.1.2.2 发包人：指专用合同条款中指明并与承包人在合同协议书中签字的当事人。</w:t>
      </w:r>
    </w:p>
    <w:p w14:paraId="0B7B44D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1.1.2.3 承包人：指专用合同条款中指明并与发包人在合同协议书中签字的当事人。</w:t>
      </w:r>
    </w:p>
    <w:p w14:paraId="124F49A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 承包人项目经理：指承包人派驻施工场地的全权负责人。</w:t>
      </w:r>
    </w:p>
    <w:p w14:paraId="4410142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分包人：指专用合同条款中指明的，从承包人处分包合同中某一部分工程，并与其签订分包合同的分包人。</w:t>
      </w:r>
    </w:p>
    <w:p w14:paraId="7032F4E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1.1.2.6 监理人：指在专用合同条款中指明的，受发包人委托对合同履行实施管理的法人或其他组织。</w:t>
      </w:r>
    </w:p>
    <w:p w14:paraId="3DB030F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1.1.2.7 总监理工程师（总监）：指由监理人委派常驻施工场地对合同履行实施管理的全权负责人。</w:t>
      </w:r>
    </w:p>
    <w:p w14:paraId="470D8CD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7830AED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1.1.3.1 工程：指永久工程和（或）临时工程。</w:t>
      </w:r>
    </w:p>
    <w:p w14:paraId="432EB73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1.1.3.2 永久工程：指按合同约定建造并移交给发包人的工程，包括工程设备。</w:t>
      </w:r>
    </w:p>
    <w:p w14:paraId="2183F57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1.1.3.3 临时工程：指为完成合同约定的永久工程所修建的各类临时性工程，不包括施工设备。</w:t>
      </w:r>
    </w:p>
    <w:p w14:paraId="605A391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1.1.3.4 单位工程：指专用合同条款中指明特定范围的永久工程。</w:t>
      </w:r>
    </w:p>
    <w:p w14:paraId="6993F58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1.1.3.5 工程设备：指构成或计划构成永久工程一部分的机电设备、金属结构设备、仪器装置及其他类似的设备和装置。</w:t>
      </w:r>
    </w:p>
    <w:p w14:paraId="1557EC2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1.1.3.6 施工设备：指为完成合同约定的各项工作所需的设备、器具和其他物品，不包括临时工程和材料。</w:t>
      </w:r>
    </w:p>
    <w:p w14:paraId="229EBFD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1.1.3.7 临时设施：指为完成合同约定的各项工作所服务的临时性生产和生活设施。</w:t>
      </w:r>
    </w:p>
    <w:p w14:paraId="1CF7FB6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1.1.3.8 承包人设备：指承包人自带的施工设备。</w:t>
      </w:r>
    </w:p>
    <w:p w14:paraId="0F9ACB2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1.1.3.9 施工场地（或称工地、现场）：指用于合同工程施工的场所，以及在合同中指定作为施工场地组成部分的其他场所，包括永久占地和临时占地。</w:t>
      </w:r>
    </w:p>
    <w:p w14:paraId="19AAE40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1.1.3.10 永久占地：指发包人为建设本合同工程永久征用的场地。</w:t>
      </w:r>
    </w:p>
    <w:p w14:paraId="12865FF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1.1.3.11 临时占地：指发包人为建设本合同工程临时征用，承包人在完工后须按合同要求退还的场地。</w:t>
      </w:r>
    </w:p>
    <w:p w14:paraId="21B18D7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日期</w:t>
      </w:r>
    </w:p>
    <w:p w14:paraId="66C3BF6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1.1.4.1 开工通知：指监理人按第11.1款通知承包人开工的函件。</w:t>
      </w:r>
    </w:p>
    <w:p w14:paraId="42CDB2F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1.1.4.2 开工日期：指监理人按第11.1款发出的开工通知中写明的开工日期。</w:t>
      </w:r>
    </w:p>
    <w:p w14:paraId="7DE15EB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1.1.4.3 工期：指承包人在投标函中承诺的完成合同工程所需的期限，包括按第11.3款、第11.4款和第11.6款约定所作的变更。</w:t>
      </w:r>
    </w:p>
    <w:p w14:paraId="5854694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1.1.4.4 </w:t>
      </w:r>
      <w:r>
        <w:rPr>
          <w:rFonts w:hint="eastAsia" w:ascii="宋体" w:hAnsi="宋体" w:eastAsia="宋体" w:cs="宋体"/>
          <w:color w:val="auto"/>
          <w:sz w:val="21"/>
          <w:szCs w:val="21"/>
          <w:highlight w:val="none"/>
        </w:rPr>
        <w:t>竣工日期：即合同工程完工日期，指第</w:t>
      </w:r>
      <w:r>
        <w:rPr>
          <w:rFonts w:hint="eastAsia" w:ascii="宋体" w:hAnsi="宋体" w:eastAsia="宋体" w:cs="宋体"/>
          <w:color w:val="auto"/>
          <w:kern w:val="0"/>
          <w:sz w:val="21"/>
          <w:szCs w:val="21"/>
          <w:highlight w:val="none"/>
        </w:rPr>
        <w:t>1.1.4.3</w:t>
      </w:r>
      <w:r>
        <w:rPr>
          <w:rFonts w:hint="eastAsia" w:ascii="宋体" w:hAnsi="宋体" w:eastAsia="宋体" w:cs="宋体"/>
          <w:color w:val="auto"/>
          <w:sz w:val="21"/>
          <w:szCs w:val="21"/>
          <w:highlight w:val="none"/>
        </w:rPr>
        <w:t>目约定工期届满时的日期。实际完工日期以合同工程完工证书中写明的日期为准。</w:t>
      </w:r>
    </w:p>
    <w:p w14:paraId="178B1AF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1.1.4.5 </w:t>
      </w:r>
      <w:r>
        <w:rPr>
          <w:rFonts w:hint="eastAsia" w:ascii="宋体" w:hAnsi="宋体" w:eastAsia="宋体" w:cs="宋体"/>
          <w:color w:val="auto"/>
          <w:sz w:val="21"/>
          <w:szCs w:val="21"/>
          <w:highlight w:val="none"/>
        </w:rPr>
        <w:t>缺陷责任期：即工程质量保修期，指履行第</w:t>
      </w:r>
      <w:r>
        <w:rPr>
          <w:rFonts w:hint="eastAsia" w:ascii="宋体" w:hAnsi="宋体" w:eastAsia="宋体" w:cs="宋体"/>
          <w:color w:val="auto"/>
          <w:kern w:val="0"/>
          <w:sz w:val="21"/>
          <w:szCs w:val="21"/>
          <w:highlight w:val="none"/>
        </w:rPr>
        <w:t>19.2</w:t>
      </w:r>
      <w:r>
        <w:rPr>
          <w:rFonts w:hint="eastAsia" w:ascii="宋体" w:hAnsi="宋体" w:eastAsia="宋体" w:cs="宋体"/>
          <w:color w:val="auto"/>
          <w:sz w:val="21"/>
          <w:szCs w:val="21"/>
          <w:highlight w:val="none"/>
        </w:rPr>
        <w:t>款约定的缺陷责任的期限，包括根据第</w:t>
      </w:r>
      <w:r>
        <w:rPr>
          <w:rFonts w:hint="eastAsia" w:ascii="宋体" w:hAnsi="宋体" w:eastAsia="宋体" w:cs="宋体"/>
          <w:color w:val="auto"/>
          <w:kern w:val="0"/>
          <w:sz w:val="21"/>
          <w:szCs w:val="21"/>
          <w:highlight w:val="none"/>
        </w:rPr>
        <w:t>19.3</w:t>
      </w:r>
      <w:r>
        <w:rPr>
          <w:rFonts w:hint="eastAsia" w:ascii="宋体" w:hAnsi="宋体" w:eastAsia="宋体" w:cs="宋体"/>
          <w:color w:val="auto"/>
          <w:sz w:val="21"/>
          <w:szCs w:val="21"/>
          <w:highlight w:val="none"/>
        </w:rPr>
        <w:t>款约定所作的延长，具体期限由专用合同条款约定。</w:t>
      </w:r>
    </w:p>
    <w:p w14:paraId="73034BC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1.1.4.6 基准日期：指投标截止时间前28天的日期。</w:t>
      </w:r>
    </w:p>
    <w:p w14:paraId="0D763FC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1.1.4.7 天：除特别指明外，指日历天。合同中按天计算时间的，开始当天不计入，从次日开始计算。期限最后一天的截止时间为当天24:00。</w:t>
      </w:r>
    </w:p>
    <w:p w14:paraId="55AF1A7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合同价格和费用</w:t>
      </w:r>
    </w:p>
    <w:p w14:paraId="1F2F264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1.1.5.1 签约合同价：指</w:t>
      </w:r>
      <w:r>
        <w:rPr>
          <w:rFonts w:hint="eastAsia" w:ascii="宋体" w:hAnsi="宋体" w:eastAsia="宋体" w:cs="宋体"/>
          <w:color w:val="auto"/>
          <w:sz w:val="21"/>
          <w:szCs w:val="21"/>
          <w:highlight w:val="none"/>
          <w:lang w:eastAsia="zh-CN"/>
        </w:rPr>
        <w:t>签订合同时</w:t>
      </w:r>
      <w:r>
        <w:rPr>
          <w:rFonts w:hint="eastAsia" w:ascii="宋体" w:hAnsi="宋体" w:eastAsia="宋体" w:cs="宋体"/>
          <w:color w:val="auto"/>
          <w:sz w:val="21"/>
          <w:szCs w:val="21"/>
          <w:highlight w:val="none"/>
        </w:rPr>
        <w:t>合同协议书中写明的，包括了暂列金额、暂估价的合同总金额。</w:t>
      </w:r>
    </w:p>
    <w:p w14:paraId="45442DA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1.1.5.2 合同价格：指承包人按合同约定完成了包括缺陷责任期内的全部承包工作后，发包人应付给承包人的金额，包括在履行合同过程中按合同约定进行的变更和调整。</w:t>
      </w:r>
    </w:p>
    <w:p w14:paraId="7E6D979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1.1.5.3 费用：指为履行合同所发生的或将要发生的所有合理开支，包括管理费和应分摊的其他费用，但不包括利润。</w:t>
      </w:r>
    </w:p>
    <w:p w14:paraId="722EF8C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1.1.5.4 暂列金额：指已标价工程量清单中所列的暂列金额，用于在签订协议书时尚未确定或不可预见变更的施工及其所需材料、工程设备、服务等的金额，包括以计日工方式支付的金额。</w:t>
      </w:r>
    </w:p>
    <w:p w14:paraId="3AF015F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1.1.5.5 暂估价：指发包人在工程量清单中给定的用于支付必然发生但暂时不能确定价格的材料、设备以及专业工程的金额。</w:t>
      </w:r>
    </w:p>
    <w:p w14:paraId="53C513E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1.1.5.6 计日工：指对零星工作采取的一种计价方式，按合同中的计日工子目及其单价计价付款。</w:t>
      </w:r>
    </w:p>
    <w:p w14:paraId="562D68E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1.1.5.7 质量保证金（或称保留金）：指按第17.4.1项约定用于保证在缺陷责任期内履行缺陷修复义务的金额。</w:t>
      </w:r>
    </w:p>
    <w:p w14:paraId="507CD86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其他</w:t>
      </w:r>
    </w:p>
    <w:p w14:paraId="20C94D1F">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bookmarkStart w:id="523" w:name="_Toc36069689"/>
      <w:bookmarkStart w:id="524" w:name="_Toc271870445"/>
      <w:bookmarkStart w:id="525" w:name="_Toc14309"/>
      <w:bookmarkStart w:id="526" w:name="_Toc4207"/>
      <w:bookmarkStart w:id="527" w:name="_Toc17099"/>
      <w:bookmarkStart w:id="528" w:name="_Toc427509411"/>
      <w:bookmarkStart w:id="529" w:name="_Toc403835056"/>
      <w:bookmarkStart w:id="530" w:name="_Toc3451193"/>
      <w:bookmarkStart w:id="531" w:name="_Toc332378870"/>
      <w:bookmarkStart w:id="532" w:name="_Toc268299767"/>
      <w:bookmarkStart w:id="533" w:name="_Toc427509911"/>
      <w:bookmarkStart w:id="534" w:name="_Toc24587"/>
      <w:bookmarkStart w:id="535" w:name="_Toc15105"/>
      <w:bookmarkStart w:id="536" w:name="_Toc11048"/>
      <w:bookmarkStart w:id="537" w:name="_Toc12531"/>
      <w:r>
        <w:rPr>
          <w:rFonts w:hint="eastAsia" w:ascii="宋体" w:hAnsi="宋体" w:eastAsia="宋体" w:cs="宋体"/>
          <w:color w:val="auto"/>
          <w:sz w:val="21"/>
          <w:szCs w:val="21"/>
          <w:highlight w:val="none"/>
        </w:rPr>
        <w:t>1.1.6.1 书面形式：指合同文件、信函、电报、传真等可以有形地表现所载内容的形式。</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107B09D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38" w:name="_Toc186623676"/>
      <w:bookmarkStart w:id="539" w:name="_Toc186623363"/>
      <w:r>
        <w:rPr>
          <w:rFonts w:hint="eastAsia" w:ascii="宋体" w:hAnsi="宋体" w:eastAsia="宋体" w:cs="宋体"/>
          <w:b/>
          <w:bCs/>
          <w:color w:val="auto"/>
          <w:sz w:val="21"/>
          <w:szCs w:val="21"/>
          <w:highlight w:val="none"/>
        </w:rPr>
        <w:t>1.2 语言文字</w:t>
      </w:r>
      <w:bookmarkEnd w:id="538"/>
      <w:bookmarkEnd w:id="539"/>
    </w:p>
    <w:p w14:paraId="0CA8E085">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除专用术语外，合同使用的语言文字为中文。必要时专用术语应附有中文注释</w:t>
      </w:r>
      <w:r>
        <w:rPr>
          <w:rFonts w:hint="eastAsia" w:ascii="宋体" w:hAnsi="宋体" w:eastAsia="宋体" w:cs="宋体"/>
          <w:color w:val="auto"/>
          <w:kern w:val="0"/>
          <w:sz w:val="21"/>
          <w:szCs w:val="21"/>
          <w:highlight w:val="none"/>
        </w:rPr>
        <w:t>。</w:t>
      </w:r>
    </w:p>
    <w:p w14:paraId="3C0EE9C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40" w:name="_Toc186623364"/>
      <w:bookmarkStart w:id="541" w:name="_Toc186623677"/>
      <w:r>
        <w:rPr>
          <w:rFonts w:hint="eastAsia" w:ascii="宋体" w:hAnsi="宋体" w:eastAsia="宋体" w:cs="宋体"/>
          <w:b/>
          <w:bCs/>
          <w:color w:val="auto"/>
          <w:sz w:val="21"/>
          <w:szCs w:val="21"/>
          <w:highlight w:val="none"/>
        </w:rPr>
        <w:t>1.3 法律</w:t>
      </w:r>
      <w:bookmarkEnd w:id="540"/>
      <w:bookmarkEnd w:id="541"/>
    </w:p>
    <w:p w14:paraId="63E280E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适用于合同的法律包括中华人民共和国法律、行政法规、部门规章，以及工程所在地的地方法规、自治条例、单行条例和地方政府规章。</w:t>
      </w:r>
    </w:p>
    <w:p w14:paraId="409E5C22">
      <w:pPr>
        <w:keepNext w:val="0"/>
        <w:keepLines w:val="0"/>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bookmarkStart w:id="542" w:name="_Toc186623365"/>
      <w:bookmarkStart w:id="543" w:name="_Toc186623678"/>
      <w:r>
        <w:rPr>
          <w:rFonts w:hint="eastAsia" w:ascii="宋体" w:hAnsi="宋体" w:eastAsia="宋体" w:cs="宋体"/>
          <w:color w:val="auto"/>
          <w:sz w:val="21"/>
          <w:szCs w:val="21"/>
          <w:highlight w:val="none"/>
        </w:rPr>
        <w:t>1.4 合同文件的优先顺序</w:t>
      </w:r>
      <w:bookmarkEnd w:id="542"/>
      <w:bookmarkEnd w:id="543"/>
    </w:p>
    <w:p w14:paraId="5146F0A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组成合同的各项文件应互相解释，互为说明。除专用合同条款另有约定外，解释合同文件的优先顺序如下：</w:t>
      </w:r>
    </w:p>
    <w:p w14:paraId="4DAEEF2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（1）合同协议书；</w:t>
      </w:r>
    </w:p>
    <w:p w14:paraId="6600BE6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（2）中标通知书；</w:t>
      </w:r>
    </w:p>
    <w:p w14:paraId="6DBD99B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（3）投标函及投标函附录；</w:t>
      </w:r>
    </w:p>
    <w:p w14:paraId="089607D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（4）专用合同条款；</w:t>
      </w:r>
    </w:p>
    <w:p w14:paraId="6E67C83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（5）通用合同条款；</w:t>
      </w:r>
    </w:p>
    <w:p w14:paraId="7B25FE2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（6）技术标准和要求；</w:t>
      </w:r>
    </w:p>
    <w:p w14:paraId="6E746C3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（7）图纸；</w:t>
      </w:r>
    </w:p>
    <w:p w14:paraId="550748E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（8）已标价工程量清单；</w:t>
      </w:r>
    </w:p>
    <w:p w14:paraId="37EA577E">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（9）其他合同文件。</w:t>
      </w:r>
    </w:p>
    <w:p w14:paraId="304E1AC0">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44" w:name="_Toc186623679"/>
      <w:bookmarkStart w:id="545" w:name="_Toc186623366"/>
      <w:r>
        <w:rPr>
          <w:rFonts w:hint="eastAsia" w:ascii="宋体" w:hAnsi="宋体" w:eastAsia="宋体" w:cs="宋体"/>
          <w:b/>
          <w:bCs/>
          <w:color w:val="auto"/>
          <w:sz w:val="21"/>
          <w:szCs w:val="21"/>
          <w:highlight w:val="none"/>
        </w:rPr>
        <w:t>1.5 合同协议书</w:t>
      </w:r>
      <w:bookmarkEnd w:id="544"/>
      <w:bookmarkEnd w:id="545"/>
    </w:p>
    <w:p w14:paraId="5748978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5AD0CA7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46" w:name="_Toc221950693"/>
      <w:r>
        <w:rPr>
          <w:rFonts w:hint="eastAsia" w:ascii="宋体" w:hAnsi="宋体" w:eastAsia="宋体" w:cs="宋体"/>
          <w:b/>
          <w:bCs/>
          <w:color w:val="auto"/>
          <w:sz w:val="21"/>
          <w:szCs w:val="21"/>
          <w:highlight w:val="none"/>
        </w:rPr>
        <w:t>1.6 图纸和承包人文件</w:t>
      </w:r>
    </w:p>
    <w:p w14:paraId="48952DD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w:t>
      </w:r>
      <w:bookmarkEnd w:id="546"/>
      <w:bookmarkStart w:id="547" w:name="_Toc221950694"/>
      <w:r>
        <w:rPr>
          <w:rFonts w:hint="eastAsia" w:ascii="宋体" w:hAnsi="宋体" w:eastAsia="宋体" w:cs="宋体"/>
          <w:color w:val="auto"/>
          <w:sz w:val="21"/>
          <w:szCs w:val="21"/>
          <w:highlight w:val="none"/>
        </w:rPr>
        <w:t xml:space="preserve"> 图纸的提供</w:t>
      </w:r>
    </w:p>
    <w:bookmarkEnd w:id="547"/>
    <w:p w14:paraId="189DC0E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发包人应按技术标准和要求（合同技术条款）约定的期限和数量将施工图纸以及其它图纸（包括配套说明和有关资料）提供给承包人。由于发包人未按时提供图纸造成工期延误的，按第11.3款的约定办理。</w:t>
      </w:r>
    </w:p>
    <w:p w14:paraId="38AC8CFC">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548" w:name="_Toc221950695"/>
      <w:r>
        <w:rPr>
          <w:rFonts w:hint="eastAsia" w:ascii="宋体" w:hAnsi="宋体" w:eastAsia="宋体" w:cs="宋体"/>
          <w:color w:val="auto"/>
          <w:sz w:val="21"/>
          <w:szCs w:val="21"/>
          <w:highlight w:val="none"/>
        </w:rPr>
        <w:t>1.6.2</w:t>
      </w:r>
      <w:bookmarkEnd w:id="548"/>
      <w:r>
        <w:rPr>
          <w:rFonts w:hint="eastAsia" w:ascii="宋体" w:hAnsi="宋体" w:eastAsia="宋体" w:cs="宋体"/>
          <w:color w:val="auto"/>
          <w:sz w:val="21"/>
          <w:szCs w:val="21"/>
          <w:highlight w:val="none"/>
        </w:rPr>
        <w:t xml:space="preserve"> 承包人提供的文件</w:t>
      </w:r>
    </w:p>
    <w:p w14:paraId="0D46284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承包人提供的文件应按技术标准和要求（合同技术条款）约定的期限和数量提供给监理人。监理人应按技术标准和要求（合同技术条款）约定的期限批复承包人。</w:t>
      </w:r>
    </w:p>
    <w:p w14:paraId="1246A40D">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549" w:name="_Toc221950697"/>
      <w:r>
        <w:rPr>
          <w:rFonts w:hint="eastAsia" w:ascii="宋体" w:hAnsi="宋体" w:eastAsia="宋体" w:cs="宋体"/>
          <w:color w:val="auto"/>
          <w:sz w:val="21"/>
          <w:szCs w:val="21"/>
          <w:highlight w:val="none"/>
        </w:rPr>
        <w:t>1.6.3</w:t>
      </w:r>
      <w:bookmarkEnd w:id="549"/>
      <w:bookmarkStart w:id="550" w:name="_Toc221950698"/>
      <w:r>
        <w:rPr>
          <w:rFonts w:hint="eastAsia" w:ascii="宋体" w:hAnsi="宋体" w:eastAsia="宋体" w:cs="宋体"/>
          <w:color w:val="auto"/>
          <w:sz w:val="21"/>
          <w:szCs w:val="21"/>
          <w:highlight w:val="none"/>
        </w:rPr>
        <w:t xml:space="preserve"> 图纸的修改</w:t>
      </w:r>
    </w:p>
    <w:bookmarkEnd w:id="550"/>
    <w:p w14:paraId="73BEBFC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71A81D9E">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551" w:name="_Toc221950701"/>
      <w:r>
        <w:rPr>
          <w:rFonts w:hint="eastAsia" w:ascii="宋体" w:hAnsi="宋体" w:eastAsia="宋体" w:cs="宋体"/>
          <w:color w:val="auto"/>
          <w:sz w:val="21"/>
          <w:szCs w:val="21"/>
          <w:highlight w:val="none"/>
        </w:rPr>
        <w:t>1.6.4 图纸的错误</w:t>
      </w:r>
    </w:p>
    <w:p w14:paraId="4045C53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承包人发现发包人提供的图纸存在明显错误或疏忽，应及时通知监理人。</w:t>
      </w:r>
    </w:p>
    <w:p w14:paraId="7931A6E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 图纸和承包人文件的保管</w:t>
      </w:r>
    </w:p>
    <w:p w14:paraId="1FE6DB6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监理人和承包人均应在施工场地各保存一套完整的包含第1.6.1项、第1.6.2项、第1.6.3项约定内容的图纸和承包人文件。</w:t>
      </w:r>
    </w:p>
    <w:p w14:paraId="7CE29F5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 联络</w:t>
      </w:r>
    </w:p>
    <w:p w14:paraId="5E77BF7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与合同有关的通知、批准、证明、证书、指示、要求、请求、同意、意见、确定和决定等，均应采用书面形式。</w:t>
      </w:r>
    </w:p>
    <w:p w14:paraId="4A2C212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 来往函件，均应在合同约定的期限内送达指定地点和接收人，并办理签收手续。来往函件的送达期限在技术标准和要求（合同技术条款）中约定，送达地点在专用合同条款中约定。</w:t>
      </w:r>
    </w:p>
    <w:p w14:paraId="2B5AC22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 来往函件均应按合同约定的期限及时发出和答复，不得无故</w:t>
      </w:r>
      <w:r>
        <w:rPr>
          <w:rFonts w:hint="eastAsia" w:ascii="宋体" w:hAnsi="宋体" w:eastAsia="宋体" w:cs="宋体"/>
          <w:color w:val="auto"/>
          <w:sz w:val="21"/>
          <w:szCs w:val="21"/>
          <w:highlight w:val="none"/>
          <w:lang w:eastAsia="zh-CN"/>
        </w:rPr>
        <w:t>扣押</w:t>
      </w:r>
      <w:r>
        <w:rPr>
          <w:rFonts w:hint="eastAsia" w:ascii="宋体" w:hAnsi="宋体" w:eastAsia="宋体" w:cs="宋体"/>
          <w:color w:val="auto"/>
          <w:sz w:val="21"/>
          <w:szCs w:val="21"/>
          <w:highlight w:val="none"/>
        </w:rPr>
        <w:t>和拖延，亦不得无故拒收。否则，由此造成的后果由责任方负责。</w:t>
      </w:r>
      <w:bookmarkEnd w:id="551"/>
    </w:p>
    <w:p w14:paraId="23E455F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52" w:name="_Toc186623369"/>
      <w:bookmarkStart w:id="553" w:name="_Toc186623682"/>
      <w:r>
        <w:rPr>
          <w:rFonts w:hint="eastAsia" w:ascii="宋体" w:hAnsi="宋体" w:eastAsia="宋体" w:cs="宋体"/>
          <w:b/>
          <w:bCs/>
          <w:color w:val="auto"/>
          <w:sz w:val="21"/>
          <w:szCs w:val="21"/>
          <w:highlight w:val="none"/>
        </w:rPr>
        <w:t>1.8 转让</w:t>
      </w:r>
      <w:bookmarkEnd w:id="552"/>
      <w:bookmarkEnd w:id="553"/>
    </w:p>
    <w:p w14:paraId="65056D8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除合同另有约定外，未经对方当事人同意，一方当事人不得将合同权利全部或部分转让给第三人，也不得全部或部分转移合同义务。</w:t>
      </w:r>
    </w:p>
    <w:p w14:paraId="1E7FC4B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54" w:name="_Toc186623370"/>
      <w:bookmarkStart w:id="555" w:name="_Toc186623683"/>
      <w:r>
        <w:rPr>
          <w:rFonts w:hint="eastAsia" w:ascii="宋体" w:hAnsi="宋体" w:eastAsia="宋体" w:cs="宋体"/>
          <w:b/>
          <w:bCs/>
          <w:color w:val="auto"/>
          <w:sz w:val="21"/>
          <w:szCs w:val="21"/>
          <w:highlight w:val="none"/>
        </w:rPr>
        <w:t>1.9 严禁贿赂</w:t>
      </w:r>
      <w:bookmarkEnd w:id="554"/>
      <w:bookmarkEnd w:id="555"/>
    </w:p>
    <w:p w14:paraId="30C2C89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合同双方当事人不得以贿赂或变相贿赂的方式，谋取不当利益或损害对方权益。因贿赂造成对方损失的，行为人应赔偿损失，并承担相应的法律责任。</w:t>
      </w:r>
    </w:p>
    <w:p w14:paraId="0E24DB76">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56" w:name="_Toc186623684"/>
      <w:bookmarkStart w:id="557" w:name="_Toc186623371"/>
      <w:r>
        <w:rPr>
          <w:rFonts w:hint="eastAsia" w:ascii="宋体" w:hAnsi="宋体" w:eastAsia="宋体" w:cs="宋体"/>
          <w:b/>
          <w:bCs/>
          <w:color w:val="auto"/>
          <w:sz w:val="21"/>
          <w:szCs w:val="21"/>
          <w:highlight w:val="none"/>
        </w:rPr>
        <w:t>1.10 化石、文物</w:t>
      </w:r>
      <w:bookmarkEnd w:id="556"/>
      <w:bookmarkEnd w:id="557"/>
    </w:p>
    <w:p w14:paraId="24460DB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74A1A02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承包人发现文物后不及时报告或隐瞒不报，致使文物丢失或损坏的，应赔偿损失，并承担相应的法律责任。</w:t>
      </w:r>
    </w:p>
    <w:p w14:paraId="0747010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1.11 专利技术</w:t>
      </w:r>
    </w:p>
    <w:p w14:paraId="633144C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bookmarkStart w:id="558" w:name="_Toc221950710"/>
      <w:r>
        <w:rPr>
          <w:rFonts w:hint="eastAsia" w:ascii="宋体" w:hAnsi="宋体" w:eastAsia="宋体" w:cs="宋体"/>
          <w:color w:val="auto"/>
          <w:sz w:val="21"/>
          <w:szCs w:val="21"/>
          <w:highlight w:val="none"/>
        </w:rPr>
        <w:t>1.11.1 承包人在使用任何材料、承包人设备、工程设备或采用施工工艺时，因侵犯专利权或其他知识产权所引起的责任，由承包人承担，但由于遵照发包人提供的设计或技术标准和要求引起的除外。</w:t>
      </w:r>
    </w:p>
    <w:p w14:paraId="294A282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承包人在投标文件中采用专利技术的，专利技术的使用费包含在投标报价内。</w:t>
      </w:r>
    </w:p>
    <w:p w14:paraId="560C0C7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承包人的技术秘密和声明需要保密的资料和信息，发包人和监理人不得为合同以外的目的泄露给他人。</w:t>
      </w:r>
    </w:p>
    <w:p w14:paraId="2815376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w:t>
      </w:r>
      <w:bookmarkEnd w:id="558"/>
      <w:r>
        <w:rPr>
          <w:rFonts w:hint="eastAsia" w:ascii="宋体" w:hAnsi="宋体" w:eastAsia="宋体" w:cs="宋体"/>
          <w:color w:val="auto"/>
          <w:sz w:val="21"/>
          <w:szCs w:val="21"/>
          <w:highlight w:val="none"/>
        </w:rPr>
        <w:t xml:space="preserve"> 合同实施过程中，发包人要求承包人采用专利技术的，发包人应办理相应的使用手续，承包人应按发包人约定的条件使用，并承担使用专利技术的相关试验工作，所需费用由发包人承担。</w:t>
      </w:r>
    </w:p>
    <w:p w14:paraId="26DD8885">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559" w:name="_Toc17616"/>
      <w:bookmarkStart w:id="560" w:name="_Toc221950713"/>
      <w:bookmarkStart w:id="561" w:name="_Toc30352"/>
      <w:bookmarkStart w:id="562" w:name="_Toc36069690"/>
      <w:bookmarkStart w:id="563" w:name="_Toc14304"/>
      <w:bookmarkStart w:id="564" w:name="_Toc222029503"/>
      <w:bookmarkStart w:id="565" w:name="_Toc427509912"/>
      <w:bookmarkStart w:id="566" w:name="_Toc222032672"/>
      <w:bookmarkStart w:id="567" w:name="_Toc3840"/>
      <w:bookmarkStart w:id="568" w:name="_Toc20388"/>
      <w:bookmarkStart w:id="569" w:name="_Toc332378871"/>
      <w:bookmarkStart w:id="570" w:name="_Toc267492115"/>
      <w:bookmarkStart w:id="571" w:name="_Toc3451194"/>
      <w:bookmarkStart w:id="572" w:name="_Toc7259"/>
      <w:bookmarkStart w:id="573" w:name="_Toc5279"/>
      <w:bookmarkStart w:id="574" w:name="_Toc222031005"/>
      <w:bookmarkStart w:id="575" w:name="_Toc19261"/>
      <w:bookmarkStart w:id="576" w:name="_Toc271870446"/>
      <w:bookmarkStart w:id="577" w:name="_Toc266859651"/>
      <w:bookmarkStart w:id="578" w:name="_Toc11112"/>
      <w:bookmarkStart w:id="579" w:name="_Toc14557"/>
      <w:bookmarkStart w:id="580" w:name="_Toc427509412"/>
      <w:bookmarkStart w:id="581" w:name="_Toc229305363"/>
      <w:bookmarkStart w:id="582" w:name="_Toc222033854"/>
      <w:bookmarkStart w:id="583" w:name="_Toc11670"/>
      <w:bookmarkStart w:id="584" w:name="_Toc4529"/>
      <w:bookmarkStart w:id="585" w:name="_Toc268299768"/>
      <w:bookmarkStart w:id="586" w:name="_Toc222033866"/>
      <w:bookmarkStart w:id="587" w:name="_Toc229305375"/>
      <w:bookmarkStart w:id="588" w:name="_Toc222032684"/>
      <w:bookmarkStart w:id="589" w:name="_Toc222031017"/>
      <w:bookmarkStart w:id="590" w:name="_Toc222029515"/>
      <w:bookmarkStart w:id="591" w:name="_Toc221950917"/>
      <w:r>
        <w:rPr>
          <w:rFonts w:hint="eastAsia" w:ascii="宋体" w:hAnsi="宋体" w:eastAsia="宋体" w:cs="宋体"/>
          <w:b/>
          <w:bCs/>
          <w:color w:val="auto"/>
          <w:sz w:val="21"/>
          <w:szCs w:val="21"/>
          <w:highlight w:val="none"/>
        </w:rPr>
        <w:t>2. 发包人义务</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21F3DEA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92" w:name="_Toc186623375"/>
      <w:bookmarkStart w:id="593" w:name="_Toc186623688"/>
      <w:bookmarkStart w:id="594" w:name="_Toc221950720"/>
      <w:r>
        <w:rPr>
          <w:rFonts w:hint="eastAsia" w:ascii="宋体" w:hAnsi="宋体" w:eastAsia="宋体" w:cs="宋体"/>
          <w:b/>
          <w:bCs/>
          <w:color w:val="auto"/>
          <w:sz w:val="21"/>
          <w:szCs w:val="21"/>
          <w:highlight w:val="none"/>
        </w:rPr>
        <w:t>2.1 遵守法律</w:t>
      </w:r>
      <w:bookmarkEnd w:id="592"/>
      <w:bookmarkEnd w:id="593"/>
    </w:p>
    <w:p w14:paraId="3F86BB8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发包人在履行合同过程中应遵守法律，并保证承包人免于承担因发包人违反法律而引起的任何责任。</w:t>
      </w:r>
    </w:p>
    <w:p w14:paraId="6340651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95" w:name="_Toc186623689"/>
      <w:bookmarkStart w:id="596" w:name="_Toc186623376"/>
      <w:r>
        <w:rPr>
          <w:rFonts w:hint="eastAsia" w:ascii="宋体" w:hAnsi="宋体" w:eastAsia="宋体" w:cs="宋体"/>
          <w:b/>
          <w:bCs/>
          <w:color w:val="auto"/>
          <w:sz w:val="21"/>
          <w:szCs w:val="21"/>
          <w:highlight w:val="none"/>
        </w:rPr>
        <w:t>2.2 发出开工通知</w:t>
      </w:r>
      <w:bookmarkEnd w:id="595"/>
      <w:bookmarkEnd w:id="596"/>
    </w:p>
    <w:p w14:paraId="6E3FA98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发包人应委托监理人按第11.1款的约定向承包人发出开工通知。</w:t>
      </w:r>
    </w:p>
    <w:p w14:paraId="0BE2DFE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 提供施工场地</w:t>
      </w:r>
    </w:p>
    <w:p w14:paraId="3093CDE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发包人应在合同双方</w:t>
      </w:r>
      <w:r>
        <w:rPr>
          <w:rFonts w:hint="eastAsia" w:ascii="宋体" w:hAnsi="宋体" w:eastAsia="宋体" w:cs="宋体"/>
          <w:color w:val="auto"/>
          <w:sz w:val="21"/>
          <w:szCs w:val="21"/>
          <w:highlight w:val="none"/>
          <w:lang w:eastAsia="zh-CN"/>
        </w:rPr>
        <w:t>签订合同</w:t>
      </w:r>
      <w:r>
        <w:rPr>
          <w:rFonts w:hint="eastAsia" w:ascii="宋体" w:hAnsi="宋体" w:eastAsia="宋体" w:cs="宋体"/>
          <w:color w:val="auto"/>
          <w:sz w:val="21"/>
          <w:szCs w:val="21"/>
          <w:highlight w:val="none"/>
        </w:rPr>
        <w:t>协议书后的14天内，将本合同工程的施工用地范围图提交给承包人。发包人提供的施工用地范围图应标明用地范围内永久占地与临时占地的范围和界限，以及指明提供给承包人用于施工场地布置的范围和界限及其有关资料</w:t>
      </w:r>
      <w:bookmarkEnd w:id="594"/>
      <w:r>
        <w:rPr>
          <w:rFonts w:hint="eastAsia" w:ascii="宋体" w:hAnsi="宋体" w:eastAsia="宋体" w:cs="宋体"/>
          <w:color w:val="auto"/>
          <w:sz w:val="21"/>
          <w:szCs w:val="21"/>
          <w:highlight w:val="none"/>
        </w:rPr>
        <w:t>。</w:t>
      </w:r>
    </w:p>
    <w:p w14:paraId="639F4D9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发包人提供的施工用地范围在专用合同条款中约定。</w:t>
      </w:r>
    </w:p>
    <w:p w14:paraId="62BB1ED9">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597" w:name="_Toc221950721"/>
      <w:r>
        <w:rPr>
          <w:rFonts w:hint="eastAsia" w:ascii="宋体" w:hAnsi="宋体" w:eastAsia="宋体" w:cs="宋体"/>
          <w:color w:val="auto"/>
          <w:sz w:val="21"/>
          <w:szCs w:val="21"/>
          <w:highlight w:val="none"/>
        </w:rPr>
        <w:t>2.3.3 除专用合同条款另有约定外，发包人应按技术标准和要求（合同技术条款）的约定，向承包人提供施工场地内的工程地质图纸和报告，以及地下障碍物图纸等施工场地有关资料，并保证资料的真实、准确、完整。</w:t>
      </w:r>
      <w:bookmarkEnd w:id="597"/>
    </w:p>
    <w:p w14:paraId="04DFD04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598" w:name="_Toc186623378"/>
      <w:bookmarkStart w:id="599" w:name="_Toc186623691"/>
      <w:r>
        <w:rPr>
          <w:rFonts w:hint="eastAsia" w:ascii="宋体" w:hAnsi="宋体" w:eastAsia="宋体" w:cs="宋体"/>
          <w:b/>
          <w:bCs/>
          <w:color w:val="auto"/>
          <w:sz w:val="21"/>
          <w:szCs w:val="21"/>
          <w:highlight w:val="none"/>
        </w:rPr>
        <w:t>2.4 协助承包人办理证件和批件</w:t>
      </w:r>
      <w:bookmarkEnd w:id="598"/>
      <w:bookmarkEnd w:id="599"/>
    </w:p>
    <w:p w14:paraId="6D1E6A3D">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发包人应协助承包人办理法律规定的有关施工证件和批件。</w:t>
      </w:r>
    </w:p>
    <w:p w14:paraId="328E48B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00" w:name="_Toc186623692"/>
      <w:bookmarkStart w:id="601" w:name="_Toc186623379"/>
      <w:r>
        <w:rPr>
          <w:rFonts w:hint="eastAsia" w:ascii="宋体" w:hAnsi="宋体" w:eastAsia="宋体" w:cs="宋体"/>
          <w:b/>
          <w:bCs/>
          <w:color w:val="auto"/>
          <w:sz w:val="21"/>
          <w:szCs w:val="21"/>
          <w:highlight w:val="none"/>
        </w:rPr>
        <w:t>2.5 组织设计交底</w:t>
      </w:r>
      <w:bookmarkEnd w:id="600"/>
      <w:bookmarkEnd w:id="601"/>
    </w:p>
    <w:p w14:paraId="4C5D58C2">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发包人应根据合同进度计划，组织设计单位向承包人进行设计交底。</w:t>
      </w:r>
    </w:p>
    <w:p w14:paraId="1445A0B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02" w:name="_Toc186623693"/>
      <w:bookmarkStart w:id="603" w:name="_Toc186623380"/>
      <w:r>
        <w:rPr>
          <w:rFonts w:hint="eastAsia" w:ascii="宋体" w:hAnsi="宋体" w:eastAsia="宋体" w:cs="宋体"/>
          <w:b/>
          <w:bCs/>
          <w:color w:val="auto"/>
          <w:sz w:val="21"/>
          <w:szCs w:val="21"/>
          <w:highlight w:val="none"/>
        </w:rPr>
        <w:t>2.6 支付合同价款</w:t>
      </w:r>
      <w:bookmarkEnd w:id="602"/>
      <w:bookmarkEnd w:id="603"/>
    </w:p>
    <w:p w14:paraId="67971A9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发包人应按合同约定向承包人及时支付合同价款。</w:t>
      </w:r>
    </w:p>
    <w:p w14:paraId="3C03CF5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2.7 组织竣工验收（组织法人验收）</w:t>
      </w:r>
    </w:p>
    <w:p w14:paraId="2DE8796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发包人应按合同约定及时组织法人验收。</w:t>
      </w:r>
    </w:p>
    <w:p w14:paraId="711BB87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2.8 其它义务</w:t>
      </w:r>
    </w:p>
    <w:p w14:paraId="085C897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其它义务在专用合同条款中补充约定。</w:t>
      </w:r>
    </w:p>
    <w:p w14:paraId="3AA15885">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604" w:name="_Toc266859652"/>
      <w:bookmarkStart w:id="605" w:name="_Toc14316"/>
      <w:bookmarkStart w:id="606" w:name="_Toc8412"/>
      <w:bookmarkStart w:id="607" w:name="_Toc268299769"/>
      <w:bookmarkStart w:id="608" w:name="_Toc20567"/>
      <w:bookmarkStart w:id="609" w:name="_Toc22047"/>
      <w:bookmarkStart w:id="610" w:name="_Toc3064"/>
      <w:bookmarkStart w:id="611" w:name="_Toc222032673"/>
      <w:bookmarkStart w:id="612" w:name="_Toc271870447"/>
      <w:bookmarkStart w:id="613" w:name="_Toc30668"/>
      <w:bookmarkStart w:id="614" w:name="_Toc229305364"/>
      <w:bookmarkStart w:id="615" w:name="_Toc427509913"/>
      <w:bookmarkStart w:id="616" w:name="_Toc36069691"/>
      <w:bookmarkStart w:id="617" w:name="_Toc5996"/>
      <w:bookmarkStart w:id="618" w:name="_Toc221950732"/>
      <w:bookmarkStart w:id="619" w:name="_Toc222033855"/>
      <w:bookmarkStart w:id="620" w:name="_Toc22740"/>
      <w:bookmarkStart w:id="621" w:name="_Toc14165"/>
      <w:bookmarkStart w:id="622" w:name="_Toc222031006"/>
      <w:bookmarkStart w:id="623" w:name="_Toc3474"/>
      <w:bookmarkStart w:id="624" w:name="_Toc4670"/>
      <w:bookmarkStart w:id="625" w:name="_Toc222029504"/>
      <w:bookmarkStart w:id="626" w:name="_Toc332378872"/>
      <w:bookmarkStart w:id="627" w:name="_Toc12355"/>
      <w:bookmarkStart w:id="628" w:name="_Toc3451195"/>
      <w:bookmarkStart w:id="629" w:name="_Toc427509413"/>
      <w:bookmarkStart w:id="630" w:name="_Toc267492116"/>
      <w:r>
        <w:rPr>
          <w:rFonts w:hint="eastAsia" w:ascii="宋体" w:hAnsi="宋体" w:eastAsia="宋体" w:cs="宋体"/>
          <w:b/>
          <w:bCs/>
          <w:color w:val="auto"/>
          <w:sz w:val="21"/>
          <w:szCs w:val="21"/>
          <w:highlight w:val="none"/>
        </w:rPr>
        <w:t>3. 监理人</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14:paraId="09C6DBB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31" w:name="_Toc221950735"/>
      <w:r>
        <w:rPr>
          <w:rFonts w:hint="eastAsia" w:ascii="宋体" w:hAnsi="宋体" w:eastAsia="宋体" w:cs="宋体"/>
          <w:b/>
          <w:bCs/>
          <w:color w:val="auto"/>
          <w:sz w:val="21"/>
          <w:szCs w:val="21"/>
          <w:highlight w:val="none"/>
        </w:rPr>
        <w:t>3.1 监理人的职责和权利</w:t>
      </w:r>
    </w:p>
    <w:p w14:paraId="2A9D933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bookmarkEnd w:id="631"/>
    </w:p>
    <w:p w14:paraId="5BCFF74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bookmarkStart w:id="632" w:name="_Toc222033856"/>
      <w:bookmarkStart w:id="633" w:name="_Toc222029505"/>
      <w:bookmarkStart w:id="634" w:name="_Toc222031007"/>
      <w:bookmarkStart w:id="635" w:name="_Toc222032674"/>
      <w:bookmarkStart w:id="636" w:name="_Toc229305365"/>
      <w:bookmarkStart w:id="637" w:name="_Toc221950744"/>
      <w:r>
        <w:rPr>
          <w:rFonts w:hint="eastAsia" w:ascii="宋体" w:hAnsi="宋体" w:eastAsia="宋体" w:cs="宋体"/>
          <w:color w:val="auto"/>
          <w:sz w:val="21"/>
          <w:szCs w:val="21"/>
          <w:highlight w:val="none"/>
        </w:rPr>
        <w:t>3.1.2 监理人发出的任何指示应视为已得到发包人的批准，但监理人无权免除或变更合同约定的发包人和承包人的权利、义务和责任。</w:t>
      </w:r>
    </w:p>
    <w:p w14:paraId="245CB3F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合同约定应由承包人承担的义务和责任，不因监理人对承包人提交文件的审查或批准，对工程、材料和设备的检查和检验，以及为实施监理作出的指示等职务行为而减轻或解除。</w:t>
      </w:r>
    </w:p>
    <w:p w14:paraId="659628F1">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38" w:name="_Toc186623698"/>
      <w:bookmarkStart w:id="639" w:name="_Toc186623385"/>
      <w:r>
        <w:rPr>
          <w:rFonts w:hint="eastAsia" w:ascii="宋体" w:hAnsi="宋体" w:eastAsia="宋体" w:cs="宋体"/>
          <w:b/>
          <w:bCs/>
          <w:color w:val="auto"/>
          <w:sz w:val="21"/>
          <w:szCs w:val="21"/>
          <w:highlight w:val="none"/>
        </w:rPr>
        <w:t>3.2 总监理工程师</w:t>
      </w:r>
      <w:bookmarkEnd w:id="638"/>
      <w:bookmarkEnd w:id="639"/>
    </w:p>
    <w:p w14:paraId="0B4BBA8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2E48E9E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40" w:name="_Toc186623386"/>
      <w:bookmarkStart w:id="641" w:name="_Toc186623699"/>
      <w:r>
        <w:rPr>
          <w:rFonts w:hint="eastAsia" w:ascii="宋体" w:hAnsi="宋体" w:eastAsia="宋体" w:cs="宋体"/>
          <w:b/>
          <w:bCs/>
          <w:color w:val="auto"/>
          <w:sz w:val="21"/>
          <w:szCs w:val="21"/>
          <w:highlight w:val="none"/>
        </w:rPr>
        <w:t>3.3 监理人员</w:t>
      </w:r>
      <w:bookmarkEnd w:id="640"/>
      <w:bookmarkEnd w:id="641"/>
    </w:p>
    <w:p w14:paraId="7B68B99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1DF1C21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监理人员对承包人的任何工作、工程或其采用的材料和工程设备未在约定的或合理的期限内提出否定意见的，视为已获批准，但不影响监理人在以后拒绝该项工作、工程、材料或工程设备的权利。</w:t>
      </w:r>
    </w:p>
    <w:p w14:paraId="7A396C7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承包人对总监理工程师授权的监理人员发出的指示有疑问的，可向总监理工程师提出书面异议，总监理工程师应在48小时内对该指示予以确认、更改或撤销。</w:t>
      </w:r>
    </w:p>
    <w:p w14:paraId="06E75E1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3.3.4 除专用合同条款另有约定外，总监理工程师不应将第3.5款约定应由总监理工程师作出确定的权力授权或委托给其他监理人员。</w:t>
      </w:r>
    </w:p>
    <w:p w14:paraId="61502D71">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42" w:name="_Toc186623387"/>
      <w:bookmarkStart w:id="643" w:name="_Toc186623700"/>
      <w:r>
        <w:rPr>
          <w:rFonts w:hint="eastAsia" w:ascii="宋体" w:hAnsi="宋体" w:eastAsia="宋体" w:cs="宋体"/>
          <w:b/>
          <w:bCs/>
          <w:color w:val="auto"/>
          <w:sz w:val="21"/>
          <w:szCs w:val="21"/>
          <w:highlight w:val="none"/>
        </w:rPr>
        <w:t>3.4 监理人的指示</w:t>
      </w:r>
      <w:bookmarkEnd w:id="642"/>
      <w:bookmarkEnd w:id="643"/>
    </w:p>
    <w:p w14:paraId="442BB8F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监理人应按第3.1款的约定向承包人发出指示，监理人的指示应盖有监理人授权的施工场地机构章，并由总监理工程师或总监理工程师按第3.3.1项约定授权的监理人员签字。</w:t>
      </w:r>
    </w:p>
    <w:p w14:paraId="53B9BDD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承包人收到监理人按第3.4.1项作出的指示后应遵照执行。指示构成变更的，应按第15条处理。</w:t>
      </w:r>
    </w:p>
    <w:p w14:paraId="5514C8C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0C657AA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除合同另有约定外，承包人只从总监理工程师或按第3.3.1项被授权的监理人员处取得指示。</w:t>
      </w:r>
    </w:p>
    <w:p w14:paraId="3173238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3.4.5 由于监理人未能按合同约定发出指示、指示延误或指示错误而导致承包人费用增加和（或）工期延误的，由发包人承担赔偿责任。</w:t>
      </w:r>
    </w:p>
    <w:p w14:paraId="090EAF4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44" w:name="_Toc186623388"/>
      <w:bookmarkStart w:id="645" w:name="_Toc186623701"/>
      <w:r>
        <w:rPr>
          <w:rFonts w:hint="eastAsia" w:ascii="宋体" w:hAnsi="宋体" w:eastAsia="宋体" w:cs="宋体"/>
          <w:b/>
          <w:bCs/>
          <w:color w:val="auto"/>
          <w:sz w:val="21"/>
          <w:szCs w:val="21"/>
          <w:highlight w:val="none"/>
        </w:rPr>
        <w:t>3.5 商定或确定</w:t>
      </w:r>
      <w:bookmarkEnd w:id="644"/>
      <w:bookmarkEnd w:id="645"/>
    </w:p>
    <w:p w14:paraId="73C33B8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 合同约定总监理工程师应按照本款对任何事项进行商定或确定时，总监理工程师应与合同当事人协商，尽量达成一致。不能达成一致的，总监理工程师应认真研究后审慎确定。</w:t>
      </w:r>
    </w:p>
    <w:p w14:paraId="1FE50FE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6F0C0850">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646" w:name="_Toc266859653"/>
      <w:bookmarkStart w:id="647" w:name="_Toc9246"/>
      <w:bookmarkStart w:id="648" w:name="_Toc10551"/>
      <w:bookmarkStart w:id="649" w:name="_Toc20681"/>
      <w:bookmarkStart w:id="650" w:name="_Toc427509914"/>
      <w:bookmarkStart w:id="651" w:name="_Toc2999"/>
      <w:bookmarkStart w:id="652" w:name="_Toc21462"/>
      <w:bookmarkStart w:id="653" w:name="_Toc271870448"/>
      <w:bookmarkStart w:id="654" w:name="_Toc36069692"/>
      <w:bookmarkStart w:id="655" w:name="_Toc3451196"/>
      <w:bookmarkStart w:id="656" w:name="_Toc26901"/>
      <w:bookmarkStart w:id="657" w:name="_Toc6216"/>
      <w:bookmarkStart w:id="658" w:name="_Toc21482"/>
      <w:bookmarkStart w:id="659" w:name="_Toc18078"/>
      <w:bookmarkStart w:id="660" w:name="_Toc427509414"/>
      <w:bookmarkStart w:id="661" w:name="_Toc268299770"/>
      <w:bookmarkStart w:id="662" w:name="_Toc267492117"/>
      <w:bookmarkStart w:id="663" w:name="_Toc24969"/>
      <w:bookmarkStart w:id="664" w:name="_Toc332378873"/>
      <w:bookmarkStart w:id="665" w:name="_Toc30886"/>
      <w:bookmarkStart w:id="666" w:name="_Toc20832"/>
      <w:r>
        <w:rPr>
          <w:rFonts w:hint="eastAsia" w:ascii="宋体" w:hAnsi="宋体" w:eastAsia="宋体" w:cs="宋体"/>
          <w:b/>
          <w:bCs/>
          <w:color w:val="auto"/>
          <w:sz w:val="21"/>
          <w:szCs w:val="21"/>
          <w:highlight w:val="none"/>
        </w:rPr>
        <w:t>4. 承包人</w:t>
      </w:r>
      <w:bookmarkEnd w:id="632"/>
      <w:bookmarkEnd w:id="633"/>
      <w:bookmarkEnd w:id="634"/>
      <w:bookmarkEnd w:id="635"/>
      <w:bookmarkEnd w:id="636"/>
      <w:bookmarkEnd w:id="637"/>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03957163">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67" w:name="_Toc221950747"/>
      <w:r>
        <w:rPr>
          <w:rFonts w:hint="eastAsia" w:ascii="宋体" w:hAnsi="宋体" w:eastAsia="宋体" w:cs="宋体"/>
          <w:b/>
          <w:bCs/>
          <w:color w:val="auto"/>
          <w:sz w:val="21"/>
          <w:szCs w:val="21"/>
          <w:highlight w:val="none"/>
        </w:rPr>
        <w:t>4.1 承包人的一般义务</w:t>
      </w:r>
    </w:p>
    <w:bookmarkEnd w:id="667"/>
    <w:p w14:paraId="7BEF717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遵守法律</w:t>
      </w:r>
    </w:p>
    <w:p w14:paraId="1E3473C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承包人在履行合同过程中应遵守法律，并保证发包人免于承担因承包人违反法律而引起的任何责任。</w:t>
      </w:r>
    </w:p>
    <w:p w14:paraId="71D02BA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依法纳税</w:t>
      </w:r>
    </w:p>
    <w:p w14:paraId="021EDB1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承包人应按有关法律规定纳税，应缴纳的税金包括在合同价格内。</w:t>
      </w:r>
    </w:p>
    <w:p w14:paraId="3352BD5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 完成各项承包工作</w:t>
      </w:r>
    </w:p>
    <w:p w14:paraId="466178C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承包人应按合同约定以及监理人根据第3.4款作出的指示，实施、完成全部工程，并修补工程中的任何缺陷。除第5.2款、第6.2款另有约定外，承包人应提供为完成合同工作所需的劳务、材料、施工设备、工程设备</w:t>
      </w:r>
      <w:r>
        <w:rPr>
          <w:rFonts w:hint="eastAsia" w:ascii="宋体" w:hAnsi="宋体" w:eastAsia="宋体" w:cs="宋体"/>
          <w:color w:val="auto"/>
          <w:sz w:val="21"/>
          <w:szCs w:val="21"/>
          <w:highlight w:val="none"/>
          <w:lang w:eastAsia="zh-CN"/>
        </w:rPr>
        <w:t>和其他物品</w:t>
      </w:r>
      <w:r>
        <w:rPr>
          <w:rFonts w:hint="eastAsia" w:ascii="宋体" w:hAnsi="宋体" w:eastAsia="宋体" w:cs="宋体"/>
          <w:color w:val="auto"/>
          <w:sz w:val="21"/>
          <w:szCs w:val="21"/>
          <w:highlight w:val="none"/>
        </w:rPr>
        <w:t>，并按合同约定负责临时设施的设计、建造、运行、维护、管理和拆除。</w:t>
      </w:r>
    </w:p>
    <w:p w14:paraId="0A619ED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4.1.4 对施工作业和施工方法的完备性负责</w:t>
      </w:r>
    </w:p>
    <w:p w14:paraId="7518B3A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承包人应按合同约定的工作内容和施工进度要求，编制施工组织设计和施工措施计划，并对所有施工作业和施工方法的完备性和安全可靠性负责。</w:t>
      </w:r>
    </w:p>
    <w:p w14:paraId="71C93FB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 保证工程施工和人员的安全</w:t>
      </w:r>
    </w:p>
    <w:p w14:paraId="2EC9B89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承包人应按第9.2款约定采取施工安全措施，确保工程及其人员、材料、设备和设施的安全，防止因工程施工造成的人身伤害和财产损失。</w:t>
      </w:r>
    </w:p>
    <w:p w14:paraId="14CEA04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4.1.6 负责施工场地及其周边环境与生态的保护工作</w:t>
      </w:r>
    </w:p>
    <w:p w14:paraId="06FF14C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承包人应按照第9.4款约定负责施工场地及其周边环境与生态的保护工作。</w:t>
      </w:r>
    </w:p>
    <w:p w14:paraId="17DEA65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4.1.7 避免施工对公众与他人的利益造成损害</w:t>
      </w:r>
    </w:p>
    <w:p w14:paraId="55A3B65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793AC3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4.1.8 为他人提供方便</w:t>
      </w:r>
    </w:p>
    <w:p w14:paraId="1CD3A16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承包人应按监理人的指示为他人在施工场地或附近实施与工程有关的其他各项工作提供可能的条件。除合同另有约定外，提供有关条件的内容和可能发生的费用，由监理人按第3.5款商定或确定。</w:t>
      </w:r>
    </w:p>
    <w:p w14:paraId="1530872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4.1.9 工程的维护和照管</w:t>
      </w:r>
    </w:p>
    <w:p w14:paraId="41726C1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08C7DD1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4.1.10 其它义务</w:t>
      </w:r>
    </w:p>
    <w:p w14:paraId="6B7D746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其它义务在专用合同条款中补充约定。</w:t>
      </w:r>
    </w:p>
    <w:p w14:paraId="1C25F2E6">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68" w:name="_Toc221950749"/>
      <w:r>
        <w:rPr>
          <w:rFonts w:hint="eastAsia" w:ascii="宋体" w:hAnsi="宋体" w:eastAsia="宋体" w:cs="宋体"/>
          <w:b/>
          <w:bCs/>
          <w:color w:val="auto"/>
          <w:sz w:val="21"/>
          <w:szCs w:val="21"/>
          <w:highlight w:val="none"/>
        </w:rPr>
        <w:t xml:space="preserve">4.2 </w:t>
      </w:r>
      <w:bookmarkEnd w:id="668"/>
      <w:bookmarkStart w:id="669" w:name="_Toc221950751"/>
      <w:r>
        <w:rPr>
          <w:rFonts w:hint="eastAsia" w:ascii="宋体" w:hAnsi="宋体" w:eastAsia="宋体" w:cs="宋体"/>
          <w:b/>
          <w:bCs/>
          <w:color w:val="auto"/>
          <w:sz w:val="21"/>
          <w:szCs w:val="21"/>
          <w:highlight w:val="none"/>
        </w:rPr>
        <w:t>履约担保</w:t>
      </w:r>
    </w:p>
    <w:p w14:paraId="2805849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承包人应保证其履约担保在发包人颁发合同工程完工证书前一直有效。发包人应在合同工程完工证书颁发后28天内将履约担保退还给承包人。</w:t>
      </w:r>
      <w:bookmarkEnd w:id="669"/>
    </w:p>
    <w:p w14:paraId="73E8E3F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70" w:name="_Toc221950754"/>
      <w:r>
        <w:rPr>
          <w:rFonts w:hint="eastAsia" w:ascii="宋体" w:hAnsi="宋体" w:eastAsia="宋体" w:cs="宋体"/>
          <w:b/>
          <w:bCs/>
          <w:color w:val="auto"/>
          <w:sz w:val="21"/>
          <w:szCs w:val="21"/>
          <w:highlight w:val="none"/>
        </w:rPr>
        <w:t>4.3分包</w:t>
      </w:r>
    </w:p>
    <w:p w14:paraId="7E13E41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 承包人不得将其承包的全部工程转包给第三人，或将其承包的全部工程肢解后以分包的名义转包给第三人。</w:t>
      </w:r>
    </w:p>
    <w:p w14:paraId="0C01D1D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承包人不得将工程主体、关键性工作分包给第三人。除专用合同条款另有约定外，未经发包人同意，承包人不得将工程的其他部分或工作分包给第三人。</w:t>
      </w:r>
    </w:p>
    <w:p w14:paraId="1D7C2F7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分包人的资格能力应与其分包工程的标准和规模相适应。</w:t>
      </w:r>
    </w:p>
    <w:p w14:paraId="69524C8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 按投标函附录约定分包工程的，承包人应向发包人和监理人提交分包合同副本。</w:t>
      </w:r>
    </w:p>
    <w:p w14:paraId="72FB509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 承包人应与分包人就分包工程向发包人承担连带责任。</w:t>
      </w:r>
    </w:p>
    <w:p w14:paraId="2DCE9A1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09C7F53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1B8C7C0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由指定分包人造成的与其分包工作有关的一切索赔、诉讼和损失赔偿由指定分包人直接对发包人负责，承包人不对此承担责任。</w:t>
      </w:r>
    </w:p>
    <w:p w14:paraId="4E0B3A1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7BA0984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4.3.9 除第4.3.7项规定的指定分包外，承包人对其分包项目的实施以及分包人的行为向发包人负全部责任。承包人应对分包项目的工程进度、质量、安全、计量和验收等实施监督和管理。</w:t>
      </w:r>
    </w:p>
    <w:p w14:paraId="17145B7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4.3.10 分包人应按专用合同条款的约定设立项目管理机构组织管理分包工程的施工活动。</w:t>
      </w:r>
    </w:p>
    <w:bookmarkEnd w:id="670"/>
    <w:p w14:paraId="5E3AB5D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71" w:name="_Toc186623393"/>
      <w:bookmarkStart w:id="672" w:name="_Toc186623706"/>
      <w:r>
        <w:rPr>
          <w:rFonts w:hint="eastAsia" w:ascii="宋体" w:hAnsi="宋体" w:eastAsia="宋体" w:cs="宋体"/>
          <w:b/>
          <w:bCs/>
          <w:color w:val="auto"/>
          <w:sz w:val="21"/>
          <w:szCs w:val="21"/>
          <w:highlight w:val="none"/>
        </w:rPr>
        <w:t>4.4 联合体</w:t>
      </w:r>
      <w:bookmarkEnd w:id="671"/>
      <w:bookmarkEnd w:id="672"/>
    </w:p>
    <w:p w14:paraId="4E1E156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 联合体各方应共同与发包人签订合同协议书。联合体各方应为履行合同承担连带责任。</w:t>
      </w:r>
    </w:p>
    <w:p w14:paraId="1CFD23E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4.4.2 联合体协议经发包人确认后作为合同附件。在履行合同过程中，未经发包人同意，不得修改联合体协议。</w:t>
      </w:r>
    </w:p>
    <w:p w14:paraId="6F7AD51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4.4.3 联合体牵头人负责与发包人和监理人联系，并接受指示，负责组织联合体各成员全面履行合同。</w:t>
      </w:r>
    </w:p>
    <w:p w14:paraId="2DBE7BE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73" w:name="_Toc186623394"/>
      <w:bookmarkStart w:id="674" w:name="_Toc186623707"/>
      <w:r>
        <w:rPr>
          <w:rFonts w:hint="eastAsia" w:ascii="宋体" w:hAnsi="宋体" w:eastAsia="宋体" w:cs="宋体"/>
          <w:b/>
          <w:bCs/>
          <w:color w:val="auto"/>
          <w:sz w:val="21"/>
          <w:szCs w:val="21"/>
          <w:highlight w:val="none"/>
        </w:rPr>
        <w:t>4.5 承包人项目经理</w:t>
      </w:r>
      <w:bookmarkEnd w:id="673"/>
      <w:bookmarkEnd w:id="674"/>
    </w:p>
    <w:p w14:paraId="7DD21CD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4325935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6DA8699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4.5.3 承包人为履行合同发出的一切函件均应盖有承包人授权的施工场地管理机构章，并由承包人项目经理或其授权代表签字。</w:t>
      </w:r>
    </w:p>
    <w:p w14:paraId="0375190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4.5.4 承包人项目经理可以授权其下属人员履行其某项职责，但事先应将这些人员的姓名和授权范围通知监理人。</w:t>
      </w:r>
    </w:p>
    <w:p w14:paraId="446FDFC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75" w:name="_Toc186623395"/>
      <w:bookmarkStart w:id="676" w:name="_Toc186623708"/>
      <w:r>
        <w:rPr>
          <w:rFonts w:hint="eastAsia" w:ascii="宋体" w:hAnsi="宋体" w:eastAsia="宋体" w:cs="宋体"/>
          <w:b/>
          <w:bCs/>
          <w:color w:val="auto"/>
          <w:sz w:val="21"/>
          <w:szCs w:val="21"/>
          <w:highlight w:val="none"/>
        </w:rPr>
        <w:t>4.6 承包人人员的管理</w:t>
      </w:r>
      <w:bookmarkEnd w:id="675"/>
      <w:bookmarkEnd w:id="676"/>
    </w:p>
    <w:p w14:paraId="69BC62E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2224A80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4.6.2 为完成合同约定的各项工作，承包人应向施工场地派遣或雇佣足够数量的下列人员：</w:t>
      </w:r>
    </w:p>
    <w:p w14:paraId="5513D6A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（1）具有相应资格的专业技工和合格的普工；</w:t>
      </w:r>
    </w:p>
    <w:p w14:paraId="3F926F6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（2）具有相应施工经验的技术人员；</w:t>
      </w:r>
    </w:p>
    <w:p w14:paraId="50105D8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（3）具有相应岗位资格的各级管理人员。</w:t>
      </w:r>
    </w:p>
    <w:p w14:paraId="69A296D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4.6.3 承包人安排在施工场地的主要管理人员和技术骨干应相对稳定。承包人更换主要管理人员和技术骨干时，应取得监理人的同意。</w:t>
      </w:r>
    </w:p>
    <w:p w14:paraId="041CFF7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4.6.4 特殊岗位的工作人员均应持有相应的资格证明，监理人有权随时检查。监理人认为有必要时，可进行现场考核。</w:t>
      </w:r>
    </w:p>
    <w:p w14:paraId="3EB82C4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77" w:name="_Toc186623396"/>
      <w:bookmarkStart w:id="678" w:name="_Toc186623709"/>
      <w:r>
        <w:rPr>
          <w:rFonts w:hint="eastAsia" w:ascii="宋体" w:hAnsi="宋体" w:eastAsia="宋体" w:cs="宋体"/>
          <w:b/>
          <w:bCs/>
          <w:color w:val="auto"/>
          <w:sz w:val="21"/>
          <w:szCs w:val="21"/>
          <w:highlight w:val="none"/>
        </w:rPr>
        <w:t>4.7 撤换承包人项目经理和其他人员</w:t>
      </w:r>
      <w:bookmarkEnd w:id="677"/>
      <w:bookmarkEnd w:id="678"/>
    </w:p>
    <w:p w14:paraId="1C112443">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承包人应对其项目经理和其他人员进行有效管理。监理人要求撤换不能胜任本职工作、行为不端或玩忽职守的承包人项目经理和其他人员的，承包人应予以撤换。</w:t>
      </w:r>
    </w:p>
    <w:p w14:paraId="464EA9A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79" w:name="_Toc186623710"/>
      <w:bookmarkStart w:id="680" w:name="_Toc186623397"/>
      <w:r>
        <w:rPr>
          <w:rFonts w:hint="eastAsia" w:ascii="宋体" w:hAnsi="宋体" w:eastAsia="宋体" w:cs="宋体"/>
          <w:b/>
          <w:bCs/>
          <w:color w:val="auto"/>
          <w:sz w:val="21"/>
          <w:szCs w:val="21"/>
          <w:highlight w:val="none"/>
        </w:rPr>
        <w:t>4.8 保障承包人人员的合法权益</w:t>
      </w:r>
      <w:bookmarkEnd w:id="679"/>
      <w:bookmarkEnd w:id="680"/>
    </w:p>
    <w:p w14:paraId="2BBCC3B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4.8.1 承包人应与其雇佣的人员签订劳动合同，并按时发放工资。</w:t>
      </w:r>
    </w:p>
    <w:p w14:paraId="2C22720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4.8.2 承包人应按劳动法的规定安排工作时间，保证其雇佣人员享有休息和休假的权利。因工程施工的特殊需要占用休假日或延长工作时间的，应不超过法律规定的限度，并按法律规定给予补休或付酬。</w:t>
      </w:r>
    </w:p>
    <w:p w14:paraId="4E34AE1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4.8.3 承包人应为其雇佣人员提供必要的食宿条件，以及符合环境保护和卫生要求的生活环境，在远离城镇的施工场地，还应配备必要的伤病防治和急救的医务人员与医疗设施。</w:t>
      </w:r>
    </w:p>
    <w:p w14:paraId="57563D8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6ABDF72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4.8.5 承包人应按有关法律规定和合同约定，为其雇佣人员办理保险。</w:t>
      </w:r>
    </w:p>
    <w:p w14:paraId="5F70022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4.8.6 承包人应负责处理其雇佣人员因工伤亡事故的善后事宜。</w:t>
      </w:r>
    </w:p>
    <w:p w14:paraId="7BE00EE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81" w:name="_Toc186623711"/>
      <w:bookmarkStart w:id="682" w:name="_Toc186623398"/>
      <w:r>
        <w:rPr>
          <w:rFonts w:hint="eastAsia" w:ascii="宋体" w:hAnsi="宋体" w:eastAsia="宋体" w:cs="宋体"/>
          <w:b/>
          <w:bCs/>
          <w:color w:val="auto"/>
          <w:sz w:val="21"/>
          <w:szCs w:val="21"/>
          <w:highlight w:val="none"/>
        </w:rPr>
        <w:t>4.9 工程价款应专款专用</w:t>
      </w:r>
      <w:bookmarkEnd w:id="681"/>
      <w:bookmarkEnd w:id="682"/>
    </w:p>
    <w:p w14:paraId="0F2BBF7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发包人按合同约定支付给承包人的各项价款应专用于合同工程。</w:t>
      </w:r>
    </w:p>
    <w:p w14:paraId="0A5E55E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683" w:name="_Toc186623399"/>
      <w:bookmarkStart w:id="684" w:name="_Toc186623712"/>
      <w:r>
        <w:rPr>
          <w:rFonts w:hint="eastAsia" w:ascii="宋体" w:hAnsi="宋体" w:eastAsia="宋体" w:cs="宋体"/>
          <w:b/>
          <w:bCs/>
          <w:color w:val="auto"/>
          <w:sz w:val="21"/>
          <w:szCs w:val="21"/>
          <w:highlight w:val="none"/>
        </w:rPr>
        <w:t>4.10 承包人现场查勘</w:t>
      </w:r>
      <w:bookmarkEnd w:id="683"/>
      <w:bookmarkEnd w:id="684"/>
    </w:p>
    <w:p w14:paraId="00630B2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4.10.1 发包人应将其持有的现场地质勘探资料、水文气象资料提供给承包人，并对其准确性负责。但承包人应对其阅读上述有关资料后所作出的解释和推断负责。</w:t>
      </w:r>
    </w:p>
    <w:p w14:paraId="35F4C7E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541FCB16">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4.11 不利物质条件</w:t>
      </w:r>
    </w:p>
    <w:p w14:paraId="4ED434E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4.11.1 除专用合同条款另有约定外，不利物质条件是指在施工中遭遇不可预见的外界障碍或自然条件造成施工受阻。</w:t>
      </w:r>
    </w:p>
    <w:p w14:paraId="1FC7E3E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 </w:t>
      </w:r>
    </w:p>
    <w:p w14:paraId="59C39F1C">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685" w:name="_Toc7876"/>
      <w:bookmarkStart w:id="686" w:name="_Toc31902"/>
      <w:bookmarkStart w:id="687" w:name="_Toc7740"/>
      <w:bookmarkStart w:id="688" w:name="_Toc28614"/>
      <w:bookmarkStart w:id="689" w:name="_Toc837"/>
      <w:bookmarkStart w:id="690" w:name="_Toc20879"/>
      <w:bookmarkStart w:id="691" w:name="_Toc266859654"/>
      <w:bookmarkStart w:id="692" w:name="_Toc229305366"/>
      <w:bookmarkStart w:id="693" w:name="_Toc427509415"/>
      <w:bookmarkStart w:id="694" w:name="_Toc267492118"/>
      <w:bookmarkStart w:id="695" w:name="_Toc31082"/>
      <w:bookmarkStart w:id="696" w:name="_Toc222031008"/>
      <w:bookmarkStart w:id="697" w:name="_Toc18493"/>
      <w:bookmarkStart w:id="698" w:name="_Toc36069693"/>
      <w:bookmarkStart w:id="699" w:name="_Toc268299771"/>
      <w:bookmarkStart w:id="700" w:name="_Toc3451197"/>
      <w:bookmarkStart w:id="701" w:name="_Toc332378874"/>
      <w:bookmarkStart w:id="702" w:name="_Toc221950770"/>
      <w:bookmarkStart w:id="703" w:name="_Toc6333"/>
      <w:bookmarkStart w:id="704" w:name="_Toc22705"/>
      <w:bookmarkStart w:id="705" w:name="_Toc271870449"/>
      <w:bookmarkStart w:id="706" w:name="_Toc24199"/>
      <w:bookmarkStart w:id="707" w:name="_Toc427509915"/>
      <w:bookmarkStart w:id="708" w:name="_Toc222032675"/>
      <w:bookmarkStart w:id="709" w:name="_Toc222033857"/>
      <w:bookmarkStart w:id="710" w:name="_Toc222029506"/>
      <w:bookmarkStart w:id="711" w:name="_Toc24886"/>
      <w:r>
        <w:rPr>
          <w:rFonts w:hint="eastAsia" w:ascii="宋体" w:hAnsi="宋体" w:eastAsia="宋体" w:cs="宋体"/>
          <w:b/>
          <w:bCs/>
          <w:color w:val="auto"/>
          <w:sz w:val="21"/>
          <w:szCs w:val="21"/>
          <w:highlight w:val="none"/>
        </w:rPr>
        <w:t>5. 材料和工程设备</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372199E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12" w:name="_Toc221950773"/>
      <w:r>
        <w:rPr>
          <w:rFonts w:hint="eastAsia" w:ascii="宋体" w:hAnsi="宋体" w:eastAsia="宋体" w:cs="宋体"/>
          <w:b/>
          <w:bCs/>
          <w:color w:val="auto"/>
          <w:sz w:val="21"/>
          <w:szCs w:val="21"/>
          <w:highlight w:val="none"/>
        </w:rPr>
        <w:t>5.1 承包人提供的材料和工程设备</w:t>
      </w:r>
    </w:p>
    <w:p w14:paraId="423A758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 除第5.2款约定由发包人提供的材料和工程设备外， 承包人负责采购、运输和保管完成本合同工作所需的材料和工程设备。承包人应对其采购的材料和工程设备负责。</w:t>
      </w:r>
    </w:p>
    <w:p w14:paraId="3CF291E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6188C94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bookmarkEnd w:id="712"/>
    <w:p w14:paraId="72543B8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13" w:name="_Toc221950779"/>
      <w:r>
        <w:rPr>
          <w:rFonts w:hint="eastAsia" w:ascii="宋体" w:hAnsi="宋体" w:eastAsia="宋体" w:cs="宋体"/>
          <w:b/>
          <w:bCs/>
          <w:color w:val="auto"/>
          <w:sz w:val="21"/>
          <w:szCs w:val="21"/>
          <w:highlight w:val="none"/>
        </w:rPr>
        <w:t>5.2 发包人提供的材料和工程设备</w:t>
      </w:r>
    </w:p>
    <w:bookmarkEnd w:id="713"/>
    <w:p w14:paraId="686B565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 发包人提供的材料和工程设备，应在专用合同条款中写明材料和工程设备的名称、规格、数量、价格、交货方式、交货地点和计划交货日期等。</w:t>
      </w:r>
    </w:p>
    <w:p w14:paraId="1D15B90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 承包人应根据合同进度计划的安排，向监理人报送要求发包人交货的日期计划。发包人应按照监理人与合同双方当事人商定的交货日期，向承包人提交材料和工程设备。</w:t>
      </w:r>
    </w:p>
    <w:p w14:paraId="79CE2C0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 发包人应在材料和工程设备到货７天前通知承包人，承包人应会同监理人在约</w:t>
      </w:r>
    </w:p>
    <w:p w14:paraId="0C8D17F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定的时间内，赴交货地点共同进行验收。发包人提供的材料和工程设备运至交货地点验收后，由承包人负责接收、卸货、运输和保管。</w:t>
      </w:r>
    </w:p>
    <w:p w14:paraId="75AE793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5.2.4 发包人要求向承包人提前交货的，承包人不得拒绝，但发包人应承担承包人由此增加的费用。</w:t>
      </w:r>
    </w:p>
    <w:p w14:paraId="60664E2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5.2.5 承包人要求更改交货日期或地点的，应事先报请监理人批准。由于承包人要求更改交货时间或地点所增加的费用和（或）工期延误由承包人承担。</w:t>
      </w:r>
    </w:p>
    <w:p w14:paraId="4347C09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53E5DDC7">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14" w:name="_Toc186623717"/>
      <w:bookmarkStart w:id="715" w:name="_Toc186623404"/>
      <w:r>
        <w:rPr>
          <w:rFonts w:hint="eastAsia" w:ascii="宋体" w:hAnsi="宋体" w:eastAsia="宋体" w:cs="宋体"/>
          <w:b/>
          <w:bCs/>
          <w:color w:val="auto"/>
          <w:sz w:val="21"/>
          <w:szCs w:val="21"/>
          <w:highlight w:val="none"/>
        </w:rPr>
        <w:t>5.3 材料和工程设备专用于合同工程</w:t>
      </w:r>
      <w:bookmarkEnd w:id="714"/>
      <w:bookmarkEnd w:id="715"/>
    </w:p>
    <w:p w14:paraId="592E050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5.3.1 运入施工场地的材料、工程设备，包括备品备件、安装专用工器具与随机资料，必须专用于合同工程，未经监理人同意，承包人不得运出施工场地或挪作他用。</w:t>
      </w:r>
    </w:p>
    <w:p w14:paraId="34CCB56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0A93EC1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16" w:name="_Toc186623405"/>
      <w:bookmarkStart w:id="717" w:name="_Toc186623718"/>
      <w:r>
        <w:rPr>
          <w:rFonts w:hint="eastAsia" w:ascii="宋体" w:hAnsi="宋体" w:eastAsia="宋体" w:cs="宋体"/>
          <w:b/>
          <w:bCs/>
          <w:color w:val="auto"/>
          <w:sz w:val="21"/>
          <w:szCs w:val="21"/>
          <w:highlight w:val="none"/>
        </w:rPr>
        <w:t>5.4 禁止使用不合格的材料和工程设备</w:t>
      </w:r>
      <w:bookmarkEnd w:id="716"/>
      <w:bookmarkEnd w:id="717"/>
    </w:p>
    <w:p w14:paraId="1E49D30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5.4.1 监理人有权拒绝承包人提供的不合格材料或工程设备，并要求承包人立即进行更换。监理人应在更换后再次进行检查和检验，由此增加的费用和（或）工期延误由承包人承担。</w:t>
      </w:r>
    </w:p>
    <w:p w14:paraId="45110FA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5.4.2 监理人发现承包人使用了不合格的材料和工程设备，应</w:t>
      </w:r>
      <w:r>
        <w:rPr>
          <w:rFonts w:hint="eastAsia" w:ascii="宋体" w:hAnsi="宋体" w:eastAsia="宋体" w:cs="宋体"/>
          <w:color w:val="auto"/>
          <w:sz w:val="21"/>
          <w:szCs w:val="21"/>
          <w:highlight w:val="none"/>
          <w:lang w:eastAsia="zh-CN"/>
        </w:rPr>
        <w:t>及时</w:t>
      </w:r>
      <w:r>
        <w:rPr>
          <w:rFonts w:hint="eastAsia" w:ascii="宋体" w:hAnsi="宋体" w:eastAsia="宋体" w:cs="宋体"/>
          <w:color w:val="auto"/>
          <w:sz w:val="21"/>
          <w:szCs w:val="21"/>
          <w:highlight w:val="none"/>
        </w:rPr>
        <w:t>发出指示要求承包人立即改正，并禁止在工程中继续使用不合格的材料和工程设备。</w:t>
      </w:r>
    </w:p>
    <w:p w14:paraId="7431C9B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5.4.3 发包人提供的材料或工程设备不符合合同要求的，承包人有权拒绝，并可要求发包人更换，由此增加的费用和（或）工期延误由发包人承担。</w:t>
      </w:r>
    </w:p>
    <w:p w14:paraId="2376C855">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718" w:name="_Toc1641"/>
      <w:bookmarkStart w:id="719" w:name="_Toc222029507"/>
      <w:bookmarkStart w:id="720" w:name="_Toc36069694"/>
      <w:bookmarkStart w:id="721" w:name="_Toc22258"/>
      <w:bookmarkStart w:id="722" w:name="_Toc222033858"/>
      <w:bookmarkStart w:id="723" w:name="_Toc271870450"/>
      <w:bookmarkStart w:id="724" w:name="_Toc267492119"/>
      <w:bookmarkStart w:id="725" w:name="_Toc31746"/>
      <w:bookmarkStart w:id="726" w:name="_Toc9905"/>
      <w:bookmarkStart w:id="727" w:name="_Toc222031009"/>
      <w:bookmarkStart w:id="728" w:name="_Toc31235"/>
      <w:bookmarkStart w:id="729" w:name="_Toc2186"/>
      <w:bookmarkStart w:id="730" w:name="_Toc10402"/>
      <w:bookmarkStart w:id="731" w:name="_Toc222032676"/>
      <w:bookmarkStart w:id="732" w:name="_Toc427509416"/>
      <w:bookmarkStart w:id="733" w:name="_Toc332378875"/>
      <w:bookmarkStart w:id="734" w:name="_Toc427509916"/>
      <w:bookmarkStart w:id="735" w:name="_Toc3451198"/>
      <w:bookmarkStart w:id="736" w:name="_Toc221950785"/>
      <w:bookmarkStart w:id="737" w:name="_Toc268299772"/>
      <w:bookmarkStart w:id="738" w:name="_Toc14040"/>
      <w:bookmarkStart w:id="739" w:name="_Toc7330"/>
      <w:bookmarkStart w:id="740" w:name="_Toc229305367"/>
      <w:bookmarkStart w:id="741" w:name="_Toc24978"/>
      <w:bookmarkStart w:id="742" w:name="_Toc20954"/>
      <w:bookmarkStart w:id="743" w:name="_Toc266859655"/>
      <w:bookmarkStart w:id="744" w:name="_Toc26119"/>
      <w:r>
        <w:rPr>
          <w:rFonts w:hint="eastAsia" w:ascii="宋体" w:hAnsi="宋体" w:eastAsia="宋体" w:cs="宋体"/>
          <w:b/>
          <w:bCs/>
          <w:color w:val="auto"/>
          <w:sz w:val="21"/>
          <w:szCs w:val="21"/>
          <w:highlight w:val="none"/>
        </w:rPr>
        <w:t>6. 施工设备和临时设施</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7D4BD3B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45" w:name="_Toc186623407"/>
      <w:bookmarkStart w:id="746" w:name="_Toc186623720"/>
      <w:bookmarkStart w:id="747" w:name="_Toc222033859"/>
      <w:bookmarkStart w:id="748" w:name="_Toc222032677"/>
      <w:bookmarkStart w:id="749" w:name="_Toc222029508"/>
      <w:bookmarkStart w:id="750" w:name="_Toc221950795"/>
      <w:bookmarkStart w:id="751" w:name="_Toc222031010"/>
      <w:bookmarkStart w:id="752" w:name="_Toc229305368"/>
      <w:r>
        <w:rPr>
          <w:rFonts w:hint="eastAsia" w:ascii="宋体" w:hAnsi="宋体" w:eastAsia="宋体" w:cs="宋体"/>
          <w:b/>
          <w:bCs/>
          <w:color w:val="auto"/>
          <w:sz w:val="21"/>
          <w:szCs w:val="21"/>
          <w:highlight w:val="none"/>
        </w:rPr>
        <w:t>6.1 承包人提供的施工设备和临时设施</w:t>
      </w:r>
      <w:bookmarkEnd w:id="745"/>
      <w:bookmarkEnd w:id="746"/>
    </w:p>
    <w:p w14:paraId="0E7E223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承包人应按合同进度计划的要求，及时配置施工设备和修建临时设施。进入施工场地的承包人设备需经监理人核查后才能投入使用。承包人更换合同约定的承包人设备的，应报监理人批准。</w:t>
      </w:r>
    </w:p>
    <w:p w14:paraId="3E9A985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除专用合同条款另有约定外，承包人应自行承担修建临时设施的费用，需要临时占地的，应由发包人办理申请手续并承担相应费用。</w:t>
      </w:r>
    </w:p>
    <w:p w14:paraId="721BF021">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53" w:name="_Toc186623408"/>
      <w:bookmarkStart w:id="754" w:name="_Toc186623721"/>
      <w:r>
        <w:rPr>
          <w:rFonts w:hint="eastAsia" w:ascii="宋体" w:hAnsi="宋体" w:eastAsia="宋体" w:cs="宋体"/>
          <w:b/>
          <w:bCs/>
          <w:color w:val="auto"/>
          <w:sz w:val="21"/>
          <w:szCs w:val="21"/>
          <w:highlight w:val="none"/>
        </w:rPr>
        <w:t>6.2 发包人提供的施工设备和临时设施</w:t>
      </w:r>
      <w:bookmarkEnd w:id="753"/>
      <w:bookmarkEnd w:id="754"/>
    </w:p>
    <w:p w14:paraId="0C3B488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发包人提供的施工设备或临时设施在专用合同条款中约定。</w:t>
      </w:r>
    </w:p>
    <w:p w14:paraId="404F884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55" w:name="_Toc186623722"/>
      <w:bookmarkStart w:id="756" w:name="_Toc186623409"/>
      <w:r>
        <w:rPr>
          <w:rFonts w:hint="eastAsia" w:ascii="宋体" w:hAnsi="宋体" w:eastAsia="宋体" w:cs="宋体"/>
          <w:b/>
          <w:bCs/>
          <w:color w:val="auto"/>
          <w:sz w:val="21"/>
          <w:szCs w:val="21"/>
          <w:highlight w:val="none"/>
        </w:rPr>
        <w:t>6.3 要求承包人增加或更换施工设备</w:t>
      </w:r>
      <w:bookmarkEnd w:id="755"/>
      <w:bookmarkEnd w:id="756"/>
    </w:p>
    <w:p w14:paraId="747C7A8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承包人使用的施工设备不能满足合同进度计划和（或）质量要求时，监理人有权要求承包人增加或更换施工设备，承包人应及时增加或更换，由此增加的费用和（或）工期延误由承包人承担。</w:t>
      </w:r>
    </w:p>
    <w:p w14:paraId="09A2D32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57" w:name="_Toc186623723"/>
      <w:bookmarkStart w:id="758" w:name="_Toc186623410"/>
      <w:r>
        <w:rPr>
          <w:rFonts w:hint="eastAsia" w:ascii="宋体" w:hAnsi="宋体" w:eastAsia="宋体" w:cs="宋体"/>
          <w:b/>
          <w:bCs/>
          <w:color w:val="auto"/>
          <w:sz w:val="21"/>
          <w:szCs w:val="21"/>
          <w:highlight w:val="none"/>
        </w:rPr>
        <w:t>6.4 施工设备和临时设施专用于合同工程</w:t>
      </w:r>
      <w:bookmarkEnd w:id="757"/>
      <w:bookmarkEnd w:id="758"/>
    </w:p>
    <w:p w14:paraId="06C5184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 除合同另有约定外，运入施工场地的所有施工设备以及在施工场地建设的临时设施应专用于合同工程。未经监理人同意，不得将上述施工设备和临时设施中的任何部分运出施工场地或挪作他用。</w:t>
      </w:r>
    </w:p>
    <w:p w14:paraId="6E3B390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 经监理人同意，承包人可根据合同进度计划撤走闲置的施工设备。</w:t>
      </w:r>
    </w:p>
    <w:p w14:paraId="5BE09DD3">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759" w:name="_Toc427509417"/>
      <w:bookmarkStart w:id="760" w:name="_Toc266859656"/>
      <w:bookmarkStart w:id="761" w:name="_Toc332378876"/>
      <w:bookmarkStart w:id="762" w:name="_Toc268299773"/>
      <w:bookmarkStart w:id="763" w:name="_Toc14630"/>
      <w:bookmarkStart w:id="764" w:name="_Toc14082"/>
      <w:bookmarkStart w:id="765" w:name="_Toc267492120"/>
      <w:bookmarkStart w:id="766" w:name="_Toc23565"/>
      <w:bookmarkStart w:id="767" w:name="_Toc6778"/>
      <w:bookmarkStart w:id="768" w:name="_Toc15565"/>
      <w:bookmarkStart w:id="769" w:name="_Toc8380"/>
      <w:bookmarkStart w:id="770" w:name="_Toc271870451"/>
      <w:bookmarkStart w:id="771" w:name="_Toc16447"/>
      <w:bookmarkStart w:id="772" w:name="_Toc23328"/>
      <w:bookmarkStart w:id="773" w:name="_Toc3362"/>
      <w:bookmarkStart w:id="774" w:name="_Toc6933"/>
      <w:bookmarkStart w:id="775" w:name="_Toc28201"/>
      <w:bookmarkStart w:id="776" w:name="_Toc427509917"/>
      <w:bookmarkStart w:id="777" w:name="_Toc17917"/>
      <w:bookmarkStart w:id="778" w:name="_Toc3451199"/>
      <w:bookmarkStart w:id="779" w:name="_Toc36069695"/>
      <w:r>
        <w:rPr>
          <w:rFonts w:hint="eastAsia" w:ascii="宋体" w:hAnsi="宋体" w:eastAsia="宋体" w:cs="宋体"/>
          <w:b/>
          <w:bCs/>
          <w:color w:val="auto"/>
          <w:sz w:val="21"/>
          <w:szCs w:val="21"/>
          <w:highlight w:val="none"/>
        </w:rPr>
        <w:t>7. 交通运输</w:t>
      </w:r>
      <w:bookmarkEnd w:id="747"/>
      <w:bookmarkEnd w:id="748"/>
      <w:bookmarkEnd w:id="749"/>
      <w:bookmarkEnd w:id="750"/>
      <w:bookmarkEnd w:id="751"/>
      <w:bookmarkEnd w:id="752"/>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4113E95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7.1 道路通行权和场外设施</w:t>
      </w:r>
    </w:p>
    <w:p w14:paraId="71EF1C47">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40D086A3">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80" w:name="_Toc221950800"/>
      <w:r>
        <w:rPr>
          <w:rFonts w:hint="eastAsia" w:ascii="宋体" w:hAnsi="宋体" w:eastAsia="宋体" w:cs="宋体"/>
          <w:b/>
          <w:bCs/>
          <w:color w:val="auto"/>
          <w:sz w:val="21"/>
          <w:szCs w:val="21"/>
          <w:highlight w:val="none"/>
        </w:rPr>
        <w:t>7.2 场内施工道路</w:t>
      </w:r>
    </w:p>
    <w:p w14:paraId="698BAD0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 除本合同约定由发包人提供的部分道路和交通设施外，承包人应负责修建、维修、养护和管理其施工所需的全部临时道路和交通设施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包括合同约定由发包人提供的部分道路和交通设施维修、养护和管理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并承担相应费用。</w:t>
      </w:r>
      <w:bookmarkEnd w:id="780"/>
    </w:p>
    <w:p w14:paraId="760F2340">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781" w:name="_Toc221950801"/>
      <w:r>
        <w:rPr>
          <w:rFonts w:hint="eastAsia" w:ascii="宋体" w:hAnsi="宋体" w:eastAsia="宋体" w:cs="宋体"/>
          <w:color w:val="auto"/>
          <w:sz w:val="21"/>
          <w:szCs w:val="21"/>
          <w:highlight w:val="none"/>
        </w:rPr>
        <w:t>7.2.2 承包人修建的临时道路和交通设施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应免费提供发包人、监理人，以及与本合同有关的其他承包人使用。</w:t>
      </w:r>
      <w:bookmarkEnd w:id="781"/>
    </w:p>
    <w:p w14:paraId="5EA6365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82" w:name="_Toc186623727"/>
      <w:bookmarkStart w:id="783" w:name="_Toc186623414"/>
      <w:r>
        <w:rPr>
          <w:rFonts w:hint="eastAsia" w:ascii="宋体" w:hAnsi="宋体" w:eastAsia="宋体" w:cs="宋体"/>
          <w:b/>
          <w:bCs/>
          <w:color w:val="auto"/>
          <w:sz w:val="21"/>
          <w:szCs w:val="21"/>
          <w:highlight w:val="none"/>
        </w:rPr>
        <w:t>7.3 场外交通</w:t>
      </w:r>
      <w:bookmarkEnd w:id="782"/>
      <w:bookmarkEnd w:id="783"/>
    </w:p>
    <w:p w14:paraId="09057F3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承包人车辆外出行驶所需的场外公共道路的通行费、养路费和税款等由承包人承担。</w:t>
      </w:r>
    </w:p>
    <w:p w14:paraId="11962E4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 承包人应遵守有关交通法规，严格按照道路和桥梁的限制荷重安全行驶，并服从交通管理部门的检查和监督。</w:t>
      </w:r>
    </w:p>
    <w:p w14:paraId="62D94940">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84" w:name="_Toc186623728"/>
      <w:bookmarkStart w:id="785" w:name="_Toc186623415"/>
      <w:r>
        <w:rPr>
          <w:rFonts w:hint="eastAsia" w:ascii="宋体" w:hAnsi="宋体" w:eastAsia="宋体" w:cs="宋体"/>
          <w:b/>
          <w:bCs/>
          <w:color w:val="auto"/>
          <w:sz w:val="21"/>
          <w:szCs w:val="21"/>
          <w:highlight w:val="none"/>
        </w:rPr>
        <w:t>7.4 超大件和超重件的运输</w:t>
      </w:r>
      <w:bookmarkEnd w:id="784"/>
      <w:bookmarkEnd w:id="785"/>
    </w:p>
    <w:p w14:paraId="357F5E2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9E7E8D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86" w:name="_Toc186623416"/>
      <w:bookmarkStart w:id="787" w:name="_Toc186623729"/>
      <w:r>
        <w:rPr>
          <w:rFonts w:hint="eastAsia" w:ascii="宋体" w:hAnsi="宋体" w:eastAsia="宋体" w:cs="宋体"/>
          <w:b/>
          <w:bCs/>
          <w:color w:val="auto"/>
          <w:sz w:val="21"/>
          <w:szCs w:val="21"/>
          <w:highlight w:val="none"/>
        </w:rPr>
        <w:t>7.5 道路和桥梁的损坏责任</w:t>
      </w:r>
      <w:bookmarkEnd w:id="786"/>
      <w:bookmarkEnd w:id="787"/>
    </w:p>
    <w:p w14:paraId="285007A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因承包人运输造成施工场地内外公共道路和桥梁损坏的，由承包人承担修复损坏的全部费用和可能引起的赔偿。</w:t>
      </w:r>
    </w:p>
    <w:p w14:paraId="42E503F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788" w:name="_Toc186623730"/>
      <w:bookmarkStart w:id="789" w:name="_Toc186623417"/>
      <w:r>
        <w:rPr>
          <w:rFonts w:hint="eastAsia" w:ascii="宋体" w:hAnsi="宋体" w:eastAsia="宋体" w:cs="宋体"/>
          <w:b/>
          <w:bCs/>
          <w:color w:val="auto"/>
          <w:sz w:val="21"/>
          <w:szCs w:val="21"/>
          <w:highlight w:val="none"/>
        </w:rPr>
        <w:t>7.6 水路和航空运输</w:t>
      </w:r>
      <w:bookmarkEnd w:id="788"/>
      <w:bookmarkEnd w:id="789"/>
    </w:p>
    <w:p w14:paraId="563A499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本条上述各款的内容适用于水路运输和航空运输，其中“道路”一词的涵义包括河道、航线、船闸、机场、码头、堤防以及水路或航空运输中其他相似结构物；“车辆”一词的涵义包括船舶和飞机等。</w:t>
      </w:r>
    </w:p>
    <w:p w14:paraId="2BEF746E">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790" w:name="_Toc3451200"/>
      <w:bookmarkStart w:id="791" w:name="_Toc14000"/>
      <w:bookmarkStart w:id="792" w:name="_Toc229305369"/>
      <w:bookmarkStart w:id="793" w:name="_Toc222029509"/>
      <w:bookmarkStart w:id="794" w:name="_Toc222033860"/>
      <w:bookmarkStart w:id="795" w:name="_Toc17480"/>
      <w:bookmarkStart w:id="796" w:name="_Toc27300"/>
      <w:bookmarkStart w:id="797" w:name="_Toc271870452"/>
      <w:bookmarkStart w:id="798" w:name="_Toc222032678"/>
      <w:bookmarkStart w:id="799" w:name="_Toc18417"/>
      <w:bookmarkStart w:id="800" w:name="_Toc14654"/>
      <w:bookmarkStart w:id="801" w:name="_Toc12875"/>
      <w:bookmarkStart w:id="802" w:name="_Toc12246"/>
      <w:bookmarkStart w:id="803" w:name="_Toc36069696"/>
      <w:bookmarkStart w:id="804" w:name="_Toc266859657"/>
      <w:bookmarkStart w:id="805" w:name="_Toc31593"/>
      <w:bookmarkStart w:id="806" w:name="_Toc11409"/>
      <w:bookmarkStart w:id="807" w:name="_Toc221950810"/>
      <w:bookmarkStart w:id="808" w:name="_Toc9985"/>
      <w:bookmarkStart w:id="809" w:name="_Toc268299774"/>
      <w:bookmarkStart w:id="810" w:name="_Toc267492121"/>
      <w:bookmarkStart w:id="811" w:name="_Toc222031011"/>
      <w:bookmarkStart w:id="812" w:name="_Toc332378877"/>
      <w:bookmarkStart w:id="813" w:name="_Toc26914"/>
      <w:bookmarkStart w:id="814" w:name="_Toc427509918"/>
      <w:bookmarkStart w:id="815" w:name="_Toc14020"/>
      <w:bookmarkStart w:id="816" w:name="_Toc427509418"/>
      <w:r>
        <w:rPr>
          <w:rFonts w:hint="eastAsia" w:ascii="宋体" w:hAnsi="宋体" w:eastAsia="宋体" w:cs="宋体"/>
          <w:b/>
          <w:bCs/>
          <w:color w:val="auto"/>
          <w:sz w:val="21"/>
          <w:szCs w:val="21"/>
          <w:highlight w:val="none"/>
        </w:rPr>
        <w:t>8. 测量放线</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13139ED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17" w:name="_Toc221950814"/>
      <w:r>
        <w:rPr>
          <w:rFonts w:hint="eastAsia" w:ascii="宋体" w:hAnsi="宋体" w:eastAsia="宋体" w:cs="宋体"/>
          <w:b/>
          <w:bCs/>
          <w:color w:val="auto"/>
          <w:sz w:val="21"/>
          <w:szCs w:val="21"/>
          <w:highlight w:val="none"/>
        </w:rPr>
        <w:t>8.1 施工控制网</w:t>
      </w:r>
    </w:p>
    <w:p w14:paraId="13F9837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42BC1E0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8.1.2 承包人应负责管理施工控制网点。施工控制网点丢失或损坏的，承包人应及时修复。承包人应承担施工控制网点的管理与修复费用，并在工程竣工后将施工控制网点移交发包人。</w:t>
      </w:r>
    </w:p>
    <w:p w14:paraId="4FF0349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18" w:name="_Toc186623733"/>
      <w:bookmarkStart w:id="819" w:name="_Toc186623420"/>
      <w:r>
        <w:rPr>
          <w:rFonts w:hint="eastAsia" w:ascii="宋体" w:hAnsi="宋体" w:eastAsia="宋体" w:cs="宋体"/>
          <w:b/>
          <w:bCs/>
          <w:color w:val="auto"/>
          <w:sz w:val="21"/>
          <w:szCs w:val="21"/>
          <w:highlight w:val="none"/>
        </w:rPr>
        <w:t>8.2 施工测量</w:t>
      </w:r>
      <w:bookmarkEnd w:id="818"/>
      <w:bookmarkEnd w:id="819"/>
    </w:p>
    <w:p w14:paraId="6A08A97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8.2.1 承包人应负责施工过程中的全部施工测量放线工作，并配置合格的人员、仪器、设备和其他物品。</w:t>
      </w:r>
    </w:p>
    <w:p w14:paraId="6DC06F1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8.2.2 监理人可以指示承包人进行抽样复测，当复测中发现错误或出现超过合同约定的误差时，承包人应按监理人指示进行修正或补测，并承担相应的复测费用。</w:t>
      </w:r>
    </w:p>
    <w:p w14:paraId="7105A39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20" w:name="_Toc186623734"/>
      <w:bookmarkStart w:id="821" w:name="_Toc186623421"/>
      <w:r>
        <w:rPr>
          <w:rFonts w:hint="eastAsia" w:ascii="宋体" w:hAnsi="宋体" w:eastAsia="宋体" w:cs="宋体"/>
          <w:b/>
          <w:bCs/>
          <w:color w:val="auto"/>
          <w:sz w:val="21"/>
          <w:szCs w:val="21"/>
          <w:highlight w:val="none"/>
        </w:rPr>
        <w:t>8.3 基准资料错误的责任</w:t>
      </w:r>
      <w:bookmarkEnd w:id="820"/>
      <w:bookmarkEnd w:id="821"/>
    </w:p>
    <w:p w14:paraId="5453FF0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47A36A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22" w:name="_Toc186623422"/>
      <w:bookmarkStart w:id="823" w:name="_Toc186623735"/>
      <w:r>
        <w:rPr>
          <w:rFonts w:hint="eastAsia" w:ascii="宋体" w:hAnsi="宋体" w:eastAsia="宋体" w:cs="宋体"/>
          <w:b/>
          <w:bCs/>
          <w:color w:val="auto"/>
          <w:sz w:val="21"/>
          <w:szCs w:val="21"/>
          <w:highlight w:val="none"/>
        </w:rPr>
        <w:t>8.4 监理人使用施工控制网</w:t>
      </w:r>
      <w:bookmarkEnd w:id="822"/>
      <w:bookmarkEnd w:id="823"/>
    </w:p>
    <w:p w14:paraId="58B7523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监理人需要使用施工控制网的，承包人应提供必要的协助，发包人不再为此支付费用。</w:t>
      </w:r>
    </w:p>
    <w:bookmarkEnd w:id="817"/>
    <w:p w14:paraId="0850E10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24" w:name="_Toc221950821"/>
      <w:r>
        <w:rPr>
          <w:rFonts w:hint="eastAsia" w:ascii="宋体" w:hAnsi="宋体" w:eastAsia="宋体" w:cs="宋体"/>
          <w:b/>
          <w:bCs/>
          <w:color w:val="auto"/>
          <w:sz w:val="21"/>
          <w:szCs w:val="21"/>
          <w:highlight w:val="none"/>
        </w:rPr>
        <w:t>8.5 补充地质勘探</w:t>
      </w:r>
      <w:bookmarkEnd w:id="824"/>
    </w:p>
    <w:p w14:paraId="262AA113">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825" w:name="_Toc221950822"/>
      <w:r>
        <w:rPr>
          <w:rFonts w:hint="eastAsia" w:ascii="宋体" w:hAnsi="宋体" w:eastAsia="宋体" w:cs="宋体"/>
          <w:color w:val="auto"/>
          <w:sz w:val="21"/>
          <w:szCs w:val="21"/>
          <w:highlight w:val="none"/>
        </w:rPr>
        <w:t>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所需进行的补充地质勘探，其费用由承包人承担。</w:t>
      </w:r>
      <w:bookmarkEnd w:id="825"/>
    </w:p>
    <w:p w14:paraId="1A369B39">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826" w:name="_Toc13282"/>
      <w:bookmarkStart w:id="827" w:name="_Toc27331"/>
      <w:bookmarkStart w:id="828" w:name="_Toc229305370"/>
      <w:bookmarkStart w:id="829" w:name="_Toc222029510"/>
      <w:bookmarkStart w:id="830" w:name="_Toc222031012"/>
      <w:bookmarkStart w:id="831" w:name="_Toc24046"/>
      <w:bookmarkStart w:id="832" w:name="_Toc267492122"/>
      <w:bookmarkStart w:id="833" w:name="_Toc5752"/>
      <w:bookmarkStart w:id="834" w:name="_Toc17510"/>
      <w:bookmarkStart w:id="835" w:name="_Toc266859658"/>
      <w:bookmarkStart w:id="836" w:name="_Toc332378878"/>
      <w:bookmarkStart w:id="837" w:name="_Toc4537"/>
      <w:bookmarkStart w:id="838" w:name="_Toc427509919"/>
      <w:bookmarkStart w:id="839" w:name="_Toc18407"/>
      <w:bookmarkStart w:id="840" w:name="_Toc427509419"/>
      <w:bookmarkStart w:id="841" w:name="_Toc222033861"/>
      <w:bookmarkStart w:id="842" w:name="_Toc221950823"/>
      <w:bookmarkStart w:id="843" w:name="_Toc36069697"/>
      <w:bookmarkStart w:id="844" w:name="_Toc3451201"/>
      <w:bookmarkStart w:id="845" w:name="_Toc30958"/>
      <w:bookmarkStart w:id="846" w:name="_Toc268299775"/>
      <w:bookmarkStart w:id="847" w:name="_Toc271870453"/>
      <w:bookmarkStart w:id="848" w:name="_Toc20576"/>
      <w:bookmarkStart w:id="849" w:name="_Toc31725"/>
      <w:bookmarkStart w:id="850" w:name="_Toc222032679"/>
      <w:bookmarkStart w:id="851" w:name="_Toc20640"/>
      <w:bookmarkStart w:id="852" w:name="_Toc12136"/>
      <w:r>
        <w:rPr>
          <w:rFonts w:hint="eastAsia" w:ascii="宋体" w:hAnsi="宋体" w:eastAsia="宋体" w:cs="宋体"/>
          <w:b/>
          <w:bCs/>
          <w:color w:val="auto"/>
          <w:sz w:val="21"/>
          <w:szCs w:val="21"/>
          <w:highlight w:val="none"/>
        </w:rPr>
        <w:t>9. 施工安全、治安保卫和环境保护</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p w14:paraId="5EBD9986">
      <w:pPr>
        <w:widowControl w:val="0"/>
        <w:wordWrap w:val="0"/>
        <w:spacing w:line="360" w:lineRule="auto"/>
        <w:ind w:firstLine="420" w:firstLineChars="200"/>
        <w:jc w:val="left"/>
        <w:rPr>
          <w:rFonts w:hint="eastAsia" w:ascii="宋体" w:hAnsi="宋体" w:eastAsia="宋体" w:cs="宋体"/>
          <w:color w:val="auto"/>
          <w:kern w:val="0"/>
          <w:sz w:val="21"/>
          <w:szCs w:val="21"/>
          <w:highlight w:val="none"/>
        </w:rPr>
      </w:pPr>
      <w:bookmarkStart w:id="853" w:name="_Toc221950826"/>
      <w:r>
        <w:rPr>
          <w:rFonts w:hint="eastAsia" w:ascii="宋体" w:hAnsi="宋体" w:eastAsia="宋体" w:cs="宋体"/>
          <w:color w:val="auto"/>
          <w:kern w:val="0"/>
          <w:sz w:val="21"/>
          <w:szCs w:val="21"/>
          <w:highlight w:val="none"/>
        </w:rPr>
        <w:t>本条全文引用《中华人民共和国标准施工招标文件》（2007年版）相应条款，并补充如下内容</w:t>
      </w:r>
      <w:r>
        <w:rPr>
          <w:rFonts w:hint="eastAsia" w:ascii="宋体" w:hAnsi="宋体" w:eastAsia="宋体" w:cs="宋体"/>
          <w:color w:val="auto"/>
          <w:kern w:val="0"/>
          <w:sz w:val="21"/>
          <w:szCs w:val="21"/>
          <w:highlight w:val="none"/>
          <w:lang w:eastAsia="zh-CN"/>
        </w:rPr>
        <w:t>。</w:t>
      </w:r>
    </w:p>
    <w:p w14:paraId="6EC1776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9.1 发包人的施工安全责任</w:t>
      </w:r>
    </w:p>
    <w:p w14:paraId="458DC6E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9.1.1 发包人应承担本合同建设工程安全的监督管理责任。发包人应委托监理人根据国家有关安全的</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，对承包人的施工安全工作进行全面和全过程的监督和检查。监理人的监督检查不减轻承包人应负的安全责任。</w:t>
      </w:r>
      <w:bookmarkEnd w:id="853"/>
    </w:p>
    <w:p w14:paraId="022B3F0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9.1.2 发包人应对其现场机构雇佣的全部人员的工伤事故承担责任，但由于承包人原因造成发包人人员工伤的，应由承包人承担责任。</w:t>
      </w:r>
    </w:p>
    <w:p w14:paraId="432EFDB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9.1.3 发包人应负责赔偿以下各种情况造成的第三者人身伤亡和财产损失：</w:t>
      </w:r>
    </w:p>
    <w:p w14:paraId="27A104E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（1）工程或工程的任何部分对土地的占用所造成的第三者财产损失；</w:t>
      </w:r>
    </w:p>
    <w:p w14:paraId="5F8C4A6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由于发包人原因在施工场地及其毗邻地带造成的第三者人身伤亡和财产损失。</w:t>
      </w:r>
    </w:p>
    <w:p w14:paraId="6294C75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53CE0DB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9.1.5 发包人按照已标价工程量清单所列金额和合同约定的计量支付规定，支付安全作业环境及安全施工措施所需费用。</w:t>
      </w:r>
    </w:p>
    <w:p w14:paraId="7E2E505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9.1.6 发包人负责组织工程参建单位编制保证安全生产的措施方案。工程开工前，就落实保证安全生产的措施进行全面系统的布置，进一步明确承包人的安全生产责任。</w:t>
      </w:r>
    </w:p>
    <w:p w14:paraId="013D16C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9.1.7 发包人负责在拆除工程和爆破工程施工14天前向有关部门或机构报送相关备案资料。</w:t>
      </w:r>
    </w:p>
    <w:p w14:paraId="206A160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54" w:name="_Toc221950836"/>
      <w:r>
        <w:rPr>
          <w:rFonts w:hint="eastAsia" w:ascii="宋体" w:hAnsi="宋体" w:eastAsia="宋体" w:cs="宋体"/>
          <w:b/>
          <w:bCs/>
          <w:color w:val="auto"/>
          <w:sz w:val="21"/>
          <w:szCs w:val="21"/>
          <w:highlight w:val="none"/>
        </w:rPr>
        <w:t>9.2 承包人的施工安全责任</w:t>
      </w:r>
    </w:p>
    <w:p w14:paraId="580A5D3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6068FCA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9.2.2 承包人应加强施工作业安全管理，特别应加强易燃、易爆材料、火工器材、有毒与腐蚀性材料和其他危险品的管理，以及对爆破作业和地下工程施工等危险作业的管理。</w:t>
      </w:r>
    </w:p>
    <w:p w14:paraId="678A62A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9.2.3 承包人应严格按照国家安全标准制定施工安全操作规程，配备必要的安全生产和劳动保护设施，加强对承包人人员的安全教育，并发放安全工作手册和劳动保护用具。</w:t>
      </w:r>
    </w:p>
    <w:p w14:paraId="7679557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9.2.4 承包人应按监理人的指示制定应对灾害的紧急预案，报送监理人审批。承包人还应按预案做好安全检查，配置必要的救助物资和器材，切实保护好有关人员的人身和财产安全。</w:t>
      </w:r>
    </w:p>
    <w:p w14:paraId="711C27B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11D9738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9.2.6 承包人应对其履行合同所雇佣的全部人员，包括分包人人员的工伤事故承担责任，但由于发包人原因造成承包人人员工伤事故的，应由发包人承担责任。</w:t>
      </w:r>
    </w:p>
    <w:p w14:paraId="2F5C7BB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9.2.7 由于承包人原因在施工场地内及其毗邻地带造成的第三者人员伤亡和财产损失，由承包人负责赔偿。</w:t>
      </w:r>
    </w:p>
    <w:p w14:paraId="4EA5A59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9.2.8 承包人已标价工程量清单应包含工程安全作业环境及安全施工措施所需费用。</w:t>
      </w:r>
    </w:p>
    <w:p w14:paraId="64CEAB2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9.2.9 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3A4215D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9.2.10 承包人应设立安全生产管理机构，施工现场应有专职安全生产管理人员。</w:t>
      </w:r>
    </w:p>
    <w:p w14:paraId="56A29A7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9.2.11 承包人应负责对特种作业人员进行专门的安全作业培训，并保证特种作业人员持证上岗。</w:t>
      </w:r>
    </w:p>
    <w:p w14:paraId="7D45F5A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9.2.12 承包人应在施工组织设计中编制安全技术措施和施工现场临时用电方案。对专用</w:t>
      </w:r>
      <w:r>
        <w:rPr>
          <w:rFonts w:hint="eastAsia" w:ascii="宋体" w:hAnsi="宋体" w:eastAsia="宋体" w:cs="宋体"/>
          <w:color w:val="auto"/>
          <w:sz w:val="21"/>
          <w:szCs w:val="21"/>
          <w:highlight w:val="none"/>
          <w:lang w:eastAsia="zh-CN"/>
        </w:rPr>
        <w:t>合</w:t>
      </w:r>
      <w:r>
        <w:rPr>
          <w:rFonts w:hint="eastAsia" w:ascii="宋体" w:hAnsi="宋体" w:eastAsia="宋体" w:cs="宋体"/>
          <w:color w:val="auto"/>
          <w:sz w:val="21"/>
          <w:szCs w:val="21"/>
          <w:highlight w:val="none"/>
        </w:rPr>
        <w:t>同条款约定的工程，应编制专项施工方案报监理人批准。对专用合同条款约定的专项施工方案，还应组织专家进行论证、审查，其中专家1/2人员应经发包人同意。</w:t>
      </w:r>
    </w:p>
    <w:p w14:paraId="6443766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9.2.13 承包人在使用施工起重机械和整体提升脚手架、模板等自升式架设设施前，应组织有关单位进行验收。</w:t>
      </w:r>
    </w:p>
    <w:p w14:paraId="63ECAAF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55" w:name="_Toc186623739"/>
      <w:bookmarkStart w:id="856" w:name="_Toc186623426"/>
      <w:r>
        <w:rPr>
          <w:rFonts w:hint="eastAsia" w:ascii="宋体" w:hAnsi="宋体" w:eastAsia="宋体" w:cs="宋体"/>
          <w:b/>
          <w:bCs/>
          <w:color w:val="auto"/>
          <w:sz w:val="21"/>
          <w:szCs w:val="21"/>
          <w:highlight w:val="none"/>
        </w:rPr>
        <w:t>9.3 治安保卫</w:t>
      </w:r>
      <w:bookmarkEnd w:id="855"/>
      <w:bookmarkEnd w:id="856"/>
    </w:p>
    <w:p w14:paraId="5987624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9.3.1 除合同另有约定外，发包人应与当地公安部门协商，在现场建立治安管理机构或联防组织，统一管理施工场地的治安保卫事项，履行合同工程的治安保卫职责。</w:t>
      </w:r>
    </w:p>
    <w:p w14:paraId="2F8C3C4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9.3.2 发包人和承包人除应协助现场治安管理机构或联防组织维护施工场地的社会治安外，还应做好包括生活区在内的各自管辖区的治安保卫工作。</w:t>
      </w:r>
    </w:p>
    <w:p w14:paraId="4372BC1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79C2CF8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57" w:name="_Toc186623427"/>
      <w:bookmarkStart w:id="858" w:name="_Toc186623740"/>
      <w:r>
        <w:rPr>
          <w:rFonts w:hint="eastAsia" w:ascii="宋体" w:hAnsi="宋体" w:eastAsia="宋体" w:cs="宋体"/>
          <w:b/>
          <w:bCs/>
          <w:color w:val="auto"/>
          <w:sz w:val="21"/>
          <w:szCs w:val="21"/>
          <w:highlight w:val="none"/>
        </w:rPr>
        <w:t>9.4 环境保护</w:t>
      </w:r>
      <w:bookmarkEnd w:id="857"/>
      <w:bookmarkEnd w:id="858"/>
    </w:p>
    <w:p w14:paraId="61EC7F0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9.4.1 承包人在施工过程中，应遵守有关环境保护的法律，履行合同约定的环境保护义务，并对违反法律和合同约定义务所造成的环境破坏、人身伤害和财产损失负责。</w:t>
      </w:r>
    </w:p>
    <w:p w14:paraId="0CA87EB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9.4.2 承包人应按合同约定的环保工作内容，编制施工环保措施计划，报送监理人审批。</w:t>
      </w:r>
    </w:p>
    <w:p w14:paraId="3DD3385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6C953AE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9.4.4 承包人应按合同约定采取有效措施，对施工开挖的边坡及时进行支护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维护排水设施，并进行水土保护，避免因施工造成的地质灾害。</w:t>
      </w:r>
    </w:p>
    <w:p w14:paraId="646BB94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9.4.5 承包人应按国家饮用水管理标准定期对饮用水源进行监测，防止施工活动污染饮用水源。</w:t>
      </w:r>
    </w:p>
    <w:p w14:paraId="28ADB6D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9.4.6 承包人应按合同约定，加强对噪声、粉尘、废气、废水和废油的控制，努力降低噪声，控制粉尘和废气浓度，做好废水和废油的治理和排放。</w:t>
      </w:r>
    </w:p>
    <w:p w14:paraId="4438378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9.5 事故处理</w:t>
      </w:r>
    </w:p>
    <w:p w14:paraId="430A6F7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 发包人负责组织制定本建设项目的质量与安全事故应急预案，建立项目工程建设质量与安全事故应急处置指挥部，承包人应予配合。</w:t>
      </w:r>
    </w:p>
    <w:p w14:paraId="3708C55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 承包人应加强对易发生质量和安全事故的部位、环节的监控，以及加强对救援器材、设备检查并定期组织演练。</w:t>
      </w:r>
    </w:p>
    <w:p w14:paraId="665B92E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9.5.3 在工程项目开工前，承包人还应根据项目的特点制定本项目施工现场施工质量与安全事故应急预案，并报送发包人和监理人。</w:t>
      </w:r>
    </w:p>
    <w:p w14:paraId="11AB52E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9.5.4 承包人负责制定本单位施工质量与安全事故应急预案。</w:t>
      </w:r>
    </w:p>
    <w:p w14:paraId="5E76885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9.5.5 事故调查处理由发包人按相关规定履行手续，承包人应配合。</w:t>
      </w:r>
    </w:p>
    <w:p w14:paraId="72D557E0">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59" w:name="_Toc256079589"/>
      <w:r>
        <w:rPr>
          <w:rFonts w:hint="eastAsia" w:ascii="宋体" w:hAnsi="宋体" w:eastAsia="宋体" w:cs="宋体"/>
          <w:b/>
          <w:bCs/>
          <w:color w:val="auto"/>
          <w:sz w:val="21"/>
          <w:szCs w:val="21"/>
          <w:highlight w:val="none"/>
        </w:rPr>
        <w:t>9.6 水土保持</w:t>
      </w:r>
      <w:bookmarkEnd w:id="854"/>
      <w:bookmarkEnd w:id="859"/>
    </w:p>
    <w:p w14:paraId="732F632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bookmarkStart w:id="860" w:name="_Toc221950837"/>
      <w:r>
        <w:rPr>
          <w:rFonts w:hint="eastAsia" w:ascii="宋体" w:hAnsi="宋体" w:eastAsia="宋体" w:cs="宋体"/>
          <w:color w:val="auto"/>
          <w:sz w:val="21"/>
          <w:szCs w:val="21"/>
          <w:highlight w:val="none"/>
        </w:rPr>
        <w:t>9.6.1 发包人应及时向承包人提供水土保持方案。</w:t>
      </w:r>
    </w:p>
    <w:bookmarkEnd w:id="860"/>
    <w:p w14:paraId="29AE799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bookmarkStart w:id="861" w:name="_Toc221950838"/>
      <w:r>
        <w:rPr>
          <w:rFonts w:hint="eastAsia" w:ascii="宋体" w:hAnsi="宋体" w:eastAsia="宋体" w:cs="宋体"/>
          <w:color w:val="auto"/>
          <w:sz w:val="21"/>
          <w:szCs w:val="21"/>
          <w:highlight w:val="none"/>
        </w:rPr>
        <w:t>9.6.2 承包人在施工过程中，应遵守有关水土保持的法律，履行合同约定的水土保持义务，并对其违反法律和合同约定义务所造成的水土流失灾害、人身伤害和财产损失负责。</w:t>
      </w:r>
    </w:p>
    <w:bookmarkEnd w:id="861"/>
    <w:p w14:paraId="4393CF7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bookmarkStart w:id="862" w:name="_Toc221950839"/>
      <w:r>
        <w:rPr>
          <w:rFonts w:hint="eastAsia" w:ascii="宋体" w:hAnsi="宋体" w:eastAsia="宋体" w:cs="宋体"/>
          <w:color w:val="auto"/>
          <w:sz w:val="21"/>
          <w:szCs w:val="21"/>
          <w:highlight w:val="none"/>
        </w:rPr>
        <w:t>9.6.3 承包人的水土保持措施计划，</w:t>
      </w:r>
      <w:bookmarkEnd w:id="862"/>
      <w:r>
        <w:rPr>
          <w:rFonts w:hint="eastAsia" w:ascii="宋体" w:hAnsi="宋体" w:eastAsia="宋体" w:cs="宋体"/>
          <w:color w:val="auto"/>
          <w:sz w:val="21"/>
          <w:szCs w:val="21"/>
          <w:highlight w:val="none"/>
        </w:rPr>
        <w:t>应满足技术标准和要求（合同技术条款）约定的要求。</w:t>
      </w:r>
    </w:p>
    <w:p w14:paraId="7E2DC80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9.7 文明工地</w:t>
      </w:r>
    </w:p>
    <w:p w14:paraId="42EEF5F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bookmarkStart w:id="863" w:name="_Toc256079590"/>
      <w:bookmarkStart w:id="864" w:name="_Toc266859659"/>
      <w:bookmarkStart w:id="865" w:name="_Toc263175961"/>
      <w:r>
        <w:rPr>
          <w:rFonts w:hint="eastAsia" w:ascii="宋体" w:hAnsi="宋体" w:eastAsia="宋体" w:cs="宋体"/>
          <w:color w:val="auto"/>
          <w:sz w:val="21"/>
          <w:szCs w:val="21"/>
          <w:highlight w:val="none"/>
        </w:rPr>
        <w:t>9.7.1 发包人应按专用合同条款的约定，负责建立创建文明建设工地的组织机构，制定创建文明建设工地的规划和办法。</w:t>
      </w:r>
      <w:bookmarkEnd w:id="863"/>
      <w:bookmarkEnd w:id="864"/>
      <w:bookmarkEnd w:id="865"/>
    </w:p>
    <w:p w14:paraId="3C1F22C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9.7.2 承包人应按创建文明建设工地的规划和办法，履行职责，承担相应责任。所需费用应含在已标价工程量清单中。</w:t>
      </w:r>
    </w:p>
    <w:p w14:paraId="4D70F2B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66" w:name="_Toc266859660"/>
      <w:bookmarkStart w:id="867" w:name="_Toc256079591"/>
      <w:bookmarkStart w:id="868" w:name="_Toc263175962"/>
      <w:r>
        <w:rPr>
          <w:rFonts w:hint="eastAsia" w:ascii="宋体" w:hAnsi="宋体" w:eastAsia="宋体" w:cs="宋体"/>
          <w:b/>
          <w:bCs/>
          <w:color w:val="auto"/>
          <w:sz w:val="21"/>
          <w:szCs w:val="21"/>
          <w:highlight w:val="none"/>
        </w:rPr>
        <w:t>9.8 防汛度汛</w:t>
      </w:r>
      <w:bookmarkEnd w:id="866"/>
      <w:bookmarkEnd w:id="867"/>
      <w:bookmarkEnd w:id="868"/>
    </w:p>
    <w:p w14:paraId="26116EA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9.8.1 发包人负责组织工程参建单位编制本工程的度汛方案和措施。</w:t>
      </w:r>
    </w:p>
    <w:p w14:paraId="066EFC8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9.8.2 承包人应根据发包人编制的本工程度汛方案和措施，制定相应的度汛方案，报发包人批准后实施。</w:t>
      </w:r>
    </w:p>
    <w:p w14:paraId="56A680B8">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869" w:name="_Toc21955"/>
      <w:bookmarkStart w:id="870" w:name="_Toc36069698"/>
      <w:bookmarkStart w:id="871" w:name="_Toc222032680"/>
      <w:bookmarkStart w:id="872" w:name="_Toc9918"/>
      <w:bookmarkStart w:id="873" w:name="_Toc15519"/>
      <w:bookmarkStart w:id="874" w:name="_Toc11769"/>
      <w:bookmarkStart w:id="875" w:name="_Toc21142"/>
      <w:bookmarkStart w:id="876" w:name="_Toc30789"/>
      <w:bookmarkStart w:id="877" w:name="_Toc221950840"/>
      <w:bookmarkStart w:id="878" w:name="_Toc32654"/>
      <w:bookmarkStart w:id="879" w:name="_Toc2593"/>
      <w:bookmarkStart w:id="880" w:name="_Toc8163"/>
      <w:bookmarkStart w:id="881" w:name="_Toc266859661"/>
      <w:bookmarkStart w:id="882" w:name="_Toc267492123"/>
      <w:bookmarkStart w:id="883" w:name="_Toc222033862"/>
      <w:bookmarkStart w:id="884" w:name="_Toc229305371"/>
      <w:bookmarkStart w:id="885" w:name="_Toc17738"/>
      <w:bookmarkStart w:id="886" w:name="_Toc18476"/>
      <w:bookmarkStart w:id="887" w:name="_Toc222031013"/>
      <w:bookmarkStart w:id="888" w:name="_Toc271870454"/>
      <w:bookmarkStart w:id="889" w:name="_Toc268299776"/>
      <w:bookmarkStart w:id="890" w:name="_Toc222029511"/>
      <w:bookmarkStart w:id="891" w:name="_Toc427509420"/>
      <w:bookmarkStart w:id="892" w:name="_Toc427509920"/>
      <w:bookmarkStart w:id="893" w:name="_Toc332378879"/>
      <w:bookmarkStart w:id="894" w:name="_Toc3451202"/>
      <w:bookmarkStart w:id="895" w:name="_Toc1073"/>
      <w:r>
        <w:rPr>
          <w:rFonts w:hint="eastAsia" w:ascii="宋体" w:hAnsi="宋体" w:eastAsia="宋体" w:cs="宋体"/>
          <w:b/>
          <w:bCs/>
          <w:color w:val="auto"/>
          <w:sz w:val="21"/>
          <w:szCs w:val="21"/>
          <w:highlight w:val="none"/>
        </w:rPr>
        <w:t>10. 进度计划</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p>
    <w:p w14:paraId="1ECB1A46">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96" w:name="_Toc221950843"/>
      <w:r>
        <w:rPr>
          <w:rFonts w:hint="eastAsia" w:ascii="宋体" w:hAnsi="宋体" w:eastAsia="宋体" w:cs="宋体"/>
          <w:b/>
          <w:bCs/>
          <w:color w:val="auto"/>
          <w:sz w:val="21"/>
          <w:szCs w:val="21"/>
          <w:highlight w:val="none"/>
        </w:rPr>
        <w:t>10.1 合同进度计划</w:t>
      </w:r>
    </w:p>
    <w:p w14:paraId="51654CD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bookmarkEnd w:id="896"/>
    <w:p w14:paraId="53CCF8C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97" w:name="_Toc221950845"/>
      <w:r>
        <w:rPr>
          <w:rFonts w:hint="eastAsia" w:ascii="宋体" w:hAnsi="宋体" w:eastAsia="宋体" w:cs="宋体"/>
          <w:b/>
          <w:bCs/>
          <w:color w:val="auto"/>
          <w:sz w:val="21"/>
          <w:szCs w:val="21"/>
          <w:highlight w:val="none"/>
        </w:rPr>
        <w:t>10.2 合同进度计划的修订</w:t>
      </w:r>
    </w:p>
    <w:bookmarkEnd w:id="897"/>
    <w:p w14:paraId="65FBD9B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0B5E77E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7821DBE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898" w:name="_Toc221950846"/>
      <w:r>
        <w:rPr>
          <w:rFonts w:hint="eastAsia" w:ascii="宋体" w:hAnsi="宋体" w:eastAsia="宋体" w:cs="宋体"/>
          <w:b/>
          <w:bCs/>
          <w:color w:val="auto"/>
          <w:sz w:val="21"/>
          <w:szCs w:val="21"/>
          <w:highlight w:val="none"/>
        </w:rPr>
        <w:t>10.3 单位工程进度计划</w:t>
      </w:r>
      <w:bookmarkEnd w:id="898"/>
    </w:p>
    <w:p w14:paraId="4D175041">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899" w:name="_Toc221950847"/>
      <w:r>
        <w:rPr>
          <w:rFonts w:hint="eastAsia" w:ascii="宋体" w:hAnsi="宋体" w:eastAsia="宋体" w:cs="宋体"/>
          <w:color w:val="auto"/>
          <w:sz w:val="21"/>
          <w:szCs w:val="21"/>
          <w:highlight w:val="none"/>
        </w:rPr>
        <w:t>监理人认为有必要时，承包人应按监理人指示的内容和期限，并根据合同进度计划的进度控制要求，编制单位工程进度计划，提交监理人审批。</w:t>
      </w:r>
      <w:bookmarkEnd w:id="899"/>
    </w:p>
    <w:p w14:paraId="5775A02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00" w:name="_Toc221950848"/>
      <w:r>
        <w:rPr>
          <w:rFonts w:hint="eastAsia" w:ascii="宋体" w:hAnsi="宋体" w:eastAsia="宋体" w:cs="宋体"/>
          <w:b/>
          <w:bCs/>
          <w:color w:val="auto"/>
          <w:sz w:val="21"/>
          <w:szCs w:val="21"/>
          <w:highlight w:val="none"/>
        </w:rPr>
        <w:t>10.4 提交资金流估算表</w:t>
      </w:r>
      <w:bookmarkEnd w:id="900"/>
    </w:p>
    <w:p w14:paraId="36B52A6D">
      <w:pPr>
        <w:widowControl w:val="0"/>
        <w:wordWrap w:val="0"/>
        <w:spacing w:line="360" w:lineRule="auto"/>
        <w:ind w:firstLine="420" w:firstLineChars="200"/>
        <w:jc w:val="left"/>
        <w:rPr>
          <w:rFonts w:hint="eastAsia" w:ascii="宋体" w:hAnsi="宋体" w:eastAsia="宋体" w:cs="宋体"/>
          <w:b/>
          <w:color w:val="auto"/>
          <w:sz w:val="21"/>
          <w:szCs w:val="21"/>
          <w:highlight w:val="none"/>
        </w:rPr>
      </w:pPr>
      <w:bookmarkStart w:id="901" w:name="_Toc221950849"/>
      <w:r>
        <w:rPr>
          <w:rFonts w:hint="eastAsia" w:ascii="宋体" w:hAnsi="宋体" w:eastAsia="宋体" w:cs="宋体"/>
          <w:color w:val="auto"/>
          <w:sz w:val="21"/>
          <w:szCs w:val="21"/>
          <w:highlight w:val="none"/>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901"/>
    </w:p>
    <w:p w14:paraId="317AFC8D">
      <w:pPr>
        <w:widowControl w:val="0"/>
        <w:wordWrap w:val="0"/>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bookmarkStart w:id="902" w:name="_Toc221950850"/>
      <w:r>
        <w:rPr>
          <w:rFonts w:hint="eastAsia" w:ascii="宋体" w:hAnsi="宋体" w:eastAsia="宋体" w:cs="宋体"/>
          <w:b/>
          <w:color w:val="auto"/>
          <w:sz w:val="21"/>
          <w:szCs w:val="21"/>
          <w:highlight w:val="none"/>
        </w:rPr>
        <w:t>资金流估算表</w:t>
      </w:r>
      <w:r>
        <w:rPr>
          <w:rFonts w:hint="eastAsia" w:ascii="宋体" w:hAnsi="宋体" w:eastAsia="宋体" w:cs="宋体"/>
          <w:b/>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金额单位</w:t>
      </w:r>
      <w:bookmarkEnd w:id="902"/>
      <w:r>
        <w:rPr>
          <w:rFonts w:hint="eastAsia" w:ascii="宋体" w:hAnsi="宋体" w:eastAsia="宋体" w:cs="宋体"/>
          <w:color w:val="auto"/>
          <w:sz w:val="21"/>
          <w:szCs w:val="21"/>
          <w:highlight w:val="none"/>
          <w:u w:val="single"/>
        </w:rPr>
        <w:t xml:space="preserve">       </w:t>
      </w:r>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14"/>
        <w:gridCol w:w="414"/>
        <w:gridCol w:w="960"/>
        <w:gridCol w:w="1155"/>
        <w:gridCol w:w="945"/>
        <w:gridCol w:w="1050"/>
        <w:gridCol w:w="945"/>
        <w:gridCol w:w="945"/>
        <w:gridCol w:w="1050"/>
        <w:gridCol w:w="1155"/>
      </w:tblGrid>
      <w:tr w14:paraId="7202D0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14" w:type="dxa"/>
            <w:noWrap w:val="0"/>
            <w:vAlign w:val="center"/>
          </w:tcPr>
          <w:p w14:paraId="706CDF5F">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Cs w:val="21"/>
                <w:highlight w:val="none"/>
              </w:rPr>
            </w:pPr>
            <w:bookmarkStart w:id="903" w:name="_Toc221950851"/>
            <w:r>
              <w:rPr>
                <w:rFonts w:hint="eastAsia" w:ascii="宋体" w:hAnsi="宋体" w:eastAsia="宋体" w:cs="宋体"/>
                <w:color w:val="auto"/>
                <w:szCs w:val="21"/>
                <w:highlight w:val="none"/>
              </w:rPr>
              <w:t>年</w:t>
            </w:r>
            <w:bookmarkEnd w:id="903"/>
          </w:p>
        </w:tc>
        <w:tc>
          <w:tcPr>
            <w:tcW w:w="414" w:type="dxa"/>
            <w:noWrap w:val="0"/>
            <w:vAlign w:val="center"/>
          </w:tcPr>
          <w:p w14:paraId="72BCF00A">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Cs w:val="21"/>
                <w:highlight w:val="none"/>
              </w:rPr>
            </w:pPr>
            <w:bookmarkStart w:id="904" w:name="_Toc221950852"/>
            <w:r>
              <w:rPr>
                <w:rFonts w:hint="eastAsia" w:ascii="宋体" w:hAnsi="宋体" w:eastAsia="宋体" w:cs="宋体"/>
                <w:color w:val="auto"/>
                <w:szCs w:val="21"/>
                <w:highlight w:val="none"/>
              </w:rPr>
              <w:t>月</w:t>
            </w:r>
            <w:bookmarkEnd w:id="904"/>
          </w:p>
        </w:tc>
        <w:tc>
          <w:tcPr>
            <w:tcW w:w="960" w:type="dxa"/>
            <w:noWrap w:val="0"/>
            <w:vAlign w:val="center"/>
          </w:tcPr>
          <w:p w14:paraId="52DFD7A2">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bookmarkStart w:id="905" w:name="_Toc221950853"/>
            <w:r>
              <w:rPr>
                <w:rFonts w:hint="eastAsia" w:ascii="宋体" w:hAnsi="宋体" w:eastAsia="宋体" w:cs="宋体"/>
                <w:color w:val="auto"/>
                <w:szCs w:val="21"/>
                <w:highlight w:val="none"/>
              </w:rPr>
              <w:t>工程</w:t>
            </w:r>
            <w:bookmarkEnd w:id="905"/>
            <w:bookmarkStart w:id="906" w:name="_Toc221950854"/>
            <w:r>
              <w:rPr>
                <w:rFonts w:hint="eastAsia" w:ascii="宋体" w:hAnsi="宋体" w:eastAsia="宋体" w:cs="宋体"/>
                <w:color w:val="auto"/>
                <w:szCs w:val="21"/>
                <w:highlight w:val="none"/>
              </w:rPr>
              <w:t>预付款</w:t>
            </w:r>
            <w:bookmarkEnd w:id="906"/>
          </w:p>
        </w:tc>
        <w:tc>
          <w:tcPr>
            <w:tcW w:w="1155" w:type="dxa"/>
            <w:noWrap w:val="0"/>
            <w:vAlign w:val="center"/>
          </w:tcPr>
          <w:p w14:paraId="54BEF085">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bookmarkStart w:id="907" w:name="_Toc221950855"/>
            <w:r>
              <w:rPr>
                <w:rFonts w:hint="eastAsia" w:ascii="宋体" w:hAnsi="宋体" w:eastAsia="宋体" w:cs="宋体"/>
                <w:color w:val="auto"/>
                <w:szCs w:val="21"/>
                <w:highlight w:val="none"/>
              </w:rPr>
              <w:t>完成工作量付款</w:t>
            </w:r>
            <w:bookmarkEnd w:id="907"/>
          </w:p>
        </w:tc>
        <w:tc>
          <w:tcPr>
            <w:tcW w:w="945" w:type="dxa"/>
            <w:noWrap w:val="0"/>
            <w:vAlign w:val="center"/>
          </w:tcPr>
          <w:p w14:paraId="6B1423E5">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bookmarkStart w:id="908" w:name="_Toc221950856"/>
            <w:r>
              <w:rPr>
                <w:rFonts w:hint="eastAsia" w:ascii="宋体" w:hAnsi="宋体" w:eastAsia="宋体" w:cs="宋体"/>
                <w:color w:val="auto"/>
                <w:szCs w:val="21"/>
                <w:highlight w:val="none"/>
                <w:lang w:val="en-US" w:eastAsia="zh-CN"/>
              </w:rPr>
              <w:t>质量保证</w:t>
            </w:r>
            <w:r>
              <w:rPr>
                <w:rFonts w:hint="eastAsia" w:ascii="宋体" w:hAnsi="宋体" w:eastAsia="宋体" w:cs="宋体"/>
                <w:color w:val="auto"/>
                <w:szCs w:val="21"/>
                <w:highlight w:val="none"/>
              </w:rPr>
              <w:t>金</w:t>
            </w:r>
            <w:bookmarkEnd w:id="908"/>
          </w:p>
          <w:p w14:paraId="077F7A37">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bookmarkStart w:id="909" w:name="_Toc221950857"/>
            <w:r>
              <w:rPr>
                <w:rFonts w:hint="eastAsia" w:ascii="宋体" w:hAnsi="宋体" w:eastAsia="宋体" w:cs="宋体"/>
                <w:color w:val="auto"/>
                <w:szCs w:val="21"/>
                <w:highlight w:val="none"/>
              </w:rPr>
              <w:t>扣留</w:t>
            </w:r>
            <w:bookmarkEnd w:id="909"/>
          </w:p>
        </w:tc>
        <w:tc>
          <w:tcPr>
            <w:tcW w:w="1050" w:type="dxa"/>
            <w:noWrap w:val="0"/>
            <w:vAlign w:val="center"/>
          </w:tcPr>
          <w:p w14:paraId="3BDE07F7">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bookmarkStart w:id="910" w:name="_Toc221950858"/>
            <w:r>
              <w:rPr>
                <w:rFonts w:hint="eastAsia" w:ascii="宋体" w:hAnsi="宋体" w:eastAsia="宋体" w:cs="宋体"/>
                <w:color w:val="auto"/>
                <w:szCs w:val="21"/>
                <w:highlight w:val="none"/>
              </w:rPr>
              <w:t>材料款</w:t>
            </w:r>
            <w:bookmarkEnd w:id="910"/>
            <w:bookmarkStart w:id="911" w:name="_Toc221950859"/>
            <w:r>
              <w:rPr>
                <w:rFonts w:hint="eastAsia" w:ascii="宋体" w:hAnsi="宋体" w:eastAsia="宋体" w:cs="宋体"/>
                <w:color w:val="auto"/>
                <w:szCs w:val="21"/>
                <w:highlight w:val="none"/>
              </w:rPr>
              <w:t>扣除</w:t>
            </w:r>
            <w:bookmarkEnd w:id="911"/>
          </w:p>
        </w:tc>
        <w:tc>
          <w:tcPr>
            <w:tcW w:w="945" w:type="dxa"/>
            <w:noWrap w:val="0"/>
            <w:vAlign w:val="center"/>
          </w:tcPr>
          <w:p w14:paraId="699EA5A5">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bookmarkStart w:id="912" w:name="_Toc221950860"/>
            <w:r>
              <w:rPr>
                <w:rFonts w:hint="eastAsia" w:ascii="宋体" w:hAnsi="宋体" w:eastAsia="宋体" w:cs="宋体"/>
                <w:color w:val="auto"/>
                <w:szCs w:val="21"/>
                <w:highlight w:val="none"/>
              </w:rPr>
              <w:t>预付款</w:t>
            </w:r>
            <w:bookmarkEnd w:id="912"/>
            <w:bookmarkStart w:id="913" w:name="_Toc221950861"/>
            <w:r>
              <w:rPr>
                <w:rFonts w:hint="eastAsia" w:ascii="宋体" w:hAnsi="宋体" w:eastAsia="宋体" w:cs="宋体"/>
                <w:color w:val="auto"/>
                <w:szCs w:val="21"/>
                <w:highlight w:val="none"/>
              </w:rPr>
              <w:t>扣还</w:t>
            </w:r>
            <w:bookmarkEnd w:id="913"/>
          </w:p>
        </w:tc>
        <w:tc>
          <w:tcPr>
            <w:tcW w:w="945" w:type="dxa"/>
            <w:noWrap w:val="0"/>
            <w:vAlign w:val="center"/>
          </w:tcPr>
          <w:p w14:paraId="513DF80E">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bookmarkStart w:id="914" w:name="_Toc221950862"/>
            <w:r>
              <w:rPr>
                <w:rFonts w:hint="eastAsia" w:ascii="宋体" w:hAnsi="宋体" w:eastAsia="宋体" w:cs="宋体"/>
                <w:color w:val="auto"/>
                <w:szCs w:val="21"/>
                <w:highlight w:val="none"/>
              </w:rPr>
              <w:t>其他</w:t>
            </w:r>
            <w:bookmarkEnd w:id="914"/>
          </w:p>
        </w:tc>
        <w:tc>
          <w:tcPr>
            <w:tcW w:w="1050" w:type="dxa"/>
            <w:noWrap w:val="0"/>
            <w:vAlign w:val="center"/>
          </w:tcPr>
          <w:p w14:paraId="5F9FB237">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bookmarkStart w:id="915" w:name="_Toc221950863"/>
            <w:r>
              <w:rPr>
                <w:rFonts w:hint="eastAsia" w:ascii="宋体" w:hAnsi="宋体" w:eastAsia="宋体" w:cs="宋体"/>
                <w:color w:val="auto"/>
                <w:szCs w:val="21"/>
                <w:highlight w:val="none"/>
              </w:rPr>
              <w:t>应收款</w:t>
            </w:r>
            <w:bookmarkEnd w:id="915"/>
          </w:p>
        </w:tc>
        <w:tc>
          <w:tcPr>
            <w:tcW w:w="1155" w:type="dxa"/>
            <w:noWrap w:val="0"/>
            <w:vAlign w:val="center"/>
          </w:tcPr>
          <w:p w14:paraId="6B7EEF0B">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bookmarkStart w:id="916" w:name="_Toc221950864"/>
            <w:r>
              <w:rPr>
                <w:rFonts w:hint="eastAsia" w:ascii="宋体" w:hAnsi="宋体" w:eastAsia="宋体" w:cs="宋体"/>
                <w:color w:val="auto"/>
                <w:szCs w:val="21"/>
                <w:highlight w:val="none"/>
              </w:rPr>
              <w:t>累计</w:t>
            </w:r>
            <w:bookmarkEnd w:id="916"/>
            <w:bookmarkStart w:id="917" w:name="_Toc221950865"/>
            <w:r>
              <w:rPr>
                <w:rFonts w:hint="eastAsia" w:ascii="宋体" w:hAnsi="宋体" w:eastAsia="宋体" w:cs="宋体"/>
                <w:color w:val="auto"/>
                <w:szCs w:val="21"/>
                <w:highlight w:val="none"/>
              </w:rPr>
              <w:t>应收款</w:t>
            </w:r>
            <w:bookmarkEnd w:id="917"/>
          </w:p>
        </w:tc>
      </w:tr>
      <w:tr w14:paraId="75E0AE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14" w:type="dxa"/>
            <w:noWrap w:val="0"/>
            <w:vAlign w:val="center"/>
          </w:tcPr>
          <w:p w14:paraId="5018B23D">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414" w:type="dxa"/>
            <w:noWrap w:val="0"/>
            <w:vAlign w:val="center"/>
          </w:tcPr>
          <w:p w14:paraId="0F86A9CD">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60" w:type="dxa"/>
            <w:noWrap w:val="0"/>
            <w:vAlign w:val="center"/>
          </w:tcPr>
          <w:p w14:paraId="29E77EFB">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155" w:type="dxa"/>
            <w:noWrap w:val="0"/>
            <w:vAlign w:val="center"/>
          </w:tcPr>
          <w:p w14:paraId="08F17CC3">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center"/>
          </w:tcPr>
          <w:p w14:paraId="6BDA5C80">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050" w:type="dxa"/>
            <w:noWrap w:val="0"/>
            <w:vAlign w:val="center"/>
          </w:tcPr>
          <w:p w14:paraId="7620EB00">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center"/>
          </w:tcPr>
          <w:p w14:paraId="5891AF06">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top"/>
          </w:tcPr>
          <w:p w14:paraId="5928D1E2">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050" w:type="dxa"/>
            <w:noWrap w:val="0"/>
            <w:vAlign w:val="top"/>
          </w:tcPr>
          <w:p w14:paraId="6A05B281">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155" w:type="dxa"/>
            <w:noWrap w:val="0"/>
            <w:vAlign w:val="center"/>
          </w:tcPr>
          <w:p w14:paraId="2E226EBA">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r>
      <w:tr w14:paraId="4CE14C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14" w:type="dxa"/>
            <w:noWrap w:val="0"/>
            <w:vAlign w:val="center"/>
          </w:tcPr>
          <w:p w14:paraId="61DEED54">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414" w:type="dxa"/>
            <w:noWrap w:val="0"/>
            <w:vAlign w:val="center"/>
          </w:tcPr>
          <w:p w14:paraId="043170F1">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60" w:type="dxa"/>
            <w:noWrap w:val="0"/>
            <w:vAlign w:val="center"/>
          </w:tcPr>
          <w:p w14:paraId="729D2CCD">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155" w:type="dxa"/>
            <w:noWrap w:val="0"/>
            <w:vAlign w:val="center"/>
          </w:tcPr>
          <w:p w14:paraId="6CBCBDAD">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center"/>
          </w:tcPr>
          <w:p w14:paraId="6BFD1247">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050" w:type="dxa"/>
            <w:noWrap w:val="0"/>
            <w:vAlign w:val="center"/>
          </w:tcPr>
          <w:p w14:paraId="144CF4F3">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center"/>
          </w:tcPr>
          <w:p w14:paraId="4BD868DE">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top"/>
          </w:tcPr>
          <w:p w14:paraId="552F2ACA">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050" w:type="dxa"/>
            <w:noWrap w:val="0"/>
            <w:vAlign w:val="top"/>
          </w:tcPr>
          <w:p w14:paraId="70427097">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155" w:type="dxa"/>
            <w:noWrap w:val="0"/>
            <w:vAlign w:val="center"/>
          </w:tcPr>
          <w:p w14:paraId="3E67D312">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r>
    </w:tbl>
    <w:p w14:paraId="221E15CD">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918" w:name="_Toc268299777"/>
      <w:bookmarkStart w:id="919" w:name="_Toc427509921"/>
      <w:bookmarkStart w:id="920" w:name="_Toc221950866"/>
      <w:bookmarkStart w:id="921" w:name="_Toc266859662"/>
      <w:bookmarkStart w:id="922" w:name="_Toc32034"/>
      <w:bookmarkStart w:id="923" w:name="_Toc222032681"/>
      <w:bookmarkStart w:id="924" w:name="_Toc1147"/>
      <w:bookmarkStart w:id="925" w:name="_Toc4382"/>
      <w:bookmarkStart w:id="926" w:name="_Toc222029512"/>
      <w:bookmarkStart w:id="927" w:name="_Toc2225"/>
      <w:bookmarkStart w:id="928" w:name="_Toc222031014"/>
      <w:bookmarkStart w:id="929" w:name="_Toc332378880"/>
      <w:bookmarkStart w:id="930" w:name="_Toc427509421"/>
      <w:bookmarkStart w:id="931" w:name="_Toc25300"/>
      <w:bookmarkStart w:id="932" w:name="_Toc26737"/>
      <w:bookmarkStart w:id="933" w:name="_Toc222033863"/>
      <w:bookmarkStart w:id="934" w:name="_Toc9113"/>
      <w:bookmarkStart w:id="935" w:name="_Toc26298"/>
      <w:bookmarkStart w:id="936" w:name="_Toc36069699"/>
      <w:bookmarkStart w:id="937" w:name="_Toc267492124"/>
      <w:bookmarkStart w:id="938" w:name="_Toc17009"/>
      <w:bookmarkStart w:id="939" w:name="_Toc17278"/>
      <w:bookmarkStart w:id="940" w:name="_Toc271870455"/>
      <w:bookmarkStart w:id="941" w:name="_Toc3451203"/>
      <w:bookmarkStart w:id="942" w:name="_Toc229305372"/>
      <w:bookmarkStart w:id="943" w:name="_Toc603"/>
      <w:bookmarkStart w:id="944" w:name="_Toc23564"/>
      <w:r>
        <w:rPr>
          <w:rFonts w:hint="eastAsia" w:ascii="宋体" w:hAnsi="宋体" w:eastAsia="宋体" w:cs="宋体"/>
          <w:b/>
          <w:bCs/>
          <w:color w:val="auto"/>
          <w:sz w:val="21"/>
          <w:szCs w:val="21"/>
          <w:highlight w:val="none"/>
        </w:rPr>
        <w:t>11. 开工和竣工</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2E04C4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45" w:name="_Toc221950869"/>
      <w:r>
        <w:rPr>
          <w:rFonts w:hint="eastAsia" w:ascii="宋体" w:hAnsi="宋体" w:eastAsia="宋体" w:cs="宋体"/>
          <w:b/>
          <w:bCs/>
          <w:color w:val="auto"/>
          <w:sz w:val="21"/>
          <w:szCs w:val="21"/>
          <w:highlight w:val="none"/>
        </w:rPr>
        <w:t>11.1 开工</w:t>
      </w:r>
    </w:p>
    <w:p w14:paraId="1537C23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监理人应在开工日期7天前向承包人发出开工通知。监理人在发出开工通知前应获得发包人同意。工期自监理人发出的开工通知中载明的开工日期起计算。承包人应在开工日期后尽快施工。</w:t>
      </w:r>
    </w:p>
    <w:p w14:paraId="73DE3F5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5211474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若发包人未能按合同约定向承包人提供开工的必要条件，承包人有权要求延长工期。监理人应在收到承包人的书面要求后，按第3.5款的约定，与合同双方商定或确定增加的费用和延长的工期。</w:t>
      </w:r>
      <w:bookmarkEnd w:id="945"/>
    </w:p>
    <w:p w14:paraId="6DE4BDF5">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946" w:name="_Toc221950870"/>
      <w:r>
        <w:rPr>
          <w:rFonts w:hint="eastAsia" w:ascii="宋体" w:hAnsi="宋体" w:eastAsia="宋体" w:cs="宋体"/>
          <w:color w:val="auto"/>
          <w:sz w:val="21"/>
          <w:szCs w:val="21"/>
          <w:highlight w:val="none"/>
        </w:rPr>
        <w:t>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946"/>
    </w:p>
    <w:p w14:paraId="65F86DF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47" w:name="_Toc186623434"/>
      <w:bookmarkStart w:id="948" w:name="_Toc186623747"/>
      <w:r>
        <w:rPr>
          <w:rFonts w:hint="eastAsia" w:ascii="宋体" w:hAnsi="宋体" w:eastAsia="宋体" w:cs="宋体"/>
          <w:b/>
          <w:bCs/>
          <w:color w:val="auto"/>
          <w:sz w:val="21"/>
          <w:szCs w:val="21"/>
          <w:highlight w:val="none"/>
        </w:rPr>
        <w:t>11.2 竣工</w:t>
      </w:r>
      <w:bookmarkEnd w:id="947"/>
      <w:bookmarkEnd w:id="948"/>
    </w:p>
    <w:p w14:paraId="2568D4A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承包人应在第1.1.4.3目约定的期限内完成合同工程。实际竣工日期在接收证书中写明。</w:t>
      </w:r>
    </w:p>
    <w:p w14:paraId="3FBEF7C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49" w:name="_Toc186623435"/>
      <w:bookmarkStart w:id="950" w:name="_Toc186623748"/>
      <w:r>
        <w:rPr>
          <w:rFonts w:hint="eastAsia" w:ascii="宋体" w:hAnsi="宋体" w:eastAsia="宋体" w:cs="宋体"/>
          <w:b/>
          <w:bCs/>
          <w:color w:val="auto"/>
          <w:sz w:val="21"/>
          <w:szCs w:val="21"/>
          <w:highlight w:val="none"/>
        </w:rPr>
        <w:t>11.3 发包人的工期延误</w:t>
      </w:r>
      <w:bookmarkEnd w:id="949"/>
      <w:bookmarkEnd w:id="950"/>
    </w:p>
    <w:p w14:paraId="086B131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在履行合同过程中，由于发包人的下列原因造成工期延误的，承包人有权要求发包人延长工期和（或）增加费用，并支付合理利润。需要修订合同进度计划的，按照第10.2款的约定办理。</w:t>
      </w:r>
    </w:p>
    <w:p w14:paraId="6650BC0D">
      <w:pPr>
        <w:widowControl w:val="0"/>
        <w:wordWrap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（1）增加合同工作内容；</w:t>
      </w:r>
      <w:r>
        <w:rPr>
          <w:rFonts w:hint="eastAsia" w:ascii="宋体" w:hAnsi="宋体" w:eastAsia="宋体" w:cs="宋体"/>
          <w:color w:val="auto"/>
          <w:sz w:val="21"/>
          <w:szCs w:val="21"/>
          <w:highlight w:val="none"/>
          <w:lang w:val="en-US" w:eastAsia="zh-CN"/>
        </w:rPr>
        <w:t xml:space="preserve">  </w:t>
      </w:r>
    </w:p>
    <w:p w14:paraId="41AF20A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（2）改变合同中任何一项工作的质量要求或其他特性；</w:t>
      </w:r>
    </w:p>
    <w:p w14:paraId="3D110C7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（3）发包人迟延提供材料、工程设备或变更交货地点的；</w:t>
      </w:r>
    </w:p>
    <w:p w14:paraId="5A12D01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（4）因发包人原因导致的暂停施工；</w:t>
      </w:r>
    </w:p>
    <w:p w14:paraId="2569D42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（5）提供图纸延误；</w:t>
      </w:r>
    </w:p>
    <w:p w14:paraId="3161377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（6）未按合同约定及时支付预付款、进度款；</w:t>
      </w:r>
    </w:p>
    <w:p w14:paraId="52AE06A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（7）发包人造成工期延误的其他原因。</w:t>
      </w:r>
    </w:p>
    <w:p w14:paraId="5D3F573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11.4 异常恶劣的气候条件</w:t>
      </w:r>
    </w:p>
    <w:p w14:paraId="4C694456">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11.4.1 当工程所在地发生危及施工安全的异常恶劣气候时，发包人和承包人应按本合同通用合同条款第12条的约定，及时采取暂停施工或部分暂停施工措施。异常恶劣气候条件解除后，承包人应及时安排复工。</w:t>
      </w:r>
    </w:p>
    <w:p w14:paraId="033C6D0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11.4.2 异常恶劣气候条件造成的工期延误和工程损坏，应由发包人与</w:t>
      </w:r>
      <w:r>
        <w:rPr>
          <w:rFonts w:hint="eastAsia" w:ascii="宋体" w:hAnsi="宋体" w:eastAsia="宋体" w:cs="宋体"/>
          <w:bCs/>
          <w:color w:val="auto"/>
          <w:sz w:val="21"/>
          <w:szCs w:val="21"/>
          <w:highlight w:val="none"/>
        </w:rPr>
        <w:t>承包人</w:t>
      </w:r>
      <w:r>
        <w:rPr>
          <w:rFonts w:hint="eastAsia" w:ascii="宋体" w:hAnsi="宋体" w:eastAsia="宋体" w:cs="宋体"/>
          <w:color w:val="auto"/>
          <w:sz w:val="21"/>
          <w:szCs w:val="21"/>
          <w:highlight w:val="none"/>
        </w:rPr>
        <w:t>参照本合同通用合同条款第21.3款的约定</w:t>
      </w:r>
      <w:r>
        <w:rPr>
          <w:rFonts w:hint="eastAsia" w:ascii="宋体" w:hAnsi="宋体" w:eastAsia="宋体" w:cs="宋体"/>
          <w:bCs/>
          <w:color w:val="auto"/>
          <w:sz w:val="21"/>
          <w:szCs w:val="21"/>
          <w:highlight w:val="none"/>
        </w:rPr>
        <w:t>共同协商处理。</w:t>
      </w:r>
    </w:p>
    <w:p w14:paraId="5C2C106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11.4.3 本合同工程界定异常恶劣气候条件的范围在专用合同条款中约定。</w:t>
      </w:r>
    </w:p>
    <w:p w14:paraId="59D9273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51" w:name="_Toc186623750"/>
      <w:bookmarkStart w:id="952" w:name="_Toc186623437"/>
      <w:r>
        <w:rPr>
          <w:rFonts w:hint="eastAsia" w:ascii="宋体" w:hAnsi="宋体" w:eastAsia="宋体" w:cs="宋体"/>
          <w:b/>
          <w:bCs/>
          <w:color w:val="auto"/>
          <w:sz w:val="21"/>
          <w:szCs w:val="21"/>
          <w:highlight w:val="none"/>
        </w:rPr>
        <w:t>11.5 承包人的工期延误</w:t>
      </w:r>
      <w:bookmarkEnd w:id="951"/>
      <w:bookmarkEnd w:id="952"/>
    </w:p>
    <w:p w14:paraId="37B0869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22DD920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53" w:name="_Toc221950882"/>
      <w:r>
        <w:rPr>
          <w:rFonts w:hint="eastAsia" w:ascii="宋体" w:hAnsi="宋体" w:eastAsia="宋体" w:cs="宋体"/>
          <w:b/>
          <w:bCs/>
          <w:color w:val="auto"/>
          <w:sz w:val="21"/>
          <w:szCs w:val="21"/>
          <w:highlight w:val="none"/>
        </w:rPr>
        <w:t>11.6 工期提前</w:t>
      </w:r>
    </w:p>
    <w:bookmarkEnd w:id="953"/>
    <w:p w14:paraId="4ABA260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3A47D59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发包人要求提前完工的，双方协商一致后应签订提前完工协议，协议内容包括：</w:t>
      </w:r>
    </w:p>
    <w:p w14:paraId="45888D2C">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954" w:name="_Toc221950883"/>
      <w:r>
        <w:rPr>
          <w:rFonts w:hint="eastAsia" w:ascii="宋体" w:hAnsi="宋体" w:eastAsia="宋体" w:cs="宋体"/>
          <w:color w:val="auto"/>
          <w:sz w:val="21"/>
          <w:szCs w:val="21"/>
          <w:highlight w:val="none"/>
        </w:rPr>
        <w:t>（1）提前的时间和修订后的进度计划。</w:t>
      </w:r>
      <w:bookmarkEnd w:id="954"/>
    </w:p>
    <w:p w14:paraId="7E803095">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955" w:name="_Toc221950884"/>
      <w:r>
        <w:rPr>
          <w:rFonts w:hint="eastAsia" w:ascii="宋体" w:hAnsi="宋体" w:eastAsia="宋体" w:cs="宋体"/>
          <w:color w:val="auto"/>
          <w:sz w:val="21"/>
          <w:szCs w:val="21"/>
          <w:highlight w:val="none"/>
        </w:rPr>
        <w:t>（2）承包人的赶工措施。</w:t>
      </w:r>
      <w:bookmarkEnd w:id="955"/>
    </w:p>
    <w:p w14:paraId="6D550BE5">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956" w:name="_Toc221950885"/>
      <w:r>
        <w:rPr>
          <w:rFonts w:hint="eastAsia" w:ascii="宋体" w:hAnsi="宋体" w:eastAsia="宋体" w:cs="宋体"/>
          <w:color w:val="auto"/>
          <w:sz w:val="21"/>
          <w:szCs w:val="21"/>
          <w:highlight w:val="none"/>
        </w:rPr>
        <w:t>（3）发包人为赶工提供的条件。</w:t>
      </w:r>
      <w:bookmarkEnd w:id="956"/>
    </w:p>
    <w:p w14:paraId="525B68EA">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957" w:name="_Toc221950886"/>
      <w:r>
        <w:rPr>
          <w:rFonts w:hint="eastAsia" w:ascii="宋体" w:hAnsi="宋体" w:eastAsia="宋体" w:cs="宋体"/>
          <w:color w:val="auto"/>
          <w:sz w:val="21"/>
          <w:szCs w:val="21"/>
          <w:highlight w:val="none"/>
        </w:rPr>
        <w:t>（4）</w:t>
      </w:r>
      <w:bookmarkEnd w:id="957"/>
      <w:r>
        <w:rPr>
          <w:rFonts w:hint="eastAsia" w:ascii="宋体" w:hAnsi="宋体" w:eastAsia="宋体" w:cs="宋体"/>
          <w:color w:val="auto"/>
          <w:sz w:val="21"/>
          <w:szCs w:val="21"/>
          <w:highlight w:val="none"/>
        </w:rPr>
        <w:t>赶工费用（包括利润和奖励费用）</w:t>
      </w:r>
    </w:p>
    <w:p w14:paraId="527E4B26">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958" w:name="_Toc266859663"/>
      <w:bookmarkStart w:id="959" w:name="_Toc26443"/>
      <w:bookmarkStart w:id="960" w:name="_Toc10615"/>
      <w:bookmarkStart w:id="961" w:name="_Toc332378881"/>
      <w:bookmarkStart w:id="962" w:name="_Toc10536"/>
      <w:bookmarkStart w:id="963" w:name="_Toc29196"/>
      <w:bookmarkStart w:id="964" w:name="_Toc6494"/>
      <w:bookmarkStart w:id="965" w:name="_Toc221950888"/>
      <w:bookmarkStart w:id="966" w:name="_Toc427509422"/>
      <w:bookmarkStart w:id="967" w:name="_Toc36069700"/>
      <w:bookmarkStart w:id="968" w:name="_Toc29566"/>
      <w:bookmarkStart w:id="969" w:name="_Toc268299778"/>
      <w:bookmarkStart w:id="970" w:name="_Toc267492125"/>
      <w:bookmarkStart w:id="971" w:name="_Toc222033864"/>
      <w:bookmarkStart w:id="972" w:name="_Toc21439"/>
      <w:bookmarkStart w:id="973" w:name="_Toc3451204"/>
      <w:bookmarkStart w:id="974" w:name="_Toc29329"/>
      <w:bookmarkStart w:id="975" w:name="_Toc271870456"/>
      <w:bookmarkStart w:id="976" w:name="_Toc10131"/>
      <w:bookmarkStart w:id="977" w:name="_Toc222032682"/>
      <w:bookmarkStart w:id="978" w:name="_Toc222029513"/>
      <w:bookmarkStart w:id="979" w:name="_Toc21236"/>
      <w:bookmarkStart w:id="980" w:name="_Toc427509922"/>
      <w:bookmarkStart w:id="981" w:name="_Toc222031015"/>
      <w:bookmarkStart w:id="982" w:name="_Toc29169"/>
      <w:bookmarkStart w:id="983" w:name="_Toc23929"/>
      <w:bookmarkStart w:id="984" w:name="_Toc229305373"/>
      <w:r>
        <w:rPr>
          <w:rFonts w:hint="eastAsia" w:ascii="宋体" w:hAnsi="宋体" w:eastAsia="宋体" w:cs="宋体"/>
          <w:b/>
          <w:bCs/>
          <w:color w:val="auto"/>
          <w:sz w:val="21"/>
          <w:szCs w:val="21"/>
          <w:highlight w:val="none"/>
        </w:rPr>
        <w:t>12. 暂停施工</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14:paraId="3AE6B4A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85" w:name="_Toc186623753"/>
      <w:bookmarkStart w:id="986" w:name="_Toc186623440"/>
      <w:bookmarkStart w:id="987" w:name="_Toc221950893"/>
      <w:r>
        <w:rPr>
          <w:rFonts w:hint="eastAsia" w:ascii="宋体" w:hAnsi="宋体" w:eastAsia="宋体" w:cs="宋体"/>
          <w:b/>
          <w:bCs/>
          <w:color w:val="auto"/>
          <w:sz w:val="21"/>
          <w:szCs w:val="21"/>
          <w:highlight w:val="none"/>
        </w:rPr>
        <w:t>12.1 承包人暂停施工的责任</w:t>
      </w:r>
      <w:bookmarkEnd w:id="985"/>
      <w:bookmarkEnd w:id="986"/>
    </w:p>
    <w:p w14:paraId="6DFBD90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因下列暂停施工增加的费用和（或）工期延误由承包人承担：</w:t>
      </w:r>
    </w:p>
    <w:p w14:paraId="49B6F2B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（1）承包人违约引起的暂停施工；</w:t>
      </w:r>
    </w:p>
    <w:p w14:paraId="3E5FB6E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（2）由于承包人原因为工程合理施工和安全保障所必需的暂停施工；</w:t>
      </w:r>
    </w:p>
    <w:p w14:paraId="0707555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（3）承包人擅自暂停施工；</w:t>
      </w:r>
    </w:p>
    <w:p w14:paraId="277A5BF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（4）承包人其他原因引起的暂停施工；</w:t>
      </w:r>
    </w:p>
    <w:p w14:paraId="49EDA9B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（5）专用合同条款约定由承包人承担的其他暂停施工。</w:t>
      </w:r>
    </w:p>
    <w:p w14:paraId="73C275D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12.2 发包人暂停施工的责任</w:t>
      </w:r>
    </w:p>
    <w:p w14:paraId="4EFDBB1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由于发包人原因引起的暂停施工造成工期延误的，承包人有权要求发包人延长工期和（或）增加费用，并支付合理利润。</w:t>
      </w:r>
    </w:p>
    <w:p w14:paraId="03AC12F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属于下列任何一种情况引起的暂停施工，均为发包人的责任：</w:t>
      </w:r>
      <w:bookmarkEnd w:id="987"/>
    </w:p>
    <w:p w14:paraId="214E5DFC">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988" w:name="_Toc221950894"/>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由于发包人违约引起的暂停施工。</w:t>
      </w:r>
      <w:bookmarkEnd w:id="988"/>
    </w:p>
    <w:p w14:paraId="5095C695">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989" w:name="_Toc221950895"/>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由于不可抗力的自然或社会因素引起的暂停施工。</w:t>
      </w:r>
      <w:bookmarkEnd w:id="989"/>
    </w:p>
    <w:p w14:paraId="7DA8DCB5">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990" w:name="_Toc221950896"/>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其它由于发包人原因引起的暂停施工。</w:t>
      </w:r>
      <w:bookmarkEnd w:id="990"/>
    </w:p>
    <w:p w14:paraId="4F1B5D5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91" w:name="_Toc186623442"/>
      <w:bookmarkStart w:id="992" w:name="_Toc186623755"/>
      <w:r>
        <w:rPr>
          <w:rFonts w:hint="eastAsia" w:ascii="宋体" w:hAnsi="宋体" w:eastAsia="宋体" w:cs="宋体"/>
          <w:b/>
          <w:bCs/>
          <w:color w:val="auto"/>
          <w:sz w:val="21"/>
          <w:szCs w:val="21"/>
          <w:highlight w:val="none"/>
        </w:rPr>
        <w:t>12.3 监理人暂停施工指示</w:t>
      </w:r>
      <w:bookmarkEnd w:id="991"/>
      <w:bookmarkEnd w:id="992"/>
    </w:p>
    <w:p w14:paraId="0F8B711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监理人认为有必要时，可向承包人作出暂停施工的指示，承包人应按监理人指示暂停施工。不论由于何种原因引起的暂停施工，暂停施工期间承包人应负责妥善保护工程并提供安全保障。</w:t>
      </w:r>
    </w:p>
    <w:p w14:paraId="275B1D8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1FE4905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93" w:name="_Toc186623756"/>
      <w:bookmarkStart w:id="994" w:name="_Toc186623443"/>
      <w:r>
        <w:rPr>
          <w:rFonts w:hint="eastAsia" w:ascii="宋体" w:hAnsi="宋体" w:eastAsia="宋体" w:cs="宋体"/>
          <w:b/>
          <w:bCs/>
          <w:color w:val="auto"/>
          <w:sz w:val="21"/>
          <w:szCs w:val="21"/>
          <w:highlight w:val="none"/>
        </w:rPr>
        <w:t>12.4 暂停施工后的复工</w:t>
      </w:r>
      <w:bookmarkEnd w:id="993"/>
      <w:bookmarkEnd w:id="994"/>
    </w:p>
    <w:p w14:paraId="73A3112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5CCC8CE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承包人无故拖延和拒绝复工的，由此增加的费用和工期延误由承包人承担；因发包人原因无法按时复工的，承包人有权要求发包人延长工期和（或）增加费用，并支付合理利润。</w:t>
      </w:r>
    </w:p>
    <w:p w14:paraId="4549EC37">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995" w:name="_Toc186623444"/>
      <w:bookmarkStart w:id="996" w:name="_Toc186623757"/>
      <w:r>
        <w:rPr>
          <w:rFonts w:hint="eastAsia" w:ascii="宋体" w:hAnsi="宋体" w:eastAsia="宋体" w:cs="宋体"/>
          <w:b/>
          <w:bCs/>
          <w:color w:val="auto"/>
          <w:sz w:val="21"/>
          <w:szCs w:val="21"/>
          <w:highlight w:val="none"/>
        </w:rPr>
        <w:t>12.5 暂停施工持续56天以上</w:t>
      </w:r>
      <w:bookmarkEnd w:id="995"/>
      <w:bookmarkEnd w:id="996"/>
    </w:p>
    <w:p w14:paraId="082AD4A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6884C70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12.5.2 由于承包人责任引起的暂停施工，如承包人在收到监理人暂停施工指示后56天内不认真采取有效的复工措施，造成工期延误，可视为承包人违约，应按第22.1款的规定办理。</w:t>
      </w:r>
    </w:p>
    <w:p w14:paraId="3DFCD5A6">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997" w:name="_Toc222031016"/>
      <w:bookmarkStart w:id="998" w:name="_Toc11060"/>
      <w:bookmarkStart w:id="999" w:name="_Toc229305374"/>
      <w:bookmarkStart w:id="1000" w:name="_Toc3451205"/>
      <w:bookmarkStart w:id="1001" w:name="_Toc12316"/>
      <w:bookmarkStart w:id="1002" w:name="_Toc221950903"/>
      <w:bookmarkStart w:id="1003" w:name="_Toc29310"/>
      <w:bookmarkStart w:id="1004" w:name="_Toc222029514"/>
      <w:bookmarkStart w:id="1005" w:name="_Toc267492126"/>
      <w:bookmarkStart w:id="1006" w:name="_Toc332378882"/>
      <w:bookmarkStart w:id="1007" w:name="_Toc271870457"/>
      <w:bookmarkStart w:id="1008" w:name="_Toc427509423"/>
      <w:bookmarkStart w:id="1009" w:name="_Toc5458"/>
      <w:bookmarkStart w:id="1010" w:name="_Toc36069701"/>
      <w:bookmarkStart w:id="1011" w:name="_Toc29723"/>
      <w:bookmarkStart w:id="1012" w:name="_Toc32027"/>
      <w:bookmarkStart w:id="1013" w:name="_Toc12208"/>
      <w:bookmarkStart w:id="1014" w:name="_Toc266859664"/>
      <w:bookmarkStart w:id="1015" w:name="_Toc222033865"/>
      <w:bookmarkStart w:id="1016" w:name="_Toc25992"/>
      <w:bookmarkStart w:id="1017" w:name="_Toc18838"/>
      <w:bookmarkStart w:id="1018" w:name="_Toc4439"/>
      <w:bookmarkStart w:id="1019" w:name="_Toc427509923"/>
      <w:bookmarkStart w:id="1020" w:name="_Toc268299779"/>
      <w:bookmarkStart w:id="1021" w:name="_Toc1830"/>
      <w:bookmarkStart w:id="1022" w:name="_Toc222032683"/>
      <w:bookmarkStart w:id="1023" w:name="_Toc23991"/>
      <w:r>
        <w:rPr>
          <w:rFonts w:hint="eastAsia" w:ascii="宋体" w:hAnsi="宋体" w:eastAsia="宋体" w:cs="宋体"/>
          <w:b/>
          <w:bCs/>
          <w:color w:val="auto"/>
          <w:sz w:val="21"/>
          <w:szCs w:val="21"/>
          <w:highlight w:val="none"/>
        </w:rPr>
        <w:t>13. 工程质量</w:t>
      </w:r>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14:paraId="67E5287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24" w:name="_Toc186623446"/>
      <w:bookmarkStart w:id="1025" w:name="_Toc186623759"/>
      <w:bookmarkStart w:id="1026" w:name="_Toc221950906"/>
      <w:r>
        <w:rPr>
          <w:rFonts w:hint="eastAsia" w:ascii="宋体" w:hAnsi="宋体" w:eastAsia="宋体" w:cs="宋体"/>
          <w:b/>
          <w:bCs/>
          <w:color w:val="auto"/>
          <w:sz w:val="21"/>
          <w:szCs w:val="21"/>
          <w:highlight w:val="none"/>
        </w:rPr>
        <w:t>13.1 工程质量要求</w:t>
      </w:r>
      <w:bookmarkEnd w:id="1024"/>
      <w:bookmarkEnd w:id="1025"/>
    </w:p>
    <w:p w14:paraId="5A71222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13.1.1 工程质量验收按合同约定验收标准执行。</w:t>
      </w:r>
    </w:p>
    <w:p w14:paraId="3F7A06B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 因承包人原因造成工程质量达不到合同约定验收标准的，监理人有权要求承包人返工直至符合合同要求为止，由此造成的费用增加和（或）工期延误由承包人承担。</w:t>
      </w:r>
    </w:p>
    <w:p w14:paraId="1044627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13.1.3 因发包人原因造成工程质量达不到合同约定验收标准的，发包人应承担由于承包人返工造成的费用增加和（或）工期延误，并支付承包人合理利润。</w:t>
      </w:r>
    </w:p>
    <w:p w14:paraId="00F2CF20">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13.2 承包人的质量管理</w:t>
      </w:r>
      <w:bookmarkEnd w:id="1026"/>
    </w:p>
    <w:p w14:paraId="368564C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bookmarkStart w:id="1027" w:name="_Toc221950914"/>
    </w:p>
    <w:p w14:paraId="701516F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13.2.2 承包人应加强对施工人员的质量教育和技术培训，定期考核施工人员的劳动技能，严格执行规范和操作规程。</w:t>
      </w:r>
    </w:p>
    <w:p w14:paraId="211A0476">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28" w:name="_Toc186623448"/>
      <w:bookmarkStart w:id="1029" w:name="_Toc186623761"/>
      <w:r>
        <w:rPr>
          <w:rFonts w:hint="eastAsia" w:ascii="宋体" w:hAnsi="宋体" w:eastAsia="宋体" w:cs="宋体"/>
          <w:b/>
          <w:bCs/>
          <w:color w:val="auto"/>
          <w:sz w:val="21"/>
          <w:szCs w:val="21"/>
          <w:highlight w:val="none"/>
        </w:rPr>
        <w:t>13.3 承包人的质量检查</w:t>
      </w:r>
      <w:bookmarkEnd w:id="1028"/>
      <w:bookmarkEnd w:id="1029"/>
    </w:p>
    <w:p w14:paraId="1D610B2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承包人应按合同约定对材料、工程设备以及工程的所有部位及其施工工艺进行全过程的质量检查和检验，并作详细记录，编制工程质量报表，报送监理人审查。</w:t>
      </w:r>
    </w:p>
    <w:p w14:paraId="23A5CDE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30" w:name="_Toc186623449"/>
      <w:bookmarkStart w:id="1031" w:name="_Toc186623762"/>
      <w:r>
        <w:rPr>
          <w:rFonts w:hint="eastAsia" w:ascii="宋体" w:hAnsi="宋体" w:eastAsia="宋体" w:cs="宋体"/>
          <w:b/>
          <w:bCs/>
          <w:color w:val="auto"/>
          <w:sz w:val="21"/>
          <w:szCs w:val="21"/>
          <w:highlight w:val="none"/>
        </w:rPr>
        <w:t>13.4 监理人的质量检查</w:t>
      </w:r>
      <w:bookmarkEnd w:id="1030"/>
      <w:bookmarkEnd w:id="1031"/>
    </w:p>
    <w:p w14:paraId="3E382B8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726BAA7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32" w:name="_Toc186623450"/>
      <w:bookmarkStart w:id="1033" w:name="_Toc186623763"/>
      <w:r>
        <w:rPr>
          <w:rFonts w:hint="eastAsia" w:ascii="宋体" w:hAnsi="宋体" w:eastAsia="宋体" w:cs="宋体"/>
          <w:b/>
          <w:bCs/>
          <w:color w:val="auto"/>
          <w:sz w:val="21"/>
          <w:szCs w:val="21"/>
          <w:highlight w:val="none"/>
        </w:rPr>
        <w:t>13.5 工程隐蔽部位覆盖前的检查</w:t>
      </w:r>
      <w:bookmarkEnd w:id="1032"/>
      <w:bookmarkEnd w:id="1033"/>
    </w:p>
    <w:p w14:paraId="052683AC">
      <w:pPr>
        <w:widowControl w:val="0"/>
        <w:wordWrap w:val="0"/>
        <w:autoSpaceDE/>
        <w:autoSpaceDN/>
        <w:adjustRightInd/>
        <w:spacing w:line="360" w:lineRule="auto"/>
        <w:ind w:firstLine="420" w:firstLineChars="200"/>
        <w:jc w:val="left"/>
        <w:outlineLvl w:val="9"/>
        <w:rPr>
          <w:rFonts w:hint="eastAsia" w:ascii="宋体" w:hAnsi="宋体" w:eastAsia="宋体" w:cs="宋体"/>
          <w:b w:val="0"/>
          <w:bCs w:val="0"/>
          <w:color w:val="auto"/>
          <w:kern w:val="2"/>
          <w:sz w:val="21"/>
          <w:szCs w:val="21"/>
          <w:highlight w:val="none"/>
        </w:rPr>
      </w:pPr>
      <w:r>
        <w:rPr>
          <w:rFonts w:hint="eastAsia" w:ascii="宋体" w:hAnsi="宋体" w:eastAsia="宋体" w:cs="宋体"/>
          <w:b w:val="0"/>
          <w:bCs w:val="0"/>
          <w:color w:val="auto"/>
          <w:kern w:val="2"/>
          <w:sz w:val="21"/>
          <w:szCs w:val="21"/>
          <w:highlight w:val="none"/>
        </w:rPr>
        <w:t>13.5.1 通知监理人检查</w:t>
      </w:r>
    </w:p>
    <w:p w14:paraId="172D74C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42D8B9E8">
      <w:pPr>
        <w:widowControl w:val="0"/>
        <w:wordWrap w:val="0"/>
        <w:autoSpaceDE/>
        <w:autoSpaceDN/>
        <w:adjustRightInd/>
        <w:spacing w:line="360" w:lineRule="auto"/>
        <w:ind w:firstLine="420" w:firstLineChars="200"/>
        <w:jc w:val="left"/>
        <w:outlineLvl w:val="9"/>
        <w:rPr>
          <w:rFonts w:hint="eastAsia" w:ascii="宋体" w:hAnsi="宋体" w:eastAsia="宋体" w:cs="宋体"/>
          <w:b w:val="0"/>
          <w:bCs w:val="0"/>
          <w:color w:val="auto"/>
          <w:kern w:val="2"/>
          <w:sz w:val="21"/>
          <w:szCs w:val="21"/>
          <w:highlight w:val="none"/>
        </w:rPr>
      </w:pPr>
      <w:r>
        <w:rPr>
          <w:rFonts w:hint="eastAsia" w:ascii="宋体" w:hAnsi="宋体" w:eastAsia="宋体" w:cs="宋体"/>
          <w:b w:val="0"/>
          <w:bCs w:val="0"/>
          <w:color w:val="auto"/>
          <w:kern w:val="2"/>
          <w:sz w:val="21"/>
          <w:szCs w:val="21"/>
          <w:highlight w:val="none"/>
        </w:rPr>
        <w:t>13.5.2 监理人未到场检查</w:t>
      </w:r>
    </w:p>
    <w:p w14:paraId="17AB8E1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7CBD7435">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13.5.3 监理人重新检查</w:t>
      </w:r>
    </w:p>
    <w:p w14:paraId="534EAFB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67B2A667">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13.5.4 承包人私自覆盖</w:t>
      </w:r>
    </w:p>
    <w:p w14:paraId="7205017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承包人未通知监理人到场检查，私自将工程隐蔽部位覆盖的，监理人有权指示承包人钻孔探测或揭开检查，由此增加的费用和（或）工期延误由承包人承担。</w:t>
      </w:r>
    </w:p>
    <w:p w14:paraId="71EAF44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34" w:name="_Toc186623451"/>
      <w:bookmarkStart w:id="1035" w:name="_Toc186623764"/>
      <w:r>
        <w:rPr>
          <w:rFonts w:hint="eastAsia" w:ascii="宋体" w:hAnsi="宋体" w:eastAsia="宋体" w:cs="宋体"/>
          <w:b/>
          <w:bCs/>
          <w:color w:val="auto"/>
          <w:sz w:val="21"/>
          <w:szCs w:val="21"/>
          <w:highlight w:val="none"/>
        </w:rPr>
        <w:t>13.6 清除不合格工程</w:t>
      </w:r>
      <w:bookmarkEnd w:id="1034"/>
      <w:bookmarkEnd w:id="1035"/>
    </w:p>
    <w:p w14:paraId="7041247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511DC53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13.6.2 由于发包人提供的材料或工程设备不合格造成的工程不合格，需要承包人采取措施补救的，发包人应承担由此增加的费用和（或）工期延误，并支付承包人合理利润。</w:t>
      </w:r>
    </w:p>
    <w:bookmarkEnd w:id="1027"/>
    <w:p w14:paraId="6D0E3BB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13.7 质量评定</w:t>
      </w:r>
    </w:p>
    <w:p w14:paraId="75F294EC">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13.7.1 发包人应组织承包人进行工程项目划分，并确定单位工程、主要分部工程、重要隐蔽单元工程和关键部位单元工程。</w:t>
      </w:r>
    </w:p>
    <w:p w14:paraId="21D8410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13.7.2 工程实施过程中，单位工程、主要分部工程、重要隐蔽单元工程和关键部位单元工程的项目划分需要调整时，承包人应报发包人确认。</w:t>
      </w:r>
    </w:p>
    <w:p w14:paraId="257AEBC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13.7.3 承包人自检自评单元（工序）工程质量合格后，报监理人核定质量等级并签证认可。</w:t>
      </w:r>
    </w:p>
    <w:p w14:paraId="08CC423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271638B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13.7.5 承包人自评分部工程质量合格后，由监理人复核，发包人认定。发包人负责按有关规定完成分部工程质量结论报工程质量监督机构核备（核定）手续。</w:t>
      </w:r>
    </w:p>
    <w:p w14:paraId="2AF354E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13.7.6 承包人自评单位工程质量合格后，应及时报监理人复核和发包人认定。发包人负责按有关规定完成单位工程质量结论报工程质量监督机构核定手续。</w:t>
      </w:r>
    </w:p>
    <w:p w14:paraId="2B9C350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13.7.7 </w:t>
      </w:r>
      <w:r>
        <w:rPr>
          <w:rFonts w:hint="eastAsia" w:ascii="宋体" w:hAnsi="宋体" w:eastAsia="宋体" w:cs="宋体"/>
          <w:color w:val="auto"/>
          <w:sz w:val="21"/>
          <w:szCs w:val="21"/>
          <w:highlight w:val="none"/>
        </w:rPr>
        <w:t>除专用合同条款另有约定外，工程质量等级分为合格和优良，应分别达到约定的标准。</w:t>
      </w:r>
    </w:p>
    <w:p w14:paraId="3817259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13.8 质量事故处理</w:t>
      </w:r>
    </w:p>
    <w:p w14:paraId="50A791C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13.8.1 发生质量事故时，承包人应及时向发包人和监理人报告。</w:t>
      </w:r>
    </w:p>
    <w:p w14:paraId="165412E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13.8.2 质量事故调查处理由发包人按相关规定履行手续，承包人</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配合。</w:t>
      </w:r>
    </w:p>
    <w:p w14:paraId="1CC877C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13.8.3 承包人应对质量缺陷进行备案。发包人委托监理人对质量缺陷进行备案情况进行监督检查并履行相关手续。</w:t>
      </w:r>
    </w:p>
    <w:p w14:paraId="27EBA29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13.8.3 除专用合同条款另有规定外，工程竣工验收时，发包人负责向竣工验收委员会汇报并提交历次质量缺陷处理的备案材料。</w:t>
      </w:r>
    </w:p>
    <w:p w14:paraId="17A9A9ED">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1036" w:name="_Toc9989"/>
      <w:bookmarkStart w:id="1037" w:name="_Toc3451206"/>
      <w:bookmarkStart w:id="1038" w:name="_Toc24673"/>
      <w:bookmarkStart w:id="1039" w:name="_Toc15827"/>
      <w:bookmarkStart w:id="1040" w:name="_Toc36069702"/>
      <w:bookmarkStart w:id="1041" w:name="_Toc427509424"/>
      <w:bookmarkStart w:id="1042" w:name="_Toc266859665"/>
      <w:bookmarkStart w:id="1043" w:name="_Toc427509924"/>
      <w:bookmarkStart w:id="1044" w:name="_Toc23341"/>
      <w:bookmarkStart w:id="1045" w:name="_Toc15178"/>
      <w:bookmarkStart w:id="1046" w:name="_Toc26422"/>
      <w:bookmarkStart w:id="1047" w:name="_Toc27104"/>
      <w:bookmarkStart w:id="1048" w:name="_Toc271870458"/>
      <w:bookmarkStart w:id="1049" w:name="_Toc31088"/>
      <w:bookmarkStart w:id="1050" w:name="_Toc13197"/>
      <w:bookmarkStart w:id="1051" w:name="_Toc6059"/>
      <w:bookmarkStart w:id="1052" w:name="_Toc332378883"/>
      <w:bookmarkStart w:id="1053" w:name="_Toc32465"/>
      <w:bookmarkStart w:id="1054" w:name="_Toc29172"/>
      <w:bookmarkStart w:id="1055" w:name="_Toc268299780"/>
      <w:bookmarkStart w:id="1056" w:name="_Toc267492127"/>
      <w:r>
        <w:rPr>
          <w:rFonts w:hint="eastAsia" w:ascii="宋体" w:hAnsi="宋体" w:eastAsia="宋体" w:cs="宋体"/>
          <w:b/>
          <w:bCs/>
          <w:color w:val="auto"/>
          <w:sz w:val="21"/>
          <w:szCs w:val="21"/>
          <w:highlight w:val="none"/>
        </w:rPr>
        <w:t>14. 试验和检验</w:t>
      </w:r>
      <w:bookmarkEnd w:id="586"/>
      <w:bookmarkEnd w:id="587"/>
      <w:bookmarkEnd w:id="588"/>
      <w:bookmarkEnd w:id="589"/>
      <w:bookmarkEnd w:id="590"/>
      <w:bookmarkEnd w:id="591"/>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4285FC1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14.1 材料、工程设备和工程的试验和检验</w:t>
      </w:r>
    </w:p>
    <w:p w14:paraId="6563142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295537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14.1.2 监理人未按合同约定派员参加试验和检验的，除监理人另有指示外，承包人可自行试验和检验，并应立即将试验和检验结果报送监理人，监理人应签字确认。</w:t>
      </w:r>
    </w:p>
    <w:p w14:paraId="1334607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5B37043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14.1.4 </w:t>
      </w:r>
      <w:r>
        <w:rPr>
          <w:rFonts w:hint="eastAsia" w:ascii="宋体" w:hAnsi="宋体" w:eastAsia="宋体" w:cs="宋体"/>
          <w:color w:val="auto"/>
          <w:sz w:val="21"/>
          <w:szCs w:val="21"/>
          <w:highlight w:val="none"/>
        </w:rPr>
        <w:t>承包人应按相关规定和标准对水泥、钢材等原材料与中间产品质量进行检验，并报监理人复核。</w:t>
      </w:r>
    </w:p>
    <w:p w14:paraId="32D7696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14.1.5 </w:t>
      </w:r>
      <w:r>
        <w:rPr>
          <w:rFonts w:hint="eastAsia" w:ascii="宋体" w:hAnsi="宋体" w:eastAsia="宋体" w:cs="宋体"/>
          <w:color w:val="auto"/>
          <w:sz w:val="21"/>
          <w:szCs w:val="21"/>
          <w:highlight w:val="none"/>
        </w:rPr>
        <w:t>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0FF7377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14.1.6 </w:t>
      </w:r>
      <w:r>
        <w:rPr>
          <w:rFonts w:hint="eastAsia" w:ascii="宋体" w:hAnsi="宋体" w:eastAsia="宋体" w:cs="宋体"/>
          <w:color w:val="auto"/>
          <w:sz w:val="21"/>
          <w:szCs w:val="21"/>
          <w:highlight w:val="none"/>
        </w:rPr>
        <w:t>对专用合同条款约定的试块、试件及有关材料，监理人实行见证取样。见证取样资料由承包人制备，记录应真实齐全，监理人、承包人等参与见证取样人员均应在相关文件上签字。</w:t>
      </w:r>
    </w:p>
    <w:p w14:paraId="19AE5F5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57" w:name="_Toc186623454"/>
      <w:bookmarkStart w:id="1058" w:name="_Toc186623767"/>
      <w:r>
        <w:rPr>
          <w:rFonts w:hint="eastAsia" w:ascii="宋体" w:hAnsi="宋体" w:eastAsia="宋体" w:cs="宋体"/>
          <w:b/>
          <w:bCs/>
          <w:color w:val="auto"/>
          <w:sz w:val="21"/>
          <w:szCs w:val="21"/>
          <w:highlight w:val="none"/>
        </w:rPr>
        <w:t>14.2 现场材料试验</w:t>
      </w:r>
      <w:bookmarkEnd w:id="1057"/>
      <w:bookmarkEnd w:id="1058"/>
    </w:p>
    <w:p w14:paraId="28663E1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14.2.1 承包人根据合同约定或监理人指示进行的现场材料试验，应由承包人提供试验场所、试验人员、试验设备器材以及其他必要的试验条件。</w:t>
      </w:r>
    </w:p>
    <w:p w14:paraId="35D0D08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14.2.2 监理人在必要时可以使用承包人的试验场所、试验设备器材以及其他试验条件，进行以工程质量检查为目的的复核性材料试验，承包人应予以协助。</w:t>
      </w:r>
    </w:p>
    <w:p w14:paraId="4791582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59" w:name="_Toc186623768"/>
      <w:bookmarkStart w:id="1060" w:name="_Toc186623455"/>
      <w:r>
        <w:rPr>
          <w:rFonts w:hint="eastAsia" w:ascii="宋体" w:hAnsi="宋体" w:eastAsia="宋体" w:cs="宋体"/>
          <w:b/>
          <w:bCs/>
          <w:color w:val="auto"/>
          <w:sz w:val="21"/>
          <w:szCs w:val="21"/>
          <w:highlight w:val="none"/>
        </w:rPr>
        <w:t>14.3 现场工艺试验</w:t>
      </w:r>
      <w:bookmarkEnd w:id="1059"/>
      <w:bookmarkEnd w:id="1060"/>
    </w:p>
    <w:p w14:paraId="409FFB9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178D2E8C">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bookmarkStart w:id="1061" w:name="_Toc7498"/>
      <w:bookmarkStart w:id="1062" w:name="_Toc24459"/>
      <w:bookmarkStart w:id="1063" w:name="_Toc427509925"/>
      <w:bookmarkStart w:id="1064" w:name="_Toc268299781"/>
      <w:bookmarkStart w:id="1065" w:name="_Toc17925"/>
      <w:bookmarkStart w:id="1066" w:name="_Toc267492128"/>
      <w:bookmarkStart w:id="1067" w:name="_Toc9865"/>
      <w:bookmarkStart w:id="1068" w:name="_Toc271870459"/>
      <w:bookmarkStart w:id="1069" w:name="_Toc229305376"/>
      <w:bookmarkStart w:id="1070" w:name="_Toc36069703"/>
      <w:bookmarkStart w:id="1071" w:name="_Toc11175"/>
      <w:bookmarkStart w:id="1072" w:name="_Toc222033867"/>
      <w:bookmarkStart w:id="1073" w:name="_Toc2362"/>
      <w:bookmarkStart w:id="1074" w:name="_Toc23312"/>
      <w:bookmarkStart w:id="1075" w:name="_Toc3451207"/>
      <w:bookmarkStart w:id="1076" w:name="_Toc25379"/>
      <w:bookmarkStart w:id="1077" w:name="_Toc266859666"/>
      <w:bookmarkStart w:id="1078" w:name="_Toc21255"/>
      <w:bookmarkStart w:id="1079" w:name="_Toc332378884"/>
      <w:bookmarkStart w:id="1080" w:name="_Toc222032685"/>
      <w:bookmarkStart w:id="1081" w:name="_Toc1093"/>
      <w:bookmarkStart w:id="1082" w:name="_Toc222031018"/>
      <w:bookmarkStart w:id="1083" w:name="_Toc2647"/>
      <w:bookmarkStart w:id="1084" w:name="_Toc222029516"/>
      <w:bookmarkStart w:id="1085" w:name="_Toc221950924"/>
      <w:bookmarkStart w:id="1086" w:name="_Toc427509425"/>
      <w:bookmarkStart w:id="1087" w:name="_Toc18581"/>
      <w:r>
        <w:rPr>
          <w:rFonts w:hint="eastAsia" w:ascii="宋体" w:hAnsi="宋体" w:eastAsia="宋体" w:cs="宋体"/>
          <w:b/>
          <w:bCs/>
          <w:color w:val="auto"/>
          <w:sz w:val="21"/>
          <w:szCs w:val="21"/>
          <w:highlight w:val="none"/>
        </w:rPr>
        <w:t>15. 变更</w:t>
      </w:r>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p>
    <w:p w14:paraId="23B27090">
      <w:pPr>
        <w:keepNext w:val="0"/>
        <w:keepLines w:val="0"/>
        <w:widowControl w:val="0"/>
        <w:wordWrap w:val="0"/>
        <w:spacing w:line="360" w:lineRule="auto"/>
        <w:ind w:firstLine="0" w:firstLineChars="0"/>
        <w:jc w:val="left"/>
        <w:outlineLvl w:val="9"/>
        <w:rPr>
          <w:rFonts w:hint="eastAsia" w:ascii="宋体" w:hAnsi="宋体" w:eastAsia="宋体" w:cs="宋体"/>
          <w:b/>
          <w:bCs/>
          <w:color w:val="auto"/>
          <w:kern w:val="2"/>
          <w:sz w:val="21"/>
          <w:szCs w:val="21"/>
          <w:highlight w:val="none"/>
        </w:rPr>
      </w:pPr>
      <w:bookmarkStart w:id="1088" w:name="_Toc221950925"/>
      <w:r>
        <w:rPr>
          <w:rFonts w:hint="eastAsia" w:ascii="宋体" w:hAnsi="宋体" w:eastAsia="宋体" w:cs="宋体"/>
          <w:b/>
          <w:bCs/>
          <w:color w:val="auto"/>
          <w:sz w:val="21"/>
          <w:szCs w:val="21"/>
          <w:highlight w:val="none"/>
        </w:rPr>
        <w:t>15.1 变更的范围和内容</w:t>
      </w:r>
      <w:bookmarkEnd w:id="1088"/>
    </w:p>
    <w:p w14:paraId="66F76BA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在履行合同中发生以下情形之一，应按照本款规定进行变更。</w:t>
      </w:r>
    </w:p>
    <w:p w14:paraId="07F0986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（1）取消合同中任何一项工作，但被取消的工作不能转由发包人或其它人实施；</w:t>
      </w:r>
    </w:p>
    <w:p w14:paraId="39F9E72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（2）改变合同中任何一项工作的质量或其它特性；</w:t>
      </w:r>
    </w:p>
    <w:p w14:paraId="0831FC3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（3）改变合同工程的基线、标高、位置或尺寸；</w:t>
      </w:r>
    </w:p>
    <w:p w14:paraId="1B596C2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（4）改变合同中任何一项工作的施工时间或改变已批准的施工工艺或顺序；</w:t>
      </w:r>
    </w:p>
    <w:p w14:paraId="731034C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（5）为完成工程需要追加的额外工作；</w:t>
      </w:r>
    </w:p>
    <w:p w14:paraId="59906EF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（6）增加或减少专用合同条款中约定的关键项目工程量超过其工程总量的一定数量百分比。</w:t>
      </w:r>
    </w:p>
    <w:p w14:paraId="09F1E12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上述第（1）～（6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目的变更内容引起工程施工组织和进度计划发生实质性变动和影响其原定的价格时，才予调整该项目的单价。第（6）目情形下单价调整方式在专用合同条款</w:t>
      </w:r>
      <w:r>
        <w:rPr>
          <w:rFonts w:hint="eastAsia" w:ascii="宋体" w:hAnsi="宋体" w:eastAsia="宋体" w:cs="宋体"/>
          <w:color w:val="auto"/>
          <w:sz w:val="21"/>
          <w:szCs w:val="21"/>
          <w:highlight w:val="none"/>
          <w:lang w:val="en-US" w:eastAsia="zh-CN"/>
        </w:rPr>
        <w:t>中约定</w:t>
      </w:r>
      <w:r>
        <w:rPr>
          <w:rFonts w:hint="eastAsia" w:ascii="宋体" w:hAnsi="宋体" w:eastAsia="宋体" w:cs="宋体"/>
          <w:color w:val="auto"/>
          <w:sz w:val="21"/>
          <w:szCs w:val="21"/>
          <w:highlight w:val="none"/>
        </w:rPr>
        <w:t>。</w:t>
      </w:r>
    </w:p>
    <w:p w14:paraId="20B918F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89" w:name="_Toc186623771"/>
      <w:bookmarkStart w:id="1090" w:name="_Toc186623458"/>
      <w:r>
        <w:rPr>
          <w:rFonts w:hint="eastAsia" w:ascii="宋体" w:hAnsi="宋体" w:eastAsia="宋体" w:cs="宋体"/>
          <w:b/>
          <w:bCs/>
          <w:color w:val="auto"/>
          <w:sz w:val="21"/>
          <w:szCs w:val="21"/>
          <w:highlight w:val="none"/>
        </w:rPr>
        <w:t>15.2 变更权</w:t>
      </w:r>
      <w:bookmarkEnd w:id="1089"/>
      <w:bookmarkEnd w:id="1090"/>
    </w:p>
    <w:p w14:paraId="299517E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在履行合同过程中，经发包人同意，监理人可按第15.3款约定的变更程序向承包人作出变更指示，承包人应遵照执行。没有监理人的变更指示，承包人不得擅自变更。</w:t>
      </w:r>
    </w:p>
    <w:p w14:paraId="4783936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91" w:name="_Toc186623459"/>
      <w:bookmarkStart w:id="1092" w:name="_Toc186623772"/>
      <w:r>
        <w:rPr>
          <w:rFonts w:hint="eastAsia" w:ascii="宋体" w:hAnsi="宋体" w:eastAsia="宋体" w:cs="宋体"/>
          <w:b/>
          <w:bCs/>
          <w:color w:val="auto"/>
          <w:sz w:val="21"/>
          <w:szCs w:val="21"/>
          <w:highlight w:val="none"/>
        </w:rPr>
        <w:t>15.3 变更程序</w:t>
      </w:r>
      <w:bookmarkEnd w:id="1091"/>
      <w:bookmarkEnd w:id="1092"/>
    </w:p>
    <w:p w14:paraId="0D601166">
      <w:pPr>
        <w:widowControl w:val="0"/>
        <w:wordWrap w:val="0"/>
        <w:spacing w:line="360" w:lineRule="auto"/>
        <w:ind w:firstLine="420" w:firstLineChars="200"/>
        <w:jc w:val="left"/>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15.3.1 变更的提出</w:t>
      </w:r>
    </w:p>
    <w:p w14:paraId="2713C9A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6194AD1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（2）在合同履行过程中，发生第15.1款约定情形的，监理人应按照第15.3.3项约定向承包人发出变更指示。</w:t>
      </w:r>
    </w:p>
    <w:p w14:paraId="624A71A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599C317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（4）若承包人收到监理人的变更意向书后认为难以实施此项变更，应立即通知监理人，说明原因并附详细依据。监理人与承包人和发包人协商后确定撤销、改变或不改变原变更意向书。</w:t>
      </w:r>
    </w:p>
    <w:p w14:paraId="2DA8978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15.3.2 变更估价</w:t>
      </w:r>
    </w:p>
    <w:p w14:paraId="2400AF0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075C0FE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（2）变更工作影响工期的，承包人应提出调整工期的具体细节。监理人认为有必要时，可要求承包人提交要求提前或延长工期的施工进度计划及相应施工措施等详细资料。</w:t>
      </w:r>
    </w:p>
    <w:p w14:paraId="5024C7B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（3）除专用合同条款对期限另有约定外，监理人收到承包人变更报价书后的14天内，根据第15.4款约定的估价原则，按照第3.5款商定或确定变更价格。</w:t>
      </w:r>
    </w:p>
    <w:p w14:paraId="4038527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15.3.3 变更指示</w:t>
      </w:r>
    </w:p>
    <w:p w14:paraId="559F8ED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（1）变更指示只能由监理人发出。</w:t>
      </w:r>
    </w:p>
    <w:p w14:paraId="2A81FD8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（2）变更指示应说明变更的目的、范围、变更内容以及变更的工程量及其进度和技术要求，并附有关图纸和文件。承包人收到变更指示后，应按变更指示进行变更工作。</w:t>
      </w:r>
    </w:p>
    <w:p w14:paraId="7894C8D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bookmarkStart w:id="1093" w:name="_Toc186623773"/>
      <w:bookmarkStart w:id="1094" w:name="_Toc186623460"/>
      <w:r>
        <w:rPr>
          <w:rFonts w:hint="eastAsia" w:ascii="宋体" w:hAnsi="宋体" w:eastAsia="宋体" w:cs="宋体"/>
          <w:b/>
          <w:bCs/>
          <w:color w:val="auto"/>
          <w:sz w:val="21"/>
          <w:szCs w:val="21"/>
          <w:highlight w:val="none"/>
        </w:rPr>
        <w:t>15.4 变更的估价原则</w:t>
      </w:r>
      <w:bookmarkEnd w:id="1093"/>
      <w:bookmarkEnd w:id="1094"/>
    </w:p>
    <w:p w14:paraId="5D8EA7A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除专用合同条款另有约定外，因变更引起的价格调整按照本款约定处理。</w:t>
      </w:r>
    </w:p>
    <w:p w14:paraId="023C1F0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已标价工程量清单中有适用于变更工作的子目的，采用该子目的单价。</w:t>
      </w:r>
    </w:p>
    <w:p w14:paraId="746A893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15.4.2 已标价工程量清单中无适用于变更工作的子目，但有类似子目的，可在合理范围内参照类似子目的单价，由监理人按第3.5款商定或确定变更工作的单价。</w:t>
      </w:r>
    </w:p>
    <w:p w14:paraId="3999168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已标价工程量清单中无适用或类似子目的单价，可按照成本加利润的原则，由监理人按第3.5款商定或确定变更工作的单价。</w:t>
      </w:r>
    </w:p>
    <w:p w14:paraId="0618910C">
      <w:pPr>
        <w:widowControl w:val="0"/>
        <w:wordWrap w:val="0"/>
        <w:spacing w:line="360" w:lineRule="auto"/>
        <w:jc w:val="left"/>
        <w:outlineLvl w:val="9"/>
        <w:rPr>
          <w:rFonts w:hint="eastAsia" w:ascii="宋体" w:hAnsi="宋体" w:eastAsia="宋体" w:cs="宋体"/>
          <w:b/>
          <w:bCs/>
          <w:color w:val="auto"/>
          <w:szCs w:val="21"/>
          <w:highlight w:val="none"/>
        </w:rPr>
      </w:pPr>
      <w:bookmarkStart w:id="1095" w:name="_Toc186623774"/>
      <w:bookmarkStart w:id="1096" w:name="_Toc186623461"/>
      <w:r>
        <w:rPr>
          <w:rFonts w:hint="eastAsia" w:ascii="宋体" w:hAnsi="宋体" w:eastAsia="宋体" w:cs="宋体"/>
          <w:b/>
          <w:bCs/>
          <w:color w:val="auto"/>
          <w:szCs w:val="21"/>
          <w:highlight w:val="none"/>
        </w:rPr>
        <w:t>15.5 承包人的合理化建议</w:t>
      </w:r>
      <w:bookmarkEnd w:id="1095"/>
      <w:bookmarkEnd w:id="1096"/>
    </w:p>
    <w:p w14:paraId="0D3ECB8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29F1D2E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15.5.2 承包人提出的合理化建议降低了合同价格、缩短了工期或者提高了工程经济效益的，发包人可按国家有关规定在专用合同条款中约定给予奖励。</w:t>
      </w:r>
    </w:p>
    <w:p w14:paraId="792BDF5E">
      <w:pPr>
        <w:widowControl w:val="0"/>
        <w:wordWrap w:val="0"/>
        <w:spacing w:line="360" w:lineRule="auto"/>
        <w:jc w:val="left"/>
        <w:outlineLvl w:val="9"/>
        <w:rPr>
          <w:rFonts w:hint="eastAsia" w:ascii="宋体" w:hAnsi="宋体" w:eastAsia="宋体" w:cs="宋体"/>
          <w:b/>
          <w:bCs/>
          <w:color w:val="auto"/>
          <w:szCs w:val="21"/>
          <w:highlight w:val="none"/>
        </w:rPr>
      </w:pPr>
      <w:bookmarkStart w:id="1097" w:name="_Toc186623462"/>
      <w:bookmarkStart w:id="1098" w:name="_Toc186623775"/>
      <w:r>
        <w:rPr>
          <w:rFonts w:hint="eastAsia" w:ascii="宋体" w:hAnsi="宋体" w:eastAsia="宋体" w:cs="宋体"/>
          <w:b/>
          <w:bCs/>
          <w:color w:val="auto"/>
          <w:szCs w:val="21"/>
          <w:highlight w:val="none"/>
        </w:rPr>
        <w:t>15.6 暂列金额</w:t>
      </w:r>
      <w:bookmarkEnd w:id="1097"/>
      <w:bookmarkEnd w:id="1098"/>
    </w:p>
    <w:p w14:paraId="1A07ED3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暂列金额只能按照监理人的指示使用，并对合同价格进行相应调整。</w:t>
      </w:r>
    </w:p>
    <w:p w14:paraId="46B633FD">
      <w:pPr>
        <w:widowControl w:val="0"/>
        <w:wordWrap w:val="0"/>
        <w:spacing w:line="360" w:lineRule="auto"/>
        <w:jc w:val="left"/>
        <w:outlineLvl w:val="9"/>
        <w:rPr>
          <w:rFonts w:hint="eastAsia" w:ascii="宋体" w:hAnsi="宋体" w:eastAsia="宋体" w:cs="宋体"/>
          <w:b/>
          <w:bCs/>
          <w:color w:val="auto"/>
          <w:szCs w:val="21"/>
          <w:highlight w:val="none"/>
        </w:rPr>
      </w:pPr>
      <w:bookmarkStart w:id="1099" w:name="_Toc186623463"/>
      <w:bookmarkStart w:id="1100" w:name="_Toc186623776"/>
      <w:r>
        <w:rPr>
          <w:rFonts w:hint="eastAsia" w:ascii="宋体" w:hAnsi="宋体" w:eastAsia="宋体" w:cs="宋体"/>
          <w:b/>
          <w:bCs/>
          <w:color w:val="auto"/>
          <w:szCs w:val="21"/>
          <w:highlight w:val="none"/>
        </w:rPr>
        <w:t>15.7 计日工</w:t>
      </w:r>
      <w:bookmarkEnd w:id="1099"/>
      <w:bookmarkEnd w:id="1100"/>
    </w:p>
    <w:p w14:paraId="05385FF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15.7.1 发包人认为有必要时，由监理人通知承包人以计日工方式实施变更的零星工作。其价款按列入已标价工程量清单中的计日工计价子目及其单价进行计算。</w:t>
      </w:r>
    </w:p>
    <w:p w14:paraId="26C962C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15.7.2 采用计日工计价的任何一项变更工作，应从暂列金额中支付，承包人应在该项变更的实施过程中，每天提交以下报表和有关凭证报送监理人审批：</w:t>
      </w:r>
    </w:p>
    <w:p w14:paraId="7DEFCEA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（1）工作名称、内容和数量；</w:t>
      </w:r>
    </w:p>
    <w:p w14:paraId="6E5E15E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（2）投入该工作所有人员的姓名、工种、级别和耗用工时；</w:t>
      </w:r>
    </w:p>
    <w:p w14:paraId="3AFF631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（3）投入该工作的材料类别和数量；</w:t>
      </w:r>
    </w:p>
    <w:p w14:paraId="3B48C11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（4）投入该工作的施工设备型号、台数和耗用台时；</w:t>
      </w:r>
    </w:p>
    <w:p w14:paraId="0F7A2BF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（5）监理人要求提交的其他资料和凭证。</w:t>
      </w:r>
    </w:p>
    <w:p w14:paraId="55D3811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15.7.3 计日工由承包人汇总后，按第17.3.2项的约定列入进度付款申请单，由监理人复核并经发包人同意后列入进度付款。</w:t>
      </w:r>
    </w:p>
    <w:p w14:paraId="192C58B6">
      <w:pPr>
        <w:widowControl w:val="0"/>
        <w:wordWrap w:val="0"/>
        <w:spacing w:line="360" w:lineRule="auto"/>
        <w:jc w:val="left"/>
        <w:outlineLvl w:val="9"/>
        <w:rPr>
          <w:rFonts w:hint="eastAsia" w:ascii="宋体" w:hAnsi="宋体" w:eastAsia="宋体" w:cs="宋体"/>
          <w:b/>
          <w:bCs/>
          <w:color w:val="auto"/>
          <w:szCs w:val="21"/>
          <w:highlight w:val="none"/>
        </w:rPr>
      </w:pPr>
      <w:bookmarkStart w:id="1101" w:name="_Toc221950942"/>
      <w:r>
        <w:rPr>
          <w:rFonts w:hint="eastAsia" w:ascii="宋体" w:hAnsi="宋体" w:eastAsia="宋体" w:cs="宋体"/>
          <w:b/>
          <w:bCs/>
          <w:color w:val="auto"/>
          <w:szCs w:val="21"/>
          <w:highlight w:val="none"/>
        </w:rPr>
        <w:t>15.8 暂估价</w:t>
      </w:r>
      <w:bookmarkEnd w:id="1101"/>
    </w:p>
    <w:p w14:paraId="11F5B1F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4C19E43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1344B7E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35F2CFF3">
      <w:pPr>
        <w:widowControl w:val="0"/>
        <w:wordWrap w:val="0"/>
        <w:spacing w:before="0" w:after="0"/>
        <w:jc w:val="left"/>
        <w:outlineLvl w:val="9"/>
        <w:rPr>
          <w:rFonts w:hint="eastAsia" w:ascii="宋体" w:hAnsi="宋体" w:eastAsia="宋体" w:cs="宋体"/>
          <w:b/>
          <w:bCs/>
          <w:color w:val="auto"/>
          <w:sz w:val="21"/>
          <w:szCs w:val="21"/>
          <w:highlight w:val="none"/>
        </w:rPr>
      </w:pPr>
      <w:bookmarkStart w:id="1102" w:name="_Toc427509426"/>
      <w:bookmarkStart w:id="1103" w:name="_Toc24866"/>
      <w:bookmarkStart w:id="1104" w:name="_Toc222032686"/>
      <w:bookmarkStart w:id="1105" w:name="_Toc221950944"/>
      <w:bookmarkStart w:id="1106" w:name="_Toc8513"/>
      <w:bookmarkStart w:id="1107" w:name="_Toc8124"/>
      <w:bookmarkStart w:id="1108" w:name="_Toc4097"/>
      <w:bookmarkStart w:id="1109" w:name="_Toc427509926"/>
      <w:bookmarkStart w:id="1110" w:name="_Toc267492129"/>
      <w:bookmarkStart w:id="1111" w:name="_Toc36069704"/>
      <w:bookmarkStart w:id="1112" w:name="_Toc15265"/>
      <w:bookmarkStart w:id="1113" w:name="_Toc266859667"/>
      <w:bookmarkStart w:id="1114" w:name="_Toc15546"/>
      <w:bookmarkStart w:id="1115" w:name="_Toc28772"/>
      <w:bookmarkStart w:id="1116" w:name="_Toc31233"/>
      <w:bookmarkStart w:id="1117" w:name="_Toc26902"/>
      <w:bookmarkStart w:id="1118" w:name="_Toc21008"/>
      <w:bookmarkStart w:id="1119" w:name="_Toc222029517"/>
      <w:bookmarkStart w:id="1120" w:name="_Toc222031019"/>
      <w:bookmarkStart w:id="1121" w:name="_Toc222033868"/>
      <w:bookmarkStart w:id="1122" w:name="_Toc332378885"/>
      <w:bookmarkStart w:id="1123" w:name="_Toc31914"/>
      <w:bookmarkStart w:id="1124" w:name="_Toc268299782"/>
      <w:bookmarkStart w:id="1125" w:name="_Toc20938"/>
      <w:bookmarkStart w:id="1126" w:name="_Toc271870460"/>
      <w:bookmarkStart w:id="1127" w:name="_Toc3451208"/>
      <w:bookmarkStart w:id="1128" w:name="_Toc229305377"/>
      <w:r>
        <w:rPr>
          <w:rFonts w:hint="eastAsia" w:ascii="宋体" w:hAnsi="宋体" w:eastAsia="宋体" w:cs="宋体"/>
          <w:b/>
          <w:bCs/>
          <w:color w:val="auto"/>
          <w:sz w:val="21"/>
          <w:szCs w:val="21"/>
          <w:highlight w:val="none"/>
        </w:rPr>
        <w:t>16. 价格调整</w:t>
      </w:r>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p>
    <w:p w14:paraId="7399ED2F">
      <w:pPr>
        <w:widowControl w:val="0"/>
        <w:wordWrap w:val="0"/>
        <w:spacing w:line="360" w:lineRule="auto"/>
        <w:jc w:val="left"/>
        <w:outlineLvl w:val="9"/>
        <w:rPr>
          <w:rFonts w:hint="eastAsia" w:ascii="宋体" w:hAnsi="宋体" w:eastAsia="宋体" w:cs="宋体"/>
          <w:b/>
          <w:bCs/>
          <w:color w:val="auto"/>
          <w:szCs w:val="21"/>
          <w:highlight w:val="none"/>
        </w:rPr>
      </w:pPr>
      <w:bookmarkStart w:id="1129" w:name="_Toc221950945"/>
      <w:r>
        <w:rPr>
          <w:rFonts w:hint="eastAsia" w:ascii="宋体" w:hAnsi="宋体" w:eastAsia="宋体" w:cs="宋体"/>
          <w:b/>
          <w:bCs/>
          <w:color w:val="auto"/>
          <w:kern w:val="2"/>
          <w:sz w:val="21"/>
          <w:szCs w:val="21"/>
          <w:highlight w:val="none"/>
          <w:lang w:val="en-US" w:eastAsia="zh-CN" w:bidi="ar-SA"/>
        </w:rPr>
        <w:t>16.1 物价波动引起的价格调整</w:t>
      </w:r>
      <w:bookmarkEnd w:id="1129"/>
    </w:p>
    <w:p w14:paraId="67C577F7">
      <w:pPr>
        <w:widowControl w:val="0"/>
        <w:wordWrap w:val="0"/>
        <w:spacing w:line="360" w:lineRule="auto"/>
        <w:ind w:firstLine="420" w:firstLineChars="200"/>
        <w:jc w:val="left"/>
        <w:outlineLvl w:val="9"/>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由于物价波动原因引起合同价格需要调整的，其价格调整方式在专用合同条款中约定。</w:t>
      </w:r>
    </w:p>
    <w:p w14:paraId="149652A5">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 采用价格指数调整价格差额</w:t>
      </w:r>
    </w:p>
    <w:p w14:paraId="76081EF4">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bookmarkStart w:id="1130" w:name="_Toc16367"/>
      <w:bookmarkStart w:id="1131" w:name="_Toc3451209"/>
      <w:bookmarkStart w:id="1132" w:name="_Toc332378886"/>
      <w:bookmarkStart w:id="1133" w:name="_Toc427509427"/>
      <w:bookmarkStart w:id="1134" w:name="_Toc271870461"/>
      <w:bookmarkStart w:id="1135" w:name="_Toc427509927"/>
      <w:bookmarkStart w:id="1136" w:name="_Toc268299783"/>
      <w:bookmarkStart w:id="1137" w:name="_Toc19022"/>
      <w:bookmarkStart w:id="1138" w:name="_Toc403835072"/>
      <w:bookmarkStart w:id="1139" w:name="_Toc11021"/>
      <w:bookmarkStart w:id="1140" w:name="_Toc15540"/>
      <w:bookmarkStart w:id="1141" w:name="_Toc36069705"/>
      <w:bookmarkStart w:id="1142" w:name="_Toc32561"/>
      <w:bookmarkStart w:id="1143" w:name="_Toc11719"/>
      <w:bookmarkStart w:id="1144" w:name="_Toc14576"/>
      <w:r>
        <w:rPr>
          <w:rFonts w:hint="eastAsia" w:ascii="宋体" w:hAnsi="宋体" w:eastAsia="宋体" w:cs="宋体"/>
          <w:color w:val="auto"/>
          <w:sz w:val="21"/>
          <w:szCs w:val="21"/>
          <w:highlight w:val="none"/>
        </w:rPr>
        <w:t>16.1.1.1 价格调整公式</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p>
    <w:p w14:paraId="17FF8E19">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因人工、材料和设备等价格波动影响合同价格时，根据投标函附录中的价格指数和权重表约定的数据，按以下公式计</w:t>
      </w:r>
      <w:r>
        <w:rPr>
          <w:rFonts w:hint="eastAsia" w:ascii="宋体" w:hAnsi="宋体" w:eastAsia="宋体" w:cs="宋体"/>
          <w:color w:val="auto"/>
          <w:sz w:val="21"/>
          <w:szCs w:val="21"/>
          <w:highlight w:val="none"/>
        </w:rPr>
        <w:object>
          <v:shape id="_x0000_i1025" o:spt="75" type="#_x0000_t75" style="height:17pt;width:9pt;" o:ole="t" filled="f" o:preferrelative="t" stroked="f" coordsize="21600,21600">
            <v:path/>
            <v:fill on="f" focussize="0,0"/>
            <v:stroke on="f"/>
            <v:imagedata r:id="rId11" o:title=""/>
            <o:lock v:ext="edit" grouping="f" rotation="f" text="f" aspectratio="t"/>
            <w10:wrap type="none"/>
            <w10:anchorlock/>
          </v:shape>
          <o:OLEObject Type="Embed" ProgID="Equation.3" ShapeID="_x0000_i1025" DrawAspect="Content" ObjectID="_1468075725" r:id="rId10">
            <o:LockedField>false</o:LockedField>
          </o:OLEObject>
        </w:object>
      </w:r>
      <w:r>
        <w:rPr>
          <w:rFonts w:hint="eastAsia" w:ascii="宋体" w:hAnsi="宋体" w:eastAsia="宋体" w:cs="宋体"/>
          <w:color w:val="auto"/>
          <w:sz w:val="21"/>
          <w:szCs w:val="21"/>
          <w:highlight w:val="none"/>
        </w:rPr>
        <w:t>算差额并调整合同价格。</w:t>
      </w:r>
    </w:p>
    <w:p w14:paraId="778DA506">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object>
          <v:shape id="_x0000_i1026" o:spt="75" type="#_x0000_t75" style="height:17pt;width:9pt;" o:ole="t" filled="f" o:preferrelative="t" stroked="f" coordsize="21600,21600">
            <v:path/>
            <v:fill on="f" focussize="0,0"/>
            <v:stroke on="f"/>
            <v:imagedata r:id="rId11" o:title=""/>
            <o:lock v:ext="edit" grouping="f" rotation="f" text="f" aspectratio="t"/>
            <w10:wrap type="none"/>
            <w10:anchorlock/>
          </v:shape>
          <o:OLEObject Type="Embed" ProgID="Equation.3" ShapeID="_x0000_i1026" DrawAspect="Content" ObjectID="_1468075726" r:id="rId12">
            <o:LockedField>false</o:LockedField>
          </o:OLEObject>
        </w:objec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object>
          <v:shape id="_x0000_i1027" o:spt="75" type="#_x0000_t75" style="height:40pt;width:303pt;" o:ole="t" filled="f" stroked="f" coordsize="21600,21600">
            <v:path/>
            <v:fill on="f" focussize="0,0"/>
            <v:stroke on="f"/>
            <v:imagedata r:id="rId14" o:title=""/>
            <o:lock v:ext="edit" grouping="f" rotation="f" text="f" aspectratio="t"/>
            <w10:wrap type="none"/>
            <w10:anchorlock/>
          </v:shape>
          <o:OLEObject Type="Embed" ProgID="Equation.3" ShapeID="_x0000_i1027" DrawAspect="Content" ObjectID="_1468075727" r:id="rId13">
            <o:LockedField>false</o:LockedField>
          </o:OLEObject>
        </w:object>
      </w:r>
    </w:p>
    <w:p w14:paraId="77B6548D">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式中： △P -- 需调整的价格差额；</w:t>
      </w:r>
    </w:p>
    <w:p w14:paraId="46911BF4">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P0 -- 第17.3.3项、第17.5.2项和第17.6.2项约定的付款证书中承包人应得到的已完成工程量的金额。此项金额应不包括价格调整、不计质量保证金的扣留和支付、预付款的支付和扣回。第15 条约定的变更及其他金额已按现行价格计价的，也不计在内；</w:t>
      </w:r>
    </w:p>
    <w:p w14:paraId="46A2DB3C">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 定值权重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即不调部分的权重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113D4B3">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B1；B2；B3·····Bn -- 各可调因子的变值权重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即可调部分的权重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为各可调因子在投标函投标总报价中所占的比例；</w:t>
      </w:r>
    </w:p>
    <w:p w14:paraId="237968A6">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Ft1；Ft2；Ft3·····Ftn -- 各可调因子的现行价格指数，指第17.3.3项、第17.5.2项和第17.6.2项约定的付款证书相关周期最后一天的前42天的各可调因子的价格指数；</w:t>
      </w:r>
    </w:p>
    <w:p w14:paraId="66D1CA52">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Fo1；Fo2；Fo3·····Fon -- 各可调因子的基本价格指数，指基准日期的各可调因子的价格指数。</w:t>
      </w:r>
    </w:p>
    <w:p w14:paraId="3741896E">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44D13863">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bookmarkStart w:id="1145" w:name="_Toc36069706"/>
      <w:bookmarkStart w:id="1146" w:name="_Toc30251"/>
      <w:bookmarkStart w:id="1147" w:name="_Toc427509928"/>
      <w:bookmarkStart w:id="1148" w:name="_Toc271870462"/>
      <w:bookmarkStart w:id="1149" w:name="_Toc3451210"/>
      <w:bookmarkStart w:id="1150" w:name="_Toc5268"/>
      <w:bookmarkStart w:id="1151" w:name="_Toc9656"/>
      <w:bookmarkStart w:id="1152" w:name="_Toc11569"/>
      <w:bookmarkStart w:id="1153" w:name="_Toc14658"/>
      <w:bookmarkStart w:id="1154" w:name="_Toc332378887"/>
      <w:bookmarkStart w:id="1155" w:name="_Toc403835073"/>
      <w:bookmarkStart w:id="1156" w:name="_Toc427509428"/>
      <w:bookmarkStart w:id="1157" w:name="_Toc12541"/>
      <w:bookmarkStart w:id="1158" w:name="_Toc268299784"/>
      <w:bookmarkStart w:id="1159" w:name="_Toc9517"/>
      <w:r>
        <w:rPr>
          <w:rFonts w:hint="eastAsia" w:ascii="宋体" w:hAnsi="宋体" w:eastAsia="宋体" w:cs="宋体"/>
          <w:color w:val="auto"/>
          <w:sz w:val="21"/>
          <w:szCs w:val="21"/>
          <w:highlight w:val="none"/>
        </w:rPr>
        <w:t>16.1.1.2 暂时确定调整差额</w:t>
      </w:r>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p>
    <w:p w14:paraId="3923D974">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在计算调整差额时得不到现行价格指数的，可暂用上一次价格指数计算，并在以后的付款中再按实际价格指数进行调整。</w:t>
      </w:r>
    </w:p>
    <w:p w14:paraId="0195397C">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bookmarkStart w:id="1160" w:name="_Toc271870463"/>
      <w:bookmarkStart w:id="1161" w:name="_Toc427509429"/>
      <w:bookmarkStart w:id="1162" w:name="_Toc19415"/>
      <w:bookmarkStart w:id="1163" w:name="_Toc332378888"/>
      <w:bookmarkStart w:id="1164" w:name="_Toc3451211"/>
      <w:bookmarkStart w:id="1165" w:name="_Toc4518"/>
      <w:bookmarkStart w:id="1166" w:name="_Toc30797"/>
      <w:bookmarkStart w:id="1167" w:name="_Toc268299785"/>
      <w:bookmarkStart w:id="1168" w:name="_Toc13403"/>
      <w:bookmarkStart w:id="1169" w:name="_Toc29931"/>
      <w:bookmarkStart w:id="1170" w:name="_Toc9353"/>
      <w:bookmarkStart w:id="1171" w:name="_Toc403835074"/>
      <w:bookmarkStart w:id="1172" w:name="_Toc11528"/>
      <w:bookmarkStart w:id="1173" w:name="_Toc427509929"/>
      <w:bookmarkStart w:id="1174" w:name="_Toc36069707"/>
      <w:r>
        <w:rPr>
          <w:rFonts w:hint="eastAsia" w:ascii="宋体" w:hAnsi="宋体" w:eastAsia="宋体" w:cs="宋体"/>
          <w:color w:val="auto"/>
          <w:sz w:val="21"/>
          <w:szCs w:val="21"/>
          <w:highlight w:val="none"/>
        </w:rPr>
        <w:t>16.1.1.3 权重的调整</w:t>
      </w:r>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p>
    <w:p w14:paraId="7395B2AD">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按第15.1款约定的变更导致原定合同中的权重不合理时，由监理人与承包人和发包人协商后进行调整。</w:t>
      </w:r>
    </w:p>
    <w:p w14:paraId="3AB454B5">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bookmarkStart w:id="1175" w:name="_Toc403835075"/>
      <w:bookmarkStart w:id="1176" w:name="_Toc28256"/>
      <w:bookmarkStart w:id="1177" w:name="_Toc332378889"/>
      <w:bookmarkStart w:id="1178" w:name="_Toc271870464"/>
      <w:bookmarkStart w:id="1179" w:name="_Toc11549"/>
      <w:bookmarkStart w:id="1180" w:name="_Toc268299786"/>
      <w:bookmarkStart w:id="1181" w:name="_Toc2768"/>
      <w:bookmarkStart w:id="1182" w:name="_Toc26753"/>
      <w:bookmarkStart w:id="1183" w:name="_Toc427509430"/>
      <w:bookmarkStart w:id="1184" w:name="_Toc26421"/>
      <w:bookmarkStart w:id="1185" w:name="_Toc427509930"/>
      <w:bookmarkStart w:id="1186" w:name="_Toc16019"/>
      <w:bookmarkStart w:id="1187" w:name="_Toc15275"/>
      <w:bookmarkStart w:id="1188" w:name="_Toc36069708"/>
      <w:bookmarkStart w:id="1189" w:name="_Toc3451212"/>
      <w:r>
        <w:rPr>
          <w:rFonts w:hint="eastAsia" w:ascii="宋体" w:hAnsi="宋体" w:eastAsia="宋体" w:cs="宋体"/>
          <w:color w:val="auto"/>
          <w:sz w:val="21"/>
          <w:szCs w:val="21"/>
          <w:highlight w:val="none"/>
        </w:rPr>
        <w:t>16.1.1.4 承包人工期延误后的价格调整</w:t>
      </w:r>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p w14:paraId="50F20FFA">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3F9BC49B">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16.1.2 采用造价信息调整价格差额</w:t>
      </w:r>
    </w:p>
    <w:p w14:paraId="7CA6D7EB">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w:t>
      </w:r>
      <w:r>
        <w:rPr>
          <w:rFonts w:hint="eastAsia" w:ascii="宋体" w:hAnsi="宋体" w:eastAsia="宋体" w:cs="宋体"/>
          <w:color w:val="auto"/>
          <w:sz w:val="21"/>
          <w:szCs w:val="21"/>
          <w:highlight w:val="none"/>
          <w:lang w:eastAsia="zh-CN"/>
        </w:rPr>
        <w:t>数量</w:t>
      </w:r>
      <w:r>
        <w:rPr>
          <w:rFonts w:hint="eastAsia" w:ascii="宋体" w:hAnsi="宋体" w:eastAsia="宋体" w:cs="宋体"/>
          <w:color w:val="auto"/>
          <w:sz w:val="21"/>
          <w:szCs w:val="21"/>
          <w:highlight w:val="none"/>
        </w:rPr>
        <w:t>应由监理人复核，监理人确认需调整的材料单价及数量，作为调整工程合同价格差额的依据。</w:t>
      </w:r>
    </w:p>
    <w:p w14:paraId="2270A194">
      <w:pPr>
        <w:widowControl w:val="0"/>
        <w:wordWrap w:val="0"/>
        <w:spacing w:line="360" w:lineRule="auto"/>
        <w:ind w:firstLine="420" w:firstLineChars="200"/>
        <w:jc w:val="left"/>
        <w:outlineLvl w:val="9"/>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工程造价信息的来源以及价格调整的项目和系数在专用合同条款中约定。</w:t>
      </w:r>
    </w:p>
    <w:p w14:paraId="0F983D53">
      <w:pPr>
        <w:widowControl w:val="0"/>
        <w:wordWrap w:val="0"/>
        <w:spacing w:line="360" w:lineRule="auto"/>
        <w:jc w:val="left"/>
        <w:outlineLvl w:val="9"/>
        <w:rPr>
          <w:rFonts w:hint="eastAsia" w:ascii="宋体" w:hAnsi="宋体" w:eastAsia="宋体" w:cs="宋体"/>
          <w:b/>
          <w:bCs/>
          <w:color w:val="auto"/>
          <w:szCs w:val="21"/>
          <w:highlight w:val="none"/>
        </w:rPr>
      </w:pPr>
      <w:bookmarkStart w:id="1190" w:name="_Toc186623780"/>
      <w:bookmarkStart w:id="1191" w:name="_Toc186623467"/>
      <w:r>
        <w:rPr>
          <w:rFonts w:hint="eastAsia" w:ascii="宋体" w:hAnsi="宋体" w:eastAsia="宋体" w:cs="宋体"/>
          <w:b/>
          <w:bCs/>
          <w:color w:val="auto"/>
          <w:szCs w:val="21"/>
          <w:highlight w:val="none"/>
        </w:rPr>
        <w:t>16.2 法律变化引起的价格调整</w:t>
      </w:r>
      <w:bookmarkEnd w:id="1190"/>
      <w:bookmarkEnd w:id="1191"/>
    </w:p>
    <w:p w14:paraId="749F9D6A">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46DD60DF">
      <w:pPr>
        <w:widowControl w:val="0"/>
        <w:wordWrap w:val="0"/>
        <w:spacing w:before="0" w:after="0"/>
        <w:jc w:val="left"/>
        <w:outlineLvl w:val="9"/>
        <w:rPr>
          <w:rFonts w:hint="eastAsia" w:ascii="宋体" w:hAnsi="宋体" w:eastAsia="宋体" w:cs="宋体"/>
          <w:b/>
          <w:bCs/>
          <w:color w:val="auto"/>
          <w:sz w:val="21"/>
          <w:szCs w:val="21"/>
          <w:highlight w:val="none"/>
        </w:rPr>
      </w:pPr>
      <w:bookmarkStart w:id="1192" w:name="_Toc22953"/>
      <w:bookmarkStart w:id="1193" w:name="_Toc427509431"/>
      <w:bookmarkStart w:id="1194" w:name="_Toc6656"/>
      <w:bookmarkStart w:id="1195" w:name="_Toc271870465"/>
      <w:bookmarkStart w:id="1196" w:name="_Toc427509931"/>
      <w:bookmarkStart w:id="1197" w:name="_Toc229305378"/>
      <w:bookmarkStart w:id="1198" w:name="_Toc222032687"/>
      <w:bookmarkStart w:id="1199" w:name="_Toc222033869"/>
      <w:bookmarkStart w:id="1200" w:name="_Toc222029518"/>
      <w:bookmarkStart w:id="1201" w:name="_Toc28584"/>
      <w:bookmarkStart w:id="1202" w:name="_Toc2246"/>
      <w:bookmarkStart w:id="1203" w:name="_Toc22496"/>
      <w:bookmarkStart w:id="1204" w:name="_Toc332378890"/>
      <w:bookmarkStart w:id="1205" w:name="_Toc268299787"/>
      <w:bookmarkStart w:id="1206" w:name="_Toc222031020"/>
      <w:bookmarkStart w:id="1207" w:name="_Toc36069709"/>
      <w:bookmarkStart w:id="1208" w:name="_Toc22330"/>
      <w:bookmarkStart w:id="1209" w:name="_Toc32272"/>
      <w:bookmarkStart w:id="1210" w:name="_Toc18585"/>
      <w:bookmarkStart w:id="1211" w:name="_Toc31495"/>
      <w:bookmarkStart w:id="1212" w:name="_Toc31594"/>
      <w:bookmarkStart w:id="1213" w:name="_Toc221950995"/>
      <w:bookmarkStart w:id="1214" w:name="_Toc32522"/>
      <w:bookmarkStart w:id="1215" w:name="_Toc266859668"/>
      <w:bookmarkStart w:id="1216" w:name="_Toc267492130"/>
      <w:bookmarkStart w:id="1217" w:name="_Toc3451213"/>
      <w:bookmarkStart w:id="1218" w:name="_Toc29876"/>
      <w:r>
        <w:rPr>
          <w:rFonts w:hint="eastAsia" w:ascii="宋体" w:hAnsi="宋体" w:eastAsia="宋体" w:cs="宋体"/>
          <w:b/>
          <w:bCs/>
          <w:color w:val="auto"/>
          <w:sz w:val="21"/>
          <w:szCs w:val="21"/>
          <w:highlight w:val="none"/>
        </w:rPr>
        <w:t>17. 计量与支付</w:t>
      </w:r>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p>
    <w:p w14:paraId="5D72B8CE">
      <w:pPr>
        <w:widowControl w:val="0"/>
        <w:wordWrap w:val="0"/>
        <w:spacing w:line="360" w:lineRule="auto"/>
        <w:jc w:val="left"/>
        <w:outlineLvl w:val="9"/>
        <w:rPr>
          <w:rFonts w:hint="eastAsia" w:ascii="宋体" w:hAnsi="宋体" w:eastAsia="宋体" w:cs="宋体"/>
          <w:b/>
          <w:bCs/>
          <w:color w:val="auto"/>
          <w:szCs w:val="21"/>
          <w:highlight w:val="none"/>
        </w:rPr>
      </w:pPr>
      <w:bookmarkStart w:id="1219" w:name="_Toc221950996"/>
      <w:r>
        <w:rPr>
          <w:rFonts w:hint="eastAsia" w:ascii="宋体" w:hAnsi="宋体" w:eastAsia="宋体" w:cs="宋体"/>
          <w:b/>
          <w:bCs/>
          <w:color w:val="auto"/>
          <w:szCs w:val="21"/>
          <w:highlight w:val="none"/>
        </w:rPr>
        <w:t>17.1 计量</w:t>
      </w:r>
      <w:bookmarkEnd w:id="1219"/>
    </w:p>
    <w:p w14:paraId="1ABA96E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17.1.1 计量单位</w:t>
      </w:r>
    </w:p>
    <w:p w14:paraId="0B7557F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计量采用国家法定的计量单位。</w:t>
      </w:r>
    </w:p>
    <w:p w14:paraId="4F13556F">
      <w:pPr>
        <w:widowControl w:val="0"/>
        <w:wordWrap w:val="0"/>
        <w:spacing w:line="360" w:lineRule="auto"/>
        <w:ind w:firstLine="420" w:firstLineChars="200"/>
        <w:jc w:val="left"/>
        <w:rPr>
          <w:rFonts w:hint="eastAsia" w:ascii="宋体" w:hAnsi="宋体" w:eastAsia="宋体" w:cs="宋体"/>
          <w:bCs w:val="0"/>
          <w:color w:val="auto"/>
          <w:sz w:val="21"/>
          <w:szCs w:val="21"/>
          <w:highlight w:val="none"/>
        </w:rPr>
      </w:pPr>
      <w:bookmarkStart w:id="1220" w:name="_Toc221951004"/>
      <w:r>
        <w:rPr>
          <w:rFonts w:hint="eastAsia" w:ascii="宋体" w:hAnsi="宋体" w:eastAsia="宋体" w:cs="宋体"/>
          <w:bCs w:val="0"/>
          <w:color w:val="auto"/>
          <w:sz w:val="21"/>
          <w:szCs w:val="21"/>
          <w:highlight w:val="none"/>
        </w:rPr>
        <w:t>17.1.2 计量方法</w:t>
      </w:r>
    </w:p>
    <w:p w14:paraId="71A98B3B">
      <w:pPr>
        <w:widowControl w:val="0"/>
        <w:wordWrap w:val="0"/>
        <w:spacing w:line="360" w:lineRule="auto"/>
        <w:ind w:firstLine="420" w:firstLineChars="200"/>
        <w:jc w:val="lef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结算工程量应按工程量清单中约定的方法计量。</w:t>
      </w:r>
    </w:p>
    <w:p w14:paraId="32A6640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17.1.3 计量周期</w:t>
      </w:r>
    </w:p>
    <w:p w14:paraId="551E87C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除专用合同条款另有约定外，单价子目已完成工程量按月计量，总价子目的计量周期按批准的支付分解报告确定。</w:t>
      </w:r>
    </w:p>
    <w:p w14:paraId="6EFBB90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17.1.4 单价子目的计量</w:t>
      </w:r>
    </w:p>
    <w:p w14:paraId="2F0DE61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（1）已标价工程量清单中的单价子目工程量为估算工程量。结算工程量是承包人实际完成的，并按合同约定的计量方法进行计量的工程量。</w:t>
      </w:r>
    </w:p>
    <w:p w14:paraId="0EA59E2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（2）承包人对已完成的工程进行计量，向监理人提交进度付款申请单、已完成工程量报表和有关计量资料。</w:t>
      </w:r>
    </w:p>
    <w:p w14:paraId="6DBFA98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06D0106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（4）监理人认为有必要时，可通知承包人共同进行联合测量、计量，承包人应遵照执行。</w:t>
      </w:r>
    </w:p>
    <w:p w14:paraId="313B3C2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0A1CE84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（6）监理人应在收到承包人提交的工程量报表后的7天内进行复核，监理人未在约定时间内复核的，承包人提交的工程量报表中的工程量视为承包人实际完成的工程量，据此计算工程价款。</w:t>
      </w:r>
    </w:p>
    <w:p w14:paraId="4B84A2F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17.1.5 总价子目的计量 </w:t>
      </w:r>
    </w:p>
    <w:p w14:paraId="335477A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总价子目的分解和计量按照下述约定进行。</w:t>
      </w:r>
    </w:p>
    <w:p w14:paraId="7A37018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（1）总价子目的计量和支付应以总价为基础，不因第16.1款中的因素而进行调整。承包人实际完成的工程量，是进行工程目标管理和控制进度支付的依据。</w:t>
      </w:r>
    </w:p>
    <w:p w14:paraId="0379B0A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应将工程量清单中的各总价子目进行分解，并在签订协议书后的28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p>
    <w:p w14:paraId="1D67F56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（3）监理人对承包人提交的上述资料进行复核，以确定分阶段实际完成的工程量和工程形象目标。对其有异议的，可要求承包人按第8.2款约定进行共同复核和抽样复测。</w:t>
      </w:r>
    </w:p>
    <w:p w14:paraId="11D201F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（4）除按照第15条约定的变更外，总价子目的工程量是承包人用于结算的最终工程量。</w:t>
      </w:r>
    </w:p>
    <w:p w14:paraId="525B9AA8">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17.2 预付款</w:t>
      </w:r>
      <w:bookmarkEnd w:id="1220"/>
    </w:p>
    <w:p w14:paraId="6C36616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17.2.1 预付款</w:t>
      </w:r>
    </w:p>
    <w:p w14:paraId="07A936A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56ECD17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17.2.2 预付款保函（担保）</w:t>
      </w:r>
    </w:p>
    <w:p w14:paraId="4AD8ADF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（1）承包人应在收到第一次工程预付款的同时向发包人提交工程预付款担保，担保金额应与第一次工程预付款金额相同，工程预付款担保在第一次工程预付款被发包人扣回前一直有效。</w:t>
      </w:r>
    </w:p>
    <w:p w14:paraId="2F153AB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（2）工程材料预付款的担保在专用合同条款中约定。</w:t>
      </w:r>
    </w:p>
    <w:p w14:paraId="1CBFB69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（3）预付款担保的担保金额可根据预付款扣回的金额相应递减。</w:t>
      </w:r>
    </w:p>
    <w:p w14:paraId="0E9673B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17.2.3 预付款的扣回与还清 </w:t>
      </w:r>
    </w:p>
    <w:p w14:paraId="6E542C2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预付款在进度付款中扣回，扣回与还清办法在专用合同条款中约定。在颁发合同工程完工证书前，由于不可抗力或其它原因解除合同时，预付款尚未扣清的，尚未扣清的预付款余额应作为承包人的到期应付款。</w:t>
      </w:r>
    </w:p>
    <w:p w14:paraId="322973D6">
      <w:pPr>
        <w:widowControl w:val="0"/>
        <w:wordWrap w:val="0"/>
        <w:spacing w:line="360" w:lineRule="auto"/>
        <w:jc w:val="left"/>
        <w:rPr>
          <w:rFonts w:hint="eastAsia" w:ascii="宋体" w:hAnsi="宋体" w:eastAsia="宋体" w:cs="宋体"/>
          <w:b/>
          <w:bCs/>
          <w:color w:val="auto"/>
          <w:szCs w:val="21"/>
          <w:highlight w:val="none"/>
        </w:rPr>
      </w:pPr>
      <w:bookmarkStart w:id="1221" w:name="_Toc186623784"/>
      <w:bookmarkStart w:id="1222" w:name="_Toc186623471"/>
      <w:r>
        <w:rPr>
          <w:rFonts w:hint="eastAsia" w:ascii="宋体" w:hAnsi="宋体" w:eastAsia="宋体" w:cs="宋体"/>
          <w:b/>
          <w:bCs/>
          <w:color w:val="auto"/>
          <w:szCs w:val="21"/>
          <w:highlight w:val="none"/>
        </w:rPr>
        <w:t>17.3 工程进度付款</w:t>
      </w:r>
      <w:bookmarkEnd w:id="1221"/>
      <w:bookmarkEnd w:id="1222"/>
    </w:p>
    <w:p w14:paraId="0239517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17.3.1 付款周期</w:t>
      </w:r>
    </w:p>
    <w:p w14:paraId="79CCF05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付款周期同计量周期。</w:t>
      </w:r>
    </w:p>
    <w:p w14:paraId="6041B04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17.3.2 进度付款申请单</w:t>
      </w:r>
    </w:p>
    <w:p w14:paraId="2F46B14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595257A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（1）截至本次付款周期末已实施工程的价款；</w:t>
      </w:r>
    </w:p>
    <w:p w14:paraId="2AD1C1A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（2）根据第15条应增加和扣减的变更金额；</w:t>
      </w:r>
    </w:p>
    <w:p w14:paraId="211D2F9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（3）根据第23条应增加和扣减的索赔金额；</w:t>
      </w:r>
    </w:p>
    <w:p w14:paraId="6D9A987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（4）根据第17.2款约定应支付的预付款和扣减的返还预付款；</w:t>
      </w:r>
    </w:p>
    <w:p w14:paraId="625D327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（5）根据第17.4.1项约定应扣减的质量保证金；</w:t>
      </w:r>
    </w:p>
    <w:p w14:paraId="1CB61FF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（6）根据合同应增加和扣减的其他金额。</w:t>
      </w:r>
    </w:p>
    <w:p w14:paraId="046895C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17.3.3 进度付款证书和支付时间</w:t>
      </w:r>
    </w:p>
    <w:p w14:paraId="18D55A9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4B0E267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（2）发包人应在监理人收到进度付款申请单后的28天内，将进度应付款支付给承包人。发包人不按期支付的，按专用合同条款的约定支付逾期付款违约金。</w:t>
      </w:r>
    </w:p>
    <w:p w14:paraId="15AEAA0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（3）监理人出具进度付款证书，不应视为监理人已同意、批准或接受了承包人完成的该部分工作。</w:t>
      </w:r>
    </w:p>
    <w:p w14:paraId="0BDDB55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（4）进度付款涉及政府投资资金的，按照国库集中支付等国家相关规定和专用合同条款的约定办理。</w:t>
      </w:r>
    </w:p>
    <w:p w14:paraId="40C3B37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17.3.4 工程进度付款的修正</w:t>
      </w:r>
    </w:p>
    <w:p w14:paraId="15AFC54F">
      <w:pPr>
        <w:widowControl w:val="0"/>
        <w:wordWrap w:val="0"/>
        <w:spacing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1F775C0E">
      <w:pPr>
        <w:widowControl w:val="0"/>
        <w:wordWrap w:val="0"/>
        <w:spacing w:line="360" w:lineRule="auto"/>
        <w:jc w:val="left"/>
        <w:rPr>
          <w:rFonts w:hint="eastAsia" w:ascii="宋体" w:hAnsi="宋体" w:eastAsia="宋体" w:cs="宋体"/>
          <w:b/>
          <w:bCs/>
          <w:color w:val="auto"/>
          <w:szCs w:val="21"/>
          <w:highlight w:val="none"/>
        </w:rPr>
      </w:pPr>
      <w:bookmarkStart w:id="1223" w:name="_Toc221951013"/>
      <w:r>
        <w:rPr>
          <w:rFonts w:hint="eastAsia" w:ascii="宋体" w:hAnsi="宋体" w:eastAsia="宋体" w:cs="宋体"/>
          <w:b/>
          <w:bCs/>
          <w:color w:val="auto"/>
          <w:szCs w:val="21"/>
          <w:highlight w:val="none"/>
        </w:rPr>
        <w:t>17.4 质量保证金</w:t>
      </w:r>
      <w:bookmarkEnd w:id="1223"/>
    </w:p>
    <w:p w14:paraId="09164F35">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224" w:name="_Toc221951015"/>
      <w:r>
        <w:rPr>
          <w:rFonts w:hint="eastAsia" w:ascii="宋体" w:hAnsi="宋体" w:eastAsia="宋体" w:cs="宋体"/>
          <w:color w:val="auto"/>
          <w:sz w:val="21"/>
          <w:szCs w:val="21"/>
          <w:highlight w:val="none"/>
        </w:rPr>
        <w:t>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090AB3A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17.4.2 合同工程完工证书颁发后14天内，发包人将质量保证金总额的一半支付给承包人。在第1.1.4.5目约定的缺陷责任期（工程质量保修期） 满时，发包人将在30个工作日内会同承包人按照合同约定的内容核实承包人是否完成保修责任。如无异议，发包人应当在核实后将剩余的质量保证金支付给承包人。</w:t>
      </w:r>
    </w:p>
    <w:p w14:paraId="034D777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17.4.3 在第1.1.4.5目约定的缺陷责任期满时，承包人没有完成缺陷责任的，发包人有权扣留与未履行责任剩余工作所需金额相应的质量保证金余额，并有权根据第19.3款约定要求延长缺陷责任期，直至完成剩余工作为止。</w:t>
      </w:r>
    </w:p>
    <w:p w14:paraId="0588D6B3">
      <w:pPr>
        <w:widowControl w:val="0"/>
        <w:wordWrap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17.5 竣工结算</w:t>
      </w:r>
      <w:bookmarkEnd w:id="1224"/>
      <w:r>
        <w:rPr>
          <w:rFonts w:hint="eastAsia" w:ascii="宋体" w:hAnsi="宋体" w:eastAsia="宋体" w:cs="宋体"/>
          <w:b/>
          <w:bCs/>
          <w:color w:val="auto"/>
          <w:sz w:val="21"/>
          <w:szCs w:val="21"/>
          <w:highlight w:val="none"/>
        </w:rPr>
        <w:t>（完工结算）</w:t>
      </w:r>
    </w:p>
    <w:p w14:paraId="4654413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17.5.1 竣工（完工）付款申请单</w:t>
      </w:r>
    </w:p>
    <w:p w14:paraId="06410DC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754E440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（2）监理人对完工付款申请单有异议的，有权要求承包人进行修正和提供补充资料。经监理人和承包人协商后，由承包人向监理人提交修正后的完工付款申请单。</w:t>
      </w:r>
    </w:p>
    <w:p w14:paraId="74DD1F0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17.5.2 竣工（完工）付款证书及支付时间 </w:t>
      </w:r>
    </w:p>
    <w:p w14:paraId="2184164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5A59408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（2）发包人应在监理人出具完工付款证书后的14天内，将应支付款支付给承包人。发包人不按期支付的，按第17.3.3（2）目的约定，将逾期付款违约金支付给承包人。</w:t>
      </w:r>
    </w:p>
    <w:p w14:paraId="4F66B96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（3）承包人对发包人签认的完工付款证书有异议的，发包人可出具完工付款申请单中承包人已同意部分的临时付款证书。存在争议的部分，按第24条的约定办理。</w:t>
      </w:r>
    </w:p>
    <w:p w14:paraId="492BEC4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（4）完工付款涉及政府投资资金的，按第17.3.3（4）目的约定办理。</w:t>
      </w:r>
    </w:p>
    <w:p w14:paraId="48F7FAE7">
      <w:pPr>
        <w:widowControl w:val="0"/>
        <w:wordWrap w:val="0"/>
        <w:spacing w:line="360" w:lineRule="auto"/>
        <w:jc w:val="left"/>
        <w:rPr>
          <w:rFonts w:hint="eastAsia" w:ascii="宋体" w:hAnsi="宋体" w:eastAsia="宋体" w:cs="宋体"/>
          <w:color w:val="auto"/>
          <w:szCs w:val="21"/>
          <w:highlight w:val="none"/>
        </w:rPr>
      </w:pPr>
      <w:bookmarkStart w:id="1225" w:name="_Toc221951017"/>
      <w:r>
        <w:rPr>
          <w:rFonts w:hint="eastAsia" w:ascii="宋体" w:hAnsi="宋体" w:eastAsia="宋体" w:cs="宋体"/>
          <w:b/>
          <w:bCs/>
          <w:color w:val="auto"/>
          <w:szCs w:val="21"/>
          <w:highlight w:val="none"/>
        </w:rPr>
        <w:t>17.6 最终结清</w:t>
      </w:r>
      <w:bookmarkEnd w:id="1225"/>
    </w:p>
    <w:p w14:paraId="26EE6AB8">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226" w:name="_Toc256079600"/>
      <w:r>
        <w:rPr>
          <w:rFonts w:hint="eastAsia" w:ascii="宋体" w:hAnsi="宋体" w:eastAsia="宋体" w:cs="宋体"/>
          <w:color w:val="auto"/>
          <w:sz w:val="21"/>
          <w:szCs w:val="21"/>
          <w:highlight w:val="none"/>
        </w:rPr>
        <w:t>17.6.1 最终结清申请单</w:t>
      </w:r>
      <w:bookmarkEnd w:id="1226"/>
    </w:p>
    <w:p w14:paraId="4C375CE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（1）工程质量保修责任终止证书签发后，承包人应按监理人批准的格式提交最终结清申请单。提交最终结清申请单的份数在专用合同条款中约定。</w:t>
      </w:r>
    </w:p>
    <w:p w14:paraId="3EB6540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（2）发包人对最终结清申请单内容有异议的，有权要求承包人进行修正和提供补充资料，由承包人向监理人提交修正后的最终结清申请单。</w:t>
      </w:r>
    </w:p>
    <w:p w14:paraId="2B25ACE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17.6.2 最终结清证书和支付时间</w:t>
      </w:r>
    </w:p>
    <w:p w14:paraId="54A9FB8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3B37770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（2）发包人应在监理人出具最终结清证书后的14天内，将应支付款支付给承包人。发包人不按期支付的，按第17.3.3（2）目的约定，将逾期付款违约金支付给承包人。</w:t>
      </w:r>
    </w:p>
    <w:p w14:paraId="46007F5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（3）承包人对发包人签认的最终结清证书有异议的，按第24条的约定办理。</w:t>
      </w:r>
    </w:p>
    <w:p w14:paraId="4A3ACCC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（4）最终结清付款涉及政府投资资金的，按第17.3.3（4）目的约定办理。</w:t>
      </w:r>
    </w:p>
    <w:p w14:paraId="459780B2">
      <w:pPr>
        <w:widowControl w:val="0"/>
        <w:wordWrap w:val="0"/>
        <w:spacing w:before="0" w:after="0"/>
        <w:jc w:val="left"/>
        <w:rPr>
          <w:rFonts w:hint="eastAsia" w:ascii="宋体" w:hAnsi="宋体" w:eastAsia="宋体" w:cs="宋体"/>
          <w:b/>
          <w:bCs/>
          <w:color w:val="auto"/>
          <w:sz w:val="21"/>
          <w:szCs w:val="21"/>
          <w:highlight w:val="none"/>
        </w:rPr>
      </w:pPr>
      <w:bookmarkStart w:id="1227" w:name="_Toc229305379"/>
      <w:bookmarkStart w:id="1228" w:name="_Toc222032688"/>
      <w:bookmarkStart w:id="1229" w:name="_Toc222029519"/>
      <w:bookmarkStart w:id="1230" w:name="_Toc222033870"/>
      <w:bookmarkStart w:id="1231" w:name="_Toc222031021"/>
      <w:bookmarkStart w:id="1232" w:name="_Toc221951019"/>
      <w:bookmarkStart w:id="1233" w:name="_Toc21418"/>
      <w:bookmarkStart w:id="1234" w:name="_Toc268299788"/>
      <w:bookmarkStart w:id="1235" w:name="_Toc332378891"/>
      <w:bookmarkStart w:id="1236" w:name="_Toc271870466"/>
      <w:bookmarkStart w:id="1237" w:name="_Toc6117"/>
      <w:bookmarkStart w:id="1238" w:name="_Toc2956"/>
      <w:bookmarkStart w:id="1239" w:name="_Toc23269"/>
      <w:bookmarkStart w:id="1240" w:name="_Toc267492131"/>
      <w:bookmarkStart w:id="1241" w:name="_Toc11258"/>
      <w:bookmarkStart w:id="1242" w:name="_Toc427509932"/>
      <w:bookmarkStart w:id="1243" w:name="_Toc27579"/>
      <w:bookmarkStart w:id="1244" w:name="_Toc8958"/>
      <w:bookmarkStart w:id="1245" w:name="_Toc427509432"/>
      <w:bookmarkStart w:id="1246" w:name="_Toc26343"/>
      <w:bookmarkStart w:id="1247" w:name="_Toc3451214"/>
      <w:bookmarkStart w:id="1248" w:name="_Toc36069710"/>
      <w:bookmarkStart w:id="1249" w:name="_Toc11687"/>
      <w:bookmarkStart w:id="1250" w:name="_Toc27639"/>
      <w:bookmarkStart w:id="1251" w:name="_Toc266859669"/>
      <w:bookmarkStart w:id="1252" w:name="_Toc8508"/>
      <w:bookmarkStart w:id="1253" w:name="_Toc23002"/>
      <w:r>
        <w:rPr>
          <w:rFonts w:hint="eastAsia" w:ascii="宋体" w:hAnsi="宋体" w:eastAsia="宋体" w:cs="宋体"/>
          <w:b/>
          <w:bCs/>
          <w:color w:val="auto"/>
          <w:sz w:val="21"/>
          <w:szCs w:val="21"/>
          <w:highlight w:val="none"/>
        </w:rPr>
        <w:t>18. 竣工验收</w:t>
      </w:r>
      <w:bookmarkEnd w:id="1227"/>
      <w:bookmarkEnd w:id="1228"/>
      <w:bookmarkEnd w:id="1229"/>
      <w:bookmarkEnd w:id="1230"/>
      <w:bookmarkEnd w:id="1231"/>
      <w:bookmarkEnd w:id="1232"/>
      <w:r>
        <w:rPr>
          <w:rFonts w:hint="eastAsia" w:ascii="宋体" w:hAnsi="宋体" w:eastAsia="宋体" w:cs="宋体"/>
          <w:b/>
          <w:bCs/>
          <w:color w:val="auto"/>
          <w:sz w:val="21"/>
          <w:szCs w:val="21"/>
          <w:highlight w:val="none"/>
        </w:rPr>
        <w:t>（验收）</w:t>
      </w:r>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p>
    <w:p w14:paraId="352C6D8F">
      <w:pPr>
        <w:widowControl w:val="0"/>
        <w:wordWrap w:val="0"/>
        <w:spacing w:line="360" w:lineRule="auto"/>
        <w:jc w:val="left"/>
        <w:rPr>
          <w:rFonts w:hint="eastAsia" w:ascii="宋体" w:hAnsi="宋体" w:eastAsia="宋体" w:cs="宋体"/>
          <w:b/>
          <w:bCs/>
          <w:color w:val="auto"/>
          <w:szCs w:val="21"/>
          <w:highlight w:val="none"/>
        </w:rPr>
      </w:pPr>
      <w:bookmarkStart w:id="1254" w:name="_Toc222033871"/>
      <w:bookmarkStart w:id="1255" w:name="_Toc222032689"/>
      <w:bookmarkStart w:id="1256" w:name="_Toc222029520"/>
      <w:bookmarkStart w:id="1257" w:name="_Toc222031022"/>
      <w:bookmarkStart w:id="1258" w:name="_Toc229305380"/>
      <w:bookmarkStart w:id="1259" w:name="_Toc221951044"/>
      <w:r>
        <w:rPr>
          <w:rFonts w:hint="eastAsia" w:ascii="宋体" w:hAnsi="宋体" w:eastAsia="宋体" w:cs="宋体"/>
          <w:b/>
          <w:bCs/>
          <w:color w:val="auto"/>
          <w:szCs w:val="21"/>
          <w:highlight w:val="none"/>
        </w:rPr>
        <w:t>18.1 验收及类别</w:t>
      </w:r>
    </w:p>
    <w:p w14:paraId="16FF12A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18.1.1 验收分为法人验收和政府验收。</w:t>
      </w:r>
    </w:p>
    <w:p w14:paraId="7EBDBD2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18.1.2 法人验收是指在项目建设过程中由发包人组织进行的验收，包括分部工程验收、单位工程验收、水电站（泵站）中间机组启动验收、合同工程验收等。</w:t>
      </w:r>
    </w:p>
    <w:p w14:paraId="3E7AAC2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18.1.3 政府验收是指由有关人民政府、水行政主管部门或者其他有关部门组织进行的验收，包括阶段验收、专项验收、竣工验收等。</w:t>
      </w:r>
    </w:p>
    <w:p w14:paraId="4AE87DC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18.1.4 验收主持单位可根据工程建设需要增设验收的类别和具体要求。</w:t>
      </w:r>
    </w:p>
    <w:p w14:paraId="6E8C4E18">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18.2 分部工程验收</w:t>
      </w:r>
    </w:p>
    <w:p w14:paraId="158B2BF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18.2.1 分部工程具备验收条件时，承包人应向发包人提交验收申请报告，发包人应在收到验收申请报告之日起10个工作日内决定是否同意进行验收。</w:t>
      </w:r>
    </w:p>
    <w:p w14:paraId="2A6E30D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18.2.2 除专用合同条款另有约定外，监理人主持分部工程验收，承包人应派符合条件的代表参加验收工作组。</w:t>
      </w:r>
    </w:p>
    <w:p w14:paraId="30389A0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18.2.3 分部工程验收通过后，发包人向承包人发送分部工程验收鉴定书。承包人应及时完成分部工程验收鉴定书载明应由承包人处理的遗留问题。</w:t>
      </w:r>
    </w:p>
    <w:p w14:paraId="446214D3">
      <w:pPr>
        <w:widowControl w:val="0"/>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 单位工程验收</w:t>
      </w:r>
    </w:p>
    <w:p w14:paraId="5FA9915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18.3.1 单位工程具备验收条件时，承包人应向发包人提交验收申请报告，发包人应在收到验收申请报告之日起10个工作日内决定是否同意进行验收。</w:t>
      </w:r>
    </w:p>
    <w:p w14:paraId="3CE9D30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18.3.2 发包人主持单位工程验收，承包人应派符合条件的代表参加验收工作组。</w:t>
      </w:r>
    </w:p>
    <w:p w14:paraId="25456FE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18.3.3 单位工程验收通过后，发包人向承包人发送单位工程验收鉴定书。承包人应及时完成单位工程验收鉴定书载明应由承包人处理的遗留问题。</w:t>
      </w:r>
    </w:p>
    <w:p w14:paraId="7DC8657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18.3.4 需提前投入使用的单位工程在专用合同条款中明确。</w:t>
      </w:r>
    </w:p>
    <w:p w14:paraId="36016A6C">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18.4 合同工程验收</w:t>
      </w:r>
    </w:p>
    <w:p w14:paraId="219F82F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18.4.1 合同工程具备验收条件时，承包人应向发包人提交验收申请报告，发包人应在收到验收申请报告之日起20个工作日内决定是否同意进行验收。</w:t>
      </w:r>
    </w:p>
    <w:p w14:paraId="5608F2C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18.4.2 发包人主持合同工程验收，承包人应派代表参加验收工作组。</w:t>
      </w:r>
    </w:p>
    <w:p w14:paraId="7B3889A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18.4.3 合同工程验收通过后，发包人向承包人发送合同工程验收鉴定书。承包人应及时完成合同工程验收鉴定书载明应由承包人处理的遗留问题。</w:t>
      </w:r>
    </w:p>
    <w:p w14:paraId="21614A0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18.4.4 合同工程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51906FED">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18.5 验收阶段</w:t>
      </w:r>
    </w:p>
    <w:p w14:paraId="54C3EE9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18.5.1 工程建设具备阶段验收条件时，发包人负责提出阶段验收申请报告。承包人应派代表参加阶段验收，并作为被验收单位在验收鉴定书上签字。阶段验收的具体类别在专用合同条款中约定。</w:t>
      </w:r>
    </w:p>
    <w:p w14:paraId="5326AD14">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260" w:name="_Toc256079602"/>
      <w:r>
        <w:rPr>
          <w:rFonts w:hint="eastAsia" w:ascii="宋体" w:hAnsi="宋体" w:eastAsia="宋体" w:cs="宋体"/>
          <w:color w:val="auto"/>
          <w:sz w:val="21"/>
          <w:szCs w:val="21"/>
          <w:highlight w:val="none"/>
        </w:rPr>
        <w:t>18.5.2 承包人应及时完成阶段验收鉴定书载明应由承包人处理的遗留问题。</w:t>
      </w:r>
      <w:bookmarkEnd w:id="1260"/>
    </w:p>
    <w:p w14:paraId="72391EC6">
      <w:pPr>
        <w:widowControl w:val="0"/>
        <w:wordWrap w:val="0"/>
        <w:spacing w:line="360" w:lineRule="auto"/>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18.6 专项验收</w:t>
      </w:r>
    </w:p>
    <w:p w14:paraId="7B1890B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18.6.1 发包人负责提出专项验收申请报告。承包人应按专项验收的相关规定参加专项验收。专项验收的具体类别在专用合同条款中约定。</w:t>
      </w:r>
    </w:p>
    <w:p w14:paraId="3EDCF9A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18.6.2 承包人应及时完成专项验收成果性文件载明应由承包人处理的遗留问题。</w:t>
      </w:r>
    </w:p>
    <w:p w14:paraId="1B117AC1">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18.7 竣工验收</w:t>
      </w:r>
    </w:p>
    <w:p w14:paraId="071294C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18.7.1 申请竣工验收前，发包人组织竣工验收自查，承包人应派代表参加。</w:t>
      </w:r>
    </w:p>
    <w:p w14:paraId="4C33184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18.7.2 竣工验收分为竣工技术预验收和竣工验收两个阶段。发包人应通知承包人派代表参加技术预验收和竣工验收。</w:t>
      </w:r>
    </w:p>
    <w:p w14:paraId="47C68DD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18.7.3 专用合同条款约定工程需要进行技术鉴定的，承包人应提交有关资料并完成配合工作。</w:t>
      </w:r>
    </w:p>
    <w:p w14:paraId="7420641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18.7.4 竣工验收需要进行质量检测的，所需费用由发包人承担，但因承包人原因造成质量不合格的除外。</w:t>
      </w:r>
    </w:p>
    <w:p w14:paraId="4BA55D8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18.7.5 工程质量保修期满以及竣工验收遗留问题和尾工处理完成并通过验收后，发包人负责将处理情况和验收成果报送竣工验收主持单位，申请领取工程竣工证书，并发送承包人。</w:t>
      </w:r>
    </w:p>
    <w:p w14:paraId="419F6170">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18.8 施工期运行</w:t>
      </w:r>
    </w:p>
    <w:p w14:paraId="7FD424A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4B0AF74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18.8.2 在施工期运行中发现工程或工程设备损坏或存在缺陷的，由承包人按第19.2款约定进行修复。</w:t>
      </w:r>
    </w:p>
    <w:p w14:paraId="420CBBE3">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18.9 试运行</w:t>
      </w:r>
    </w:p>
    <w:p w14:paraId="6B240AC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18.9.1 除专用合同条款另有约定外，承包人应按规定进行工程及工程设备试运行，负责提供试运行所需的人员、器材和必要的条件，并承担全部试运行费用。</w:t>
      </w:r>
    </w:p>
    <w:p w14:paraId="2ECBDF9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08CAA5EC">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18.10 竣工（完工）清场</w:t>
      </w:r>
    </w:p>
    <w:p w14:paraId="3E696A9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18.10.1 工程项目竣工（完工）清场的工作范围和内容在技术标准和要求（合同技术条款）中约定。</w:t>
      </w:r>
    </w:p>
    <w:p w14:paraId="666F8A6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18.10.2 承包人未按监理人的要求恢复临时占地，或者场地清理未达到合同约定的，发包人有权委托其它人恢复或清理，所发生的金额从拟支付给承包人的款项中扣除。</w:t>
      </w:r>
    </w:p>
    <w:p w14:paraId="1D04340C">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18.11 施工队伍的撤离</w:t>
      </w:r>
    </w:p>
    <w:p w14:paraId="7F5BE779">
      <w:pPr>
        <w:widowControl w:val="0"/>
        <w:wordWrap w:val="0"/>
        <w:spacing w:line="360"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w:t>
      </w:r>
      <w:r>
        <w:rPr>
          <w:rFonts w:hint="eastAsia" w:ascii="宋体" w:hAnsi="宋体" w:eastAsia="宋体" w:cs="宋体"/>
          <w:b w:val="0"/>
          <w:bCs w:val="0"/>
          <w:color w:val="auto"/>
          <w:sz w:val="21"/>
          <w:szCs w:val="21"/>
          <w:highlight w:val="none"/>
        </w:rPr>
        <w:t>应全部撤离施工场地。</w:t>
      </w:r>
    </w:p>
    <w:p w14:paraId="09A69E86">
      <w:pPr>
        <w:widowControl w:val="0"/>
        <w:wordWrap w:val="0"/>
        <w:spacing w:before="0" w:after="0"/>
        <w:jc w:val="left"/>
        <w:rPr>
          <w:rFonts w:hint="eastAsia" w:ascii="宋体" w:hAnsi="宋体" w:eastAsia="宋体" w:cs="宋体"/>
          <w:b/>
          <w:bCs/>
          <w:color w:val="auto"/>
          <w:sz w:val="21"/>
          <w:szCs w:val="21"/>
          <w:highlight w:val="none"/>
        </w:rPr>
      </w:pPr>
      <w:bookmarkStart w:id="1261" w:name="_Toc13422"/>
      <w:bookmarkStart w:id="1262" w:name="_Toc427509433"/>
      <w:bookmarkStart w:id="1263" w:name="_Toc266859670"/>
      <w:bookmarkStart w:id="1264" w:name="_Toc29107"/>
      <w:bookmarkStart w:id="1265" w:name="_Toc3410"/>
      <w:bookmarkStart w:id="1266" w:name="_Toc271870467"/>
      <w:bookmarkStart w:id="1267" w:name="_Toc3451215"/>
      <w:bookmarkStart w:id="1268" w:name="_Toc12896"/>
      <w:bookmarkStart w:id="1269" w:name="_Toc23815"/>
      <w:bookmarkStart w:id="1270" w:name="_Toc28452"/>
      <w:bookmarkStart w:id="1271" w:name="_Toc332378892"/>
      <w:bookmarkStart w:id="1272" w:name="_Toc268299789"/>
      <w:bookmarkStart w:id="1273" w:name="_Toc27522"/>
      <w:bookmarkStart w:id="1274" w:name="_Toc36069711"/>
      <w:bookmarkStart w:id="1275" w:name="_Toc427509933"/>
      <w:bookmarkStart w:id="1276" w:name="_Toc31007"/>
      <w:bookmarkStart w:id="1277" w:name="_Toc14973"/>
      <w:bookmarkStart w:id="1278" w:name="_Toc267492132"/>
      <w:bookmarkStart w:id="1279" w:name="_Toc24961"/>
      <w:bookmarkStart w:id="1280" w:name="_Toc1541"/>
      <w:bookmarkStart w:id="1281" w:name="_Toc30861"/>
      <w:r>
        <w:rPr>
          <w:rFonts w:hint="eastAsia" w:ascii="宋体" w:hAnsi="宋体" w:eastAsia="宋体" w:cs="宋体"/>
          <w:b/>
          <w:bCs/>
          <w:color w:val="auto"/>
          <w:sz w:val="21"/>
          <w:szCs w:val="21"/>
          <w:highlight w:val="none"/>
        </w:rPr>
        <w:t>19. 缺陷责任与保修责任</w:t>
      </w:r>
      <w:bookmarkEnd w:id="1254"/>
      <w:bookmarkEnd w:id="1255"/>
      <w:bookmarkEnd w:id="1256"/>
      <w:bookmarkEnd w:id="1257"/>
      <w:bookmarkEnd w:id="1258"/>
      <w:bookmarkEnd w:id="1259"/>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Start w:id="1282" w:name="_Toc221951045"/>
    </w:p>
    <w:p w14:paraId="559FE0B2">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19.1 缺陷责任期（质量保修期）的起算时间</w:t>
      </w:r>
      <w:bookmarkEnd w:id="1282"/>
    </w:p>
    <w:p w14:paraId="02BA03C7">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283" w:name="_Toc186623799"/>
      <w:bookmarkStart w:id="1284" w:name="_Toc186623486"/>
      <w:r>
        <w:rPr>
          <w:rFonts w:hint="eastAsia" w:ascii="宋体" w:hAnsi="宋体" w:eastAsia="宋体" w:cs="宋体"/>
          <w:color w:val="auto"/>
          <w:sz w:val="21"/>
          <w:szCs w:val="21"/>
          <w:highlight w:val="none"/>
        </w:rPr>
        <w:t>除专用合同条款另有约定外，缺陷责任期（工程质量保修期）从工程通过合同工程验收后开始计算。在合同工程验收前，已经发包人提前验收的单位工程或部分工程，若未投入使用，其缺陷责任期（工程质量保修期）亦从工程通过合同工程验收后开始计算；若已投入使用，其缺陷责任期（工程质量保修期）从通过单位工程或部分工程投入使用验收后开始计算。缺陷责任期（工程质量保修期）的期限在专用合同条款中约定。</w:t>
      </w:r>
    </w:p>
    <w:p w14:paraId="5D89E0A8">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19.2 缺陷责任</w:t>
      </w:r>
      <w:bookmarkEnd w:id="1283"/>
      <w:bookmarkEnd w:id="1284"/>
    </w:p>
    <w:p w14:paraId="506AC82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19.2.1 承包人应在缺陷责任期内对已交付使用的工程承担缺陷责任。</w:t>
      </w:r>
    </w:p>
    <w:p w14:paraId="2ADC8A7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38BC0C2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4037057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19.2.4 承包人不能在合理时间内修复缺陷的，发包人可自行修复或委托其他人修复，所需费用和利润的承担，按第19.2.3项约定办理。</w:t>
      </w:r>
    </w:p>
    <w:p w14:paraId="51E4CE3F">
      <w:pPr>
        <w:widowControl w:val="0"/>
        <w:wordWrap w:val="0"/>
        <w:spacing w:line="360" w:lineRule="auto"/>
        <w:jc w:val="left"/>
        <w:rPr>
          <w:rFonts w:hint="eastAsia" w:ascii="宋体" w:hAnsi="宋体" w:eastAsia="宋体" w:cs="宋体"/>
          <w:b/>
          <w:bCs/>
          <w:color w:val="auto"/>
          <w:szCs w:val="21"/>
          <w:highlight w:val="none"/>
        </w:rPr>
      </w:pPr>
      <w:bookmarkStart w:id="1285" w:name="_Toc186623800"/>
      <w:bookmarkStart w:id="1286" w:name="_Toc186623487"/>
      <w:r>
        <w:rPr>
          <w:rFonts w:hint="eastAsia" w:ascii="宋体" w:hAnsi="宋体" w:eastAsia="宋体" w:cs="宋体"/>
          <w:b/>
          <w:bCs/>
          <w:color w:val="auto"/>
          <w:szCs w:val="21"/>
          <w:highlight w:val="none"/>
        </w:rPr>
        <w:t>19.3 缺陷责任期的延长</w:t>
      </w:r>
      <w:bookmarkEnd w:id="1285"/>
      <w:bookmarkEnd w:id="1286"/>
    </w:p>
    <w:p w14:paraId="10A3A03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由于承包人原因造成某项缺陷或损坏使某项工程或工程设备不能按原定目标使用而需要再次检查、检验和修复的，发包人有权要求承包人相应延长缺陷责任期，但缺陷责任期最长不超过2年。</w:t>
      </w:r>
    </w:p>
    <w:p w14:paraId="105A58D6">
      <w:pPr>
        <w:widowControl w:val="0"/>
        <w:wordWrap w:val="0"/>
        <w:spacing w:line="360" w:lineRule="auto"/>
        <w:jc w:val="left"/>
        <w:rPr>
          <w:rFonts w:hint="eastAsia" w:ascii="宋体" w:hAnsi="宋体" w:eastAsia="宋体" w:cs="宋体"/>
          <w:b/>
          <w:bCs/>
          <w:color w:val="auto"/>
          <w:szCs w:val="21"/>
          <w:highlight w:val="none"/>
        </w:rPr>
      </w:pPr>
      <w:bookmarkStart w:id="1287" w:name="_Toc186623488"/>
      <w:bookmarkStart w:id="1288" w:name="_Toc186623801"/>
      <w:r>
        <w:rPr>
          <w:rFonts w:hint="eastAsia" w:ascii="宋体" w:hAnsi="宋体" w:eastAsia="宋体" w:cs="宋体"/>
          <w:b/>
          <w:bCs/>
          <w:color w:val="auto"/>
          <w:szCs w:val="21"/>
          <w:highlight w:val="none"/>
        </w:rPr>
        <w:t>19.4 进一步试验和试运行</w:t>
      </w:r>
      <w:bookmarkEnd w:id="1287"/>
      <w:bookmarkEnd w:id="1288"/>
    </w:p>
    <w:p w14:paraId="0F2D640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任何一项缺陷或损坏修复后，经检查证明其影响了工程或工程设备的使用性能，承包人应重新进行合同约定的试验和试运行，试验和试运行的全部费用应由责任方承担。</w:t>
      </w:r>
    </w:p>
    <w:p w14:paraId="7D0ED91D">
      <w:pPr>
        <w:widowControl w:val="0"/>
        <w:wordWrap w:val="0"/>
        <w:spacing w:line="360" w:lineRule="auto"/>
        <w:jc w:val="left"/>
        <w:rPr>
          <w:rFonts w:hint="eastAsia" w:ascii="宋体" w:hAnsi="宋体" w:eastAsia="宋体" w:cs="宋体"/>
          <w:b/>
          <w:bCs/>
          <w:color w:val="auto"/>
          <w:szCs w:val="21"/>
          <w:highlight w:val="none"/>
        </w:rPr>
      </w:pPr>
      <w:bookmarkStart w:id="1289" w:name="_Toc186623802"/>
      <w:bookmarkStart w:id="1290" w:name="_Toc186623489"/>
      <w:r>
        <w:rPr>
          <w:rFonts w:hint="eastAsia" w:ascii="宋体" w:hAnsi="宋体" w:eastAsia="宋体" w:cs="宋体"/>
          <w:b/>
          <w:bCs/>
          <w:color w:val="auto"/>
          <w:szCs w:val="21"/>
          <w:highlight w:val="none"/>
        </w:rPr>
        <w:t>19.5 承包人的进入权</w:t>
      </w:r>
      <w:bookmarkEnd w:id="1289"/>
      <w:bookmarkEnd w:id="1290"/>
    </w:p>
    <w:p w14:paraId="595CF026">
      <w:pPr>
        <w:widowControl w:val="0"/>
        <w:wordWrap w:val="0"/>
        <w:spacing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缺陷责任期内承包人为缺陷修复工作需要，有权进入工程现场，但应遵守发包人的保安和保密规定。</w:t>
      </w:r>
    </w:p>
    <w:p w14:paraId="30BC6583">
      <w:pPr>
        <w:widowControl w:val="0"/>
        <w:wordWrap w:val="0"/>
        <w:spacing w:line="360" w:lineRule="auto"/>
        <w:jc w:val="left"/>
        <w:rPr>
          <w:rFonts w:hint="eastAsia" w:ascii="宋体" w:hAnsi="宋体" w:eastAsia="宋体" w:cs="宋体"/>
          <w:b/>
          <w:bCs/>
          <w:color w:val="auto"/>
          <w:szCs w:val="21"/>
          <w:highlight w:val="none"/>
        </w:rPr>
      </w:pPr>
      <w:bookmarkStart w:id="1291" w:name="_Toc221951058"/>
      <w:r>
        <w:rPr>
          <w:rFonts w:hint="eastAsia" w:ascii="宋体" w:hAnsi="宋体" w:eastAsia="宋体" w:cs="宋体"/>
          <w:b/>
          <w:bCs/>
          <w:color w:val="auto"/>
          <w:szCs w:val="21"/>
          <w:highlight w:val="none"/>
        </w:rPr>
        <w:t>19.6</w:t>
      </w:r>
      <w:bookmarkEnd w:id="1291"/>
      <w:bookmarkStart w:id="1292" w:name="_Toc229305381"/>
      <w:bookmarkStart w:id="1293" w:name="_Toc222029521"/>
      <w:bookmarkStart w:id="1294" w:name="_Toc222032690"/>
      <w:bookmarkStart w:id="1295" w:name="_Toc222031023"/>
      <w:bookmarkStart w:id="1296" w:name="_Toc221951060"/>
      <w:bookmarkStart w:id="1297" w:name="_Toc222033872"/>
      <w:r>
        <w:rPr>
          <w:rFonts w:hint="eastAsia" w:ascii="宋体" w:hAnsi="宋体" w:eastAsia="宋体" w:cs="宋体"/>
          <w:b/>
          <w:bCs/>
          <w:color w:val="auto"/>
          <w:szCs w:val="21"/>
          <w:highlight w:val="none"/>
        </w:rPr>
        <w:t xml:space="preserve"> 缺陷责任期终止证书（工程质量保修责任终止证书）</w:t>
      </w:r>
    </w:p>
    <w:p w14:paraId="529587D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合同工程验收或投入使用验收后，发包人与承包人应办理工程交接手续，承包人应向发包人递交工程质量保修书。</w:t>
      </w:r>
    </w:p>
    <w:p w14:paraId="3893368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缺陷责任期（工程质量保修期）满后30个工作日内，发包人应向承包人颁发工程质量保修责任终止证书，并退还剩余的质量保证金，但保修责任范围内的质量缺陷未处理完成的应除外。</w:t>
      </w:r>
    </w:p>
    <w:p w14:paraId="1DF50246">
      <w:pPr>
        <w:widowControl w:val="0"/>
        <w:wordWrap w:val="0"/>
        <w:spacing w:line="360" w:lineRule="auto"/>
        <w:jc w:val="left"/>
        <w:rPr>
          <w:rFonts w:hint="eastAsia" w:ascii="宋体" w:hAnsi="宋体" w:eastAsia="宋体" w:cs="宋体"/>
          <w:b/>
          <w:bCs/>
          <w:color w:val="auto"/>
          <w:szCs w:val="21"/>
          <w:highlight w:val="none"/>
        </w:rPr>
      </w:pPr>
      <w:bookmarkStart w:id="1298" w:name="_Toc186623804"/>
      <w:bookmarkStart w:id="1299" w:name="_Toc186623491"/>
      <w:r>
        <w:rPr>
          <w:rFonts w:hint="eastAsia" w:ascii="宋体" w:hAnsi="宋体" w:eastAsia="宋体" w:cs="宋体"/>
          <w:b/>
          <w:bCs/>
          <w:color w:val="auto"/>
          <w:szCs w:val="21"/>
          <w:highlight w:val="none"/>
        </w:rPr>
        <w:t>19.7 保修责任</w:t>
      </w:r>
      <w:bookmarkEnd w:id="1298"/>
      <w:bookmarkEnd w:id="1299"/>
    </w:p>
    <w:p w14:paraId="375A240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合同当事人根据有关法律规定，在专用合同条款中约定工程质量保修范围、期限和责任。</w:t>
      </w:r>
    </w:p>
    <w:p w14:paraId="0A04204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保修期自实际竣工日期起计算。在全部工程竣工验收前，已经发包人提前验收的单位工程，其保修期的起算日期相应提前。</w:t>
      </w:r>
    </w:p>
    <w:p w14:paraId="187D5429">
      <w:pPr>
        <w:widowControl w:val="0"/>
        <w:wordWrap w:val="0"/>
        <w:spacing w:before="0" w:after="0"/>
        <w:jc w:val="left"/>
        <w:rPr>
          <w:rFonts w:hint="eastAsia" w:ascii="宋体" w:hAnsi="宋体" w:eastAsia="宋体" w:cs="宋体"/>
          <w:b/>
          <w:bCs/>
          <w:color w:val="auto"/>
          <w:sz w:val="21"/>
          <w:szCs w:val="21"/>
          <w:highlight w:val="none"/>
        </w:rPr>
      </w:pPr>
      <w:bookmarkStart w:id="1300" w:name="_Toc23167"/>
      <w:bookmarkStart w:id="1301" w:name="_Toc6283"/>
      <w:bookmarkStart w:id="1302" w:name="_Toc4968"/>
      <w:bookmarkStart w:id="1303" w:name="_Toc3451216"/>
      <w:bookmarkStart w:id="1304" w:name="_Toc31771"/>
      <w:bookmarkStart w:id="1305" w:name="_Toc20505"/>
      <w:bookmarkStart w:id="1306" w:name="_Toc708"/>
      <w:bookmarkStart w:id="1307" w:name="_Toc332378893"/>
      <w:bookmarkStart w:id="1308" w:name="_Toc16857"/>
      <w:bookmarkStart w:id="1309" w:name="_Toc26878"/>
      <w:bookmarkStart w:id="1310" w:name="_Toc36069712"/>
      <w:bookmarkStart w:id="1311" w:name="_Toc427509934"/>
      <w:bookmarkStart w:id="1312" w:name="_Toc14684"/>
      <w:bookmarkStart w:id="1313" w:name="_Toc427509434"/>
      <w:bookmarkStart w:id="1314" w:name="_Toc271870468"/>
      <w:bookmarkStart w:id="1315" w:name="_Toc24134"/>
      <w:bookmarkStart w:id="1316" w:name="_Toc268299790"/>
      <w:bookmarkStart w:id="1317" w:name="_Toc32267"/>
      <w:bookmarkStart w:id="1318" w:name="_Toc5799"/>
      <w:r>
        <w:rPr>
          <w:rFonts w:hint="eastAsia" w:ascii="宋体" w:hAnsi="宋体" w:eastAsia="宋体" w:cs="宋体"/>
          <w:b/>
          <w:bCs/>
          <w:color w:val="auto"/>
          <w:sz w:val="21"/>
          <w:szCs w:val="21"/>
          <w:highlight w:val="none"/>
        </w:rPr>
        <w:t>20. 保险</w:t>
      </w:r>
      <w:bookmarkEnd w:id="1292"/>
      <w:bookmarkEnd w:id="1293"/>
      <w:bookmarkEnd w:id="1294"/>
      <w:bookmarkEnd w:id="1295"/>
      <w:bookmarkEnd w:id="1296"/>
      <w:bookmarkEnd w:id="1297"/>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14:paraId="4999A4DB">
      <w:pPr>
        <w:widowControl w:val="0"/>
        <w:wordWrap w:val="0"/>
        <w:spacing w:line="360" w:lineRule="auto"/>
        <w:jc w:val="left"/>
        <w:rPr>
          <w:rFonts w:hint="eastAsia" w:ascii="宋体" w:hAnsi="宋体" w:eastAsia="宋体" w:cs="宋体"/>
          <w:b/>
          <w:bCs/>
          <w:color w:val="auto"/>
          <w:szCs w:val="21"/>
          <w:highlight w:val="none"/>
        </w:rPr>
      </w:pPr>
      <w:bookmarkStart w:id="1319" w:name="_Toc186623806"/>
      <w:bookmarkStart w:id="1320" w:name="_Toc186623493"/>
      <w:r>
        <w:rPr>
          <w:rFonts w:hint="eastAsia" w:ascii="宋体" w:hAnsi="宋体" w:eastAsia="宋体" w:cs="宋体"/>
          <w:b/>
          <w:bCs/>
          <w:color w:val="auto"/>
          <w:szCs w:val="21"/>
          <w:highlight w:val="none"/>
        </w:rPr>
        <w:t>20.1 工程保险</w:t>
      </w:r>
      <w:bookmarkEnd w:id="1319"/>
      <w:bookmarkEnd w:id="1320"/>
    </w:p>
    <w:p w14:paraId="70F72C08">
      <w:pPr>
        <w:widowControl w:val="0"/>
        <w:wordWrap w:val="0"/>
        <w:spacing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721BEC40">
      <w:pPr>
        <w:widowControl w:val="0"/>
        <w:wordWrap w:val="0"/>
        <w:spacing w:line="360" w:lineRule="auto"/>
        <w:jc w:val="left"/>
        <w:rPr>
          <w:rFonts w:hint="eastAsia" w:ascii="宋体" w:hAnsi="宋体" w:eastAsia="宋体" w:cs="宋体"/>
          <w:b/>
          <w:bCs/>
          <w:color w:val="auto"/>
          <w:szCs w:val="21"/>
          <w:highlight w:val="none"/>
        </w:rPr>
      </w:pPr>
      <w:bookmarkStart w:id="1321" w:name="_Toc186623494"/>
      <w:bookmarkStart w:id="1322" w:name="_Toc186623807"/>
      <w:r>
        <w:rPr>
          <w:rFonts w:hint="eastAsia" w:ascii="宋体" w:hAnsi="宋体" w:eastAsia="宋体" w:cs="宋体"/>
          <w:b/>
          <w:bCs/>
          <w:color w:val="auto"/>
          <w:szCs w:val="21"/>
          <w:highlight w:val="none"/>
        </w:rPr>
        <w:t>20.2 人员工伤事故的保险</w:t>
      </w:r>
      <w:bookmarkEnd w:id="1321"/>
      <w:bookmarkEnd w:id="1322"/>
    </w:p>
    <w:p w14:paraId="2EDF97E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 承包人员工伤事故的保险</w:t>
      </w:r>
    </w:p>
    <w:p w14:paraId="44147FF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承包人应依照有关法律规定参加工伤保险，为其履行合同所雇佣的全部人员，缴纳工伤保险费，并要求其分包人也进行此项保险。</w:t>
      </w:r>
    </w:p>
    <w:p w14:paraId="37E8779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 发包人员工伤事故的保险</w:t>
      </w:r>
    </w:p>
    <w:p w14:paraId="6F99E41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发包人应依照有关法律规定参加工伤保险，为其现场机构雇佣的全部人员，缴纳工伤保险费，并要求其监理人也进行此项保险。</w:t>
      </w:r>
    </w:p>
    <w:p w14:paraId="6C966FCA">
      <w:pPr>
        <w:widowControl w:val="0"/>
        <w:wordWrap w:val="0"/>
        <w:spacing w:line="360" w:lineRule="auto"/>
        <w:jc w:val="left"/>
        <w:rPr>
          <w:rFonts w:hint="eastAsia" w:ascii="宋体" w:hAnsi="宋体" w:eastAsia="宋体" w:cs="宋体"/>
          <w:b/>
          <w:bCs/>
          <w:color w:val="auto"/>
          <w:szCs w:val="21"/>
          <w:highlight w:val="none"/>
        </w:rPr>
      </w:pPr>
      <w:bookmarkStart w:id="1323" w:name="_Toc186623808"/>
      <w:bookmarkStart w:id="1324" w:name="_Toc186623495"/>
      <w:r>
        <w:rPr>
          <w:rFonts w:hint="eastAsia" w:ascii="宋体" w:hAnsi="宋体" w:eastAsia="宋体" w:cs="宋体"/>
          <w:b/>
          <w:bCs/>
          <w:color w:val="auto"/>
          <w:szCs w:val="21"/>
          <w:highlight w:val="none"/>
        </w:rPr>
        <w:t>20.3 人身意外伤害险</w:t>
      </w:r>
      <w:bookmarkEnd w:id="1323"/>
      <w:bookmarkEnd w:id="1324"/>
    </w:p>
    <w:p w14:paraId="5911578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发包人应在整个施工期间为其现场机构雇用的全部人员，投保人身意外伤害险，缴纳保险费，并要求其监理人也进行此项保险。</w:t>
      </w:r>
    </w:p>
    <w:p w14:paraId="378CFE3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20.3.2 承包人应在整个施工期间为其现场机构雇用的全部人员，投保人身意外伤害险，缴纳保险费，并要求其分包人也进行此项保险。</w:t>
      </w:r>
    </w:p>
    <w:p w14:paraId="6C9C3984">
      <w:pPr>
        <w:widowControl w:val="0"/>
        <w:wordWrap w:val="0"/>
        <w:spacing w:line="360" w:lineRule="auto"/>
        <w:jc w:val="left"/>
        <w:rPr>
          <w:rFonts w:hint="eastAsia" w:ascii="宋体" w:hAnsi="宋体" w:eastAsia="宋体" w:cs="宋体"/>
          <w:b/>
          <w:bCs/>
          <w:color w:val="auto"/>
          <w:szCs w:val="21"/>
          <w:highlight w:val="none"/>
        </w:rPr>
      </w:pPr>
      <w:bookmarkStart w:id="1325" w:name="_Toc186623496"/>
      <w:bookmarkStart w:id="1326" w:name="_Toc186623809"/>
      <w:r>
        <w:rPr>
          <w:rFonts w:hint="eastAsia" w:ascii="宋体" w:hAnsi="宋体" w:eastAsia="宋体" w:cs="宋体"/>
          <w:b/>
          <w:bCs/>
          <w:color w:val="auto"/>
          <w:szCs w:val="21"/>
          <w:highlight w:val="none"/>
        </w:rPr>
        <w:t>20.4 第三者责任险</w:t>
      </w:r>
      <w:bookmarkEnd w:id="1325"/>
      <w:bookmarkEnd w:id="1326"/>
    </w:p>
    <w:p w14:paraId="32A3BF9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7AD80A9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20.4.2 在缺陷责任期终止证书颁发前，承包人应以承包人和发包人的共同名义，投保第20.4.1项约定的第三者责任险，其保险费率、保险金额等有关内容在专用合同条款中约定。</w:t>
      </w:r>
    </w:p>
    <w:p w14:paraId="0E8FC841">
      <w:pPr>
        <w:widowControl w:val="0"/>
        <w:wordWrap w:val="0"/>
        <w:spacing w:line="360" w:lineRule="auto"/>
        <w:jc w:val="left"/>
        <w:rPr>
          <w:rFonts w:hint="eastAsia" w:ascii="宋体" w:hAnsi="宋体" w:eastAsia="宋体" w:cs="宋体"/>
          <w:b/>
          <w:bCs/>
          <w:color w:val="auto"/>
          <w:szCs w:val="21"/>
          <w:highlight w:val="none"/>
        </w:rPr>
      </w:pPr>
      <w:bookmarkStart w:id="1327" w:name="_Toc186623497"/>
      <w:bookmarkStart w:id="1328" w:name="_Toc186623810"/>
      <w:r>
        <w:rPr>
          <w:rFonts w:hint="eastAsia" w:ascii="宋体" w:hAnsi="宋体" w:eastAsia="宋体" w:cs="宋体"/>
          <w:b/>
          <w:bCs/>
          <w:color w:val="auto"/>
          <w:szCs w:val="21"/>
          <w:highlight w:val="none"/>
        </w:rPr>
        <w:t>20.5 其他保险</w:t>
      </w:r>
      <w:bookmarkEnd w:id="1327"/>
      <w:bookmarkEnd w:id="1328"/>
    </w:p>
    <w:p w14:paraId="21AD144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除专用合同条款另有约定外，承包人应为其施工设备、进场的材料和工程设备等办理保险。</w:t>
      </w:r>
    </w:p>
    <w:p w14:paraId="23FA8016">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20.6 对各项保险的一般要求</w:t>
      </w:r>
    </w:p>
    <w:p w14:paraId="41B6602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20.6.1 保险凭证</w:t>
      </w:r>
    </w:p>
    <w:p w14:paraId="2E7792A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承包人应在专用合同条款约定的期限内向发包人提交各项保险生效的证据和保险单副本，保险单必须与专用合同条款约定的条件保持一致。</w:t>
      </w:r>
    </w:p>
    <w:p w14:paraId="0700B3B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20.6.2 保险合同条款的变动</w:t>
      </w:r>
    </w:p>
    <w:p w14:paraId="19D983C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承包人需要变动保险合同条款时，应事先征得发包人同意，并通知监理人。保险人作出变动的，承包人应在收到保险人通知后立即通知发包人和监理人。</w:t>
      </w:r>
    </w:p>
    <w:p w14:paraId="0BDA221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20.6.3 持续保险</w:t>
      </w:r>
    </w:p>
    <w:p w14:paraId="0730437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承包人应与保险人保持联系，使保险人能够随时了解工程实施中的变动，并确保按保险合同条款要求持续保险。</w:t>
      </w:r>
    </w:p>
    <w:p w14:paraId="2BAB0EC7">
      <w:pPr>
        <w:widowControl w:val="0"/>
        <w:wordWrap w:val="0"/>
        <w:autoSpaceDE/>
        <w:autoSpaceDN/>
        <w:adjustRightInd/>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20.6.4 保险金不足以补偿损失时，应由承包人和发包人各自负责补偿的范围和金额在专用合同条款中约定。</w:t>
      </w:r>
      <w:bookmarkStart w:id="1329" w:name="_Toc221951074"/>
    </w:p>
    <w:p w14:paraId="32191EA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20.6.5 未按约定投保的补救</w:t>
      </w:r>
    </w:p>
    <w:p w14:paraId="09A20A9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（1）由于负有投保义务的一方当事人未按合同约定办理保险，或未能使保险持续有效的，另一方当事人可代为办理，所需费用由对方当事人承担。</w:t>
      </w:r>
    </w:p>
    <w:p w14:paraId="3B9E48A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（2）由于负有投保义务的一方当事人未按合同约定办理某项保险，导致受益人未能得到保险人的赔偿，原应从该项保险得到的保险金应由负有投保义务的一方当事人支付。</w:t>
      </w:r>
    </w:p>
    <w:p w14:paraId="3A5BA4A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20.6.6 报告义务</w:t>
      </w:r>
    </w:p>
    <w:p w14:paraId="475410B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当保险事故发生时，投保人应按照保险单规定的条件和期限及时向保险人报告。</w:t>
      </w:r>
    </w:p>
    <w:p w14:paraId="0E5C2364">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20.7 风险责任的转移</w:t>
      </w:r>
      <w:bookmarkEnd w:id="1329"/>
    </w:p>
    <w:p w14:paraId="6B7D9B86">
      <w:pPr>
        <w:widowControl w:val="0"/>
        <w:wordWrap w:val="0"/>
        <w:autoSpaceDE/>
        <w:autoSpaceDN/>
        <w:adjustRightInd/>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工程通过合同工程验收并移交给发包人后，原由承包人应承担的风险责任，以及保险的责任、权利和义务同时转移给发包人，但承包人在缺陷责任期（工程质量保修期）前造成损失和损坏情形除外。</w:t>
      </w:r>
    </w:p>
    <w:p w14:paraId="46EDF680">
      <w:pPr>
        <w:widowControl w:val="0"/>
        <w:wordWrap w:val="0"/>
        <w:spacing w:before="0" w:after="0"/>
        <w:jc w:val="left"/>
        <w:rPr>
          <w:rFonts w:hint="eastAsia" w:ascii="宋体" w:hAnsi="宋体" w:eastAsia="宋体" w:cs="宋体"/>
          <w:b/>
          <w:bCs/>
          <w:color w:val="auto"/>
          <w:sz w:val="21"/>
          <w:szCs w:val="21"/>
          <w:highlight w:val="none"/>
        </w:rPr>
      </w:pPr>
      <w:bookmarkStart w:id="1330" w:name="_Toc8280"/>
      <w:bookmarkStart w:id="1331" w:name="_Toc222032691"/>
      <w:bookmarkStart w:id="1332" w:name="_Toc222033873"/>
      <w:bookmarkStart w:id="1333" w:name="_Toc19805"/>
      <w:bookmarkStart w:id="1334" w:name="_Toc222031024"/>
      <w:bookmarkStart w:id="1335" w:name="_Toc8997"/>
      <w:bookmarkStart w:id="1336" w:name="_Toc12890"/>
      <w:bookmarkStart w:id="1337" w:name="_Toc26812"/>
      <w:bookmarkStart w:id="1338" w:name="_Toc36069713"/>
      <w:bookmarkStart w:id="1339" w:name="_Toc221951076"/>
      <w:bookmarkStart w:id="1340" w:name="_Toc28300"/>
      <w:bookmarkStart w:id="1341" w:name="_Toc5128"/>
      <w:bookmarkStart w:id="1342" w:name="_Toc268299791"/>
      <w:bookmarkStart w:id="1343" w:name="_Toc5054"/>
      <w:bookmarkStart w:id="1344" w:name="_Toc332378894"/>
      <w:bookmarkStart w:id="1345" w:name="_Toc222029522"/>
      <w:bookmarkStart w:id="1346" w:name="_Toc3451217"/>
      <w:bookmarkStart w:id="1347" w:name="_Toc427509435"/>
      <w:bookmarkStart w:id="1348" w:name="_Toc229305382"/>
      <w:bookmarkStart w:id="1349" w:name="_Toc11156"/>
      <w:bookmarkStart w:id="1350" w:name="_Toc13493"/>
      <w:bookmarkStart w:id="1351" w:name="_Toc7443"/>
      <w:bookmarkStart w:id="1352" w:name="_Toc15390"/>
      <w:bookmarkStart w:id="1353" w:name="_Toc427509935"/>
      <w:bookmarkStart w:id="1354" w:name="_Toc271870469"/>
      <w:r>
        <w:rPr>
          <w:rFonts w:hint="eastAsia" w:ascii="宋体" w:hAnsi="宋体" w:eastAsia="宋体" w:cs="宋体"/>
          <w:b/>
          <w:bCs/>
          <w:color w:val="auto"/>
          <w:sz w:val="21"/>
          <w:szCs w:val="21"/>
          <w:highlight w:val="none"/>
        </w:rPr>
        <w:t>21. 不可抗力</w:t>
      </w:r>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p>
    <w:p w14:paraId="513D3A74">
      <w:pPr>
        <w:widowControl w:val="0"/>
        <w:wordWrap w:val="0"/>
        <w:spacing w:line="360" w:lineRule="auto"/>
        <w:jc w:val="left"/>
        <w:rPr>
          <w:rFonts w:hint="eastAsia" w:ascii="宋体" w:hAnsi="宋体" w:eastAsia="宋体" w:cs="宋体"/>
          <w:b/>
          <w:bCs/>
          <w:color w:val="auto"/>
          <w:szCs w:val="21"/>
          <w:highlight w:val="none"/>
        </w:rPr>
      </w:pPr>
      <w:bookmarkStart w:id="1355" w:name="_Toc186623813"/>
      <w:bookmarkStart w:id="1356" w:name="_Toc186623500"/>
      <w:r>
        <w:rPr>
          <w:rFonts w:hint="eastAsia" w:ascii="宋体" w:hAnsi="宋体" w:eastAsia="宋体" w:cs="宋体"/>
          <w:b/>
          <w:bCs/>
          <w:color w:val="auto"/>
          <w:szCs w:val="21"/>
          <w:highlight w:val="none"/>
        </w:rPr>
        <w:t>21.1 不可抗力的确认</w:t>
      </w:r>
      <w:bookmarkEnd w:id="1355"/>
      <w:bookmarkEnd w:id="1356"/>
    </w:p>
    <w:p w14:paraId="65D23D8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 不可抗力是指承包人和发包人在订立合同时不可预见，在工程施工过程中不可避免发生并不能克服的自然灾害和社会性突发事件，如地震、海啸、瘟疫、水灾、骚乱、暴动、战争和专用合同条款约定的其他情形。</w:t>
      </w:r>
    </w:p>
    <w:p w14:paraId="415B0E0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11C8896A">
      <w:pPr>
        <w:widowControl w:val="0"/>
        <w:wordWrap w:val="0"/>
        <w:spacing w:line="360" w:lineRule="auto"/>
        <w:jc w:val="left"/>
        <w:rPr>
          <w:rFonts w:hint="eastAsia" w:ascii="宋体" w:hAnsi="宋体" w:eastAsia="宋体" w:cs="宋体"/>
          <w:b/>
          <w:bCs/>
          <w:color w:val="auto"/>
          <w:szCs w:val="21"/>
          <w:highlight w:val="none"/>
        </w:rPr>
      </w:pPr>
      <w:bookmarkStart w:id="1357" w:name="_Toc186623501"/>
      <w:bookmarkStart w:id="1358" w:name="_Toc186623814"/>
      <w:r>
        <w:rPr>
          <w:rFonts w:hint="eastAsia" w:ascii="宋体" w:hAnsi="宋体" w:eastAsia="宋体" w:cs="宋体"/>
          <w:b/>
          <w:bCs/>
          <w:color w:val="auto"/>
          <w:szCs w:val="21"/>
          <w:highlight w:val="none"/>
        </w:rPr>
        <w:t>21.2 不可抗力的通知</w:t>
      </w:r>
      <w:bookmarkEnd w:id="1357"/>
      <w:bookmarkEnd w:id="1358"/>
    </w:p>
    <w:p w14:paraId="11B19F9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21.2.1 合同一方当事人遇到不可抗力事件，使其履行合同义务受到阻碍时，应立即通知合同另一方当事人和监理人，书面说明不可抗力和受阻碍的详细情况，并提供必要的证明。</w:t>
      </w:r>
    </w:p>
    <w:p w14:paraId="2189AB5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21.2.2 如不可抗力持续发生，合同一方当事人应及时向合同另一方当事人和监理人提交中间报告，说明不可抗力和履行合同受阻的情况，并于不可抗力事件结束后28天内提交最终报告及有关资料。</w:t>
      </w:r>
    </w:p>
    <w:p w14:paraId="26ED1BB6">
      <w:pPr>
        <w:widowControl w:val="0"/>
        <w:wordWrap w:val="0"/>
        <w:spacing w:line="360" w:lineRule="auto"/>
        <w:jc w:val="left"/>
        <w:rPr>
          <w:rFonts w:hint="eastAsia" w:ascii="宋体" w:hAnsi="宋体" w:eastAsia="宋体" w:cs="宋体"/>
          <w:b/>
          <w:bCs/>
          <w:color w:val="auto"/>
          <w:szCs w:val="21"/>
          <w:highlight w:val="none"/>
        </w:rPr>
      </w:pPr>
      <w:bookmarkStart w:id="1359" w:name="_Toc186623502"/>
      <w:bookmarkStart w:id="1360" w:name="_Toc186623815"/>
      <w:r>
        <w:rPr>
          <w:rFonts w:hint="eastAsia" w:ascii="宋体" w:hAnsi="宋体" w:eastAsia="宋体" w:cs="宋体"/>
          <w:b/>
          <w:bCs/>
          <w:color w:val="auto"/>
          <w:szCs w:val="21"/>
          <w:highlight w:val="none"/>
        </w:rPr>
        <w:t>21.3 不可抗力后果及其处理</w:t>
      </w:r>
      <w:bookmarkEnd w:id="1359"/>
      <w:bookmarkEnd w:id="1360"/>
    </w:p>
    <w:p w14:paraId="358FCAC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21.3.1 不可抗力造成损害的责任</w:t>
      </w:r>
    </w:p>
    <w:p w14:paraId="0BB74C9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除专用合同条款另有约定外，不可抗力导致的人员伤亡、财产损失、费用增加和（或）工期延误等后果，由合同双方按以下原则承担：</w:t>
      </w:r>
    </w:p>
    <w:p w14:paraId="752B927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（1）永久工程，包括已运至施工场地的材料和工程设备的损害，以及因工程损害造</w:t>
      </w:r>
    </w:p>
    <w:p w14:paraId="24B8891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成的第三者人员伤亡和财产损失由发包人承担；</w:t>
      </w:r>
    </w:p>
    <w:p w14:paraId="1016013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（2）承包人设备的损坏由承包人承担；</w:t>
      </w:r>
    </w:p>
    <w:p w14:paraId="54F78DC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（3）发包人和承包人各自承担其人员伤亡和其他财产损失及其相关费用；</w:t>
      </w:r>
    </w:p>
    <w:p w14:paraId="231BEA7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（4）承包人的停工损失由承包人承担，但停工期间应监理人要求照管工程和清理、修复工程的金额由发包人承担；</w:t>
      </w:r>
    </w:p>
    <w:p w14:paraId="0E3EAFB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（5）不能按期竣工的，应合理延长工期，承包人不需支付逾期竣工违约金。发包人要求赶工的，承包人应采取赶工措施，赶工费用由发包人承担。</w:t>
      </w:r>
    </w:p>
    <w:p w14:paraId="75CD6DF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21.3.2 延迟履行期间发生的不可抗力</w:t>
      </w:r>
    </w:p>
    <w:p w14:paraId="2698991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合同一方当事人延迟履行，在延迟履行期间发生不可抗力的，不免除其责任。</w:t>
      </w:r>
    </w:p>
    <w:p w14:paraId="21FE52F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21.3.3 避免和减少不可抗力损失</w:t>
      </w:r>
    </w:p>
    <w:p w14:paraId="607291D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不可抗力发生后，发包人和承包人均应采取措施尽量避免和减少损失的扩大，任何一方没有采取有效措施导致损失扩大的，应对扩大的损失承担责任。</w:t>
      </w:r>
    </w:p>
    <w:p w14:paraId="36874F7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21.3.4 因不可抗力解除合同</w:t>
      </w:r>
    </w:p>
    <w:p w14:paraId="7CD1AC2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2EE661A9">
      <w:pPr>
        <w:widowControl w:val="0"/>
        <w:wordWrap w:val="0"/>
        <w:spacing w:before="0" w:after="0"/>
        <w:jc w:val="left"/>
        <w:rPr>
          <w:rFonts w:hint="eastAsia" w:ascii="宋体" w:hAnsi="宋体" w:eastAsia="宋体" w:cs="宋体"/>
          <w:b/>
          <w:bCs/>
          <w:color w:val="auto"/>
          <w:sz w:val="21"/>
          <w:szCs w:val="21"/>
          <w:highlight w:val="none"/>
        </w:rPr>
      </w:pPr>
      <w:bookmarkStart w:id="1361" w:name="_Toc31638"/>
      <w:bookmarkStart w:id="1362" w:name="_Toc36069714"/>
      <w:bookmarkStart w:id="1363" w:name="_Toc427509436"/>
      <w:bookmarkStart w:id="1364" w:name="_Toc229305383"/>
      <w:bookmarkStart w:id="1365" w:name="_Toc267492133"/>
      <w:bookmarkStart w:id="1366" w:name="_Toc9923"/>
      <w:bookmarkStart w:id="1367" w:name="_Toc21234"/>
      <w:bookmarkStart w:id="1368" w:name="_Toc222032692"/>
      <w:bookmarkStart w:id="1369" w:name="_Toc222033874"/>
      <w:bookmarkStart w:id="1370" w:name="_Toc7881"/>
      <w:bookmarkStart w:id="1371" w:name="_Toc266859671"/>
      <w:bookmarkStart w:id="1372" w:name="_Toc222029523"/>
      <w:bookmarkStart w:id="1373" w:name="_Toc28049"/>
      <w:bookmarkStart w:id="1374" w:name="_Toc26239"/>
      <w:bookmarkStart w:id="1375" w:name="_Toc21184"/>
      <w:bookmarkStart w:id="1376" w:name="_Toc268299792"/>
      <w:bookmarkStart w:id="1377" w:name="_Toc19707"/>
      <w:bookmarkStart w:id="1378" w:name="_Toc8182"/>
      <w:bookmarkStart w:id="1379" w:name="_Toc332378895"/>
      <w:bookmarkStart w:id="1380" w:name="_Toc8310"/>
      <w:bookmarkStart w:id="1381" w:name="_Toc221951083"/>
      <w:bookmarkStart w:id="1382" w:name="_Toc222031025"/>
      <w:bookmarkStart w:id="1383" w:name="_Toc13173"/>
      <w:bookmarkStart w:id="1384" w:name="_Toc271870470"/>
      <w:bookmarkStart w:id="1385" w:name="_Toc427509936"/>
      <w:bookmarkStart w:id="1386" w:name="_Toc3451218"/>
      <w:bookmarkStart w:id="1387" w:name="_Toc28432"/>
      <w:r>
        <w:rPr>
          <w:rFonts w:hint="eastAsia" w:ascii="宋体" w:hAnsi="宋体" w:eastAsia="宋体" w:cs="宋体"/>
          <w:b/>
          <w:bCs/>
          <w:color w:val="auto"/>
          <w:sz w:val="21"/>
          <w:szCs w:val="21"/>
          <w:highlight w:val="none"/>
        </w:rPr>
        <w:t>22. 违约</w:t>
      </w:r>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p>
    <w:p w14:paraId="5B781762">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22.1 承包人违约</w:t>
      </w:r>
    </w:p>
    <w:p w14:paraId="546F676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22.1.1 承包人违约的情形</w:t>
      </w:r>
    </w:p>
    <w:p w14:paraId="09F12AE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在履行合同过程中发生的下列情况属承包人违约：</w:t>
      </w:r>
    </w:p>
    <w:p w14:paraId="7A1432F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（1）承包人违反第1.8款或第4.3款的约定，私自将合同的全部或部分权利转让给其他人，或私自将合同的全部或部分义务转移给其他人；</w:t>
      </w:r>
    </w:p>
    <w:p w14:paraId="0D38127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（2）承包人违反第5.3款或第6.4款的约定，未经监理人批准，私自将已按合同约定进入施工场地的施工设备、临时设施或材料撤离施工场地；</w:t>
      </w:r>
    </w:p>
    <w:p w14:paraId="5BE47DE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（3）承包人违反第5.4款的约定使用了不合格材料或工程设备，工程质量达不到标准要求，又拒绝清除不合格工程；</w:t>
      </w:r>
    </w:p>
    <w:p w14:paraId="28F3C39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（4）承包人未能按合同进度计划及时完成合同约定的工作，已造成或预期造成工期延误；</w:t>
      </w:r>
    </w:p>
    <w:p w14:paraId="5D93718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（5）承包人在缺陷责任期（工程质量保修期）内，未能对合同工程验收鉴定书所列的缺陷清单的内容或缺陷责任期（工程质量保修期）内发生的缺陷进行修复，而又拒绝按监理人指示再进行修补；</w:t>
      </w:r>
    </w:p>
    <w:p w14:paraId="751490C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（6）承包人无法继续履行或明确表示不履行或实质上已停止履行合同；</w:t>
      </w:r>
    </w:p>
    <w:p w14:paraId="32FF52D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（7）承包人不按合同约定履行义务的其它情况。</w:t>
      </w:r>
    </w:p>
    <w:p w14:paraId="0FFB59A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22.1.2 对承包人违约的处理</w:t>
      </w:r>
    </w:p>
    <w:p w14:paraId="4F82AAB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（1）承包人发生第22.1.1（6）目约定的违约情况时，发包人可通知承包人立即解除合同，并按有关法律处理。</w:t>
      </w:r>
    </w:p>
    <w:p w14:paraId="240710C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（2）承包人发生除第22.1.1（6）目约定以外的其他违约情况时，监理人可向承包人发出整改通知，要求其在指定的期限内改正。承包人应承担其违约所引起的费用增加和（或）工期延误。</w:t>
      </w:r>
    </w:p>
    <w:p w14:paraId="39CB472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（3）经检查证明承包人已采取了有效措施纠正违约行为，具备复工条件的，可由监理人签发复工通知复工。</w:t>
      </w:r>
    </w:p>
    <w:p w14:paraId="7B1C214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22.1.3 承包人违约解除合同</w:t>
      </w:r>
    </w:p>
    <w:p w14:paraId="313D426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4A29DE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22.1.4 合同解除后的估价、付款和结清</w:t>
      </w:r>
    </w:p>
    <w:p w14:paraId="0459981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（1）合同解除后，监理人按第3.5款商定或确定承包人实际完成工作的价值，以及承包人已提供的材料、施工设备、工程设备和临时工程等的价值。</w:t>
      </w:r>
    </w:p>
    <w:p w14:paraId="5365201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（2）合同解除后，发包人应暂停对承包人的一切付款，查清各项付款和已扣款金额，包括承包人应支付的违约金。</w:t>
      </w:r>
    </w:p>
    <w:p w14:paraId="2E72BB9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（3）合同解除后，发包人应按第23.4款的约定向承包人索赔由于解除合同给发包</w:t>
      </w:r>
    </w:p>
    <w:p w14:paraId="0061BF5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人造成的损失。</w:t>
      </w:r>
    </w:p>
    <w:p w14:paraId="575CED1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（4）合同双方确认上述往来款项后，出具最终结清付款证书，结清全部合同款项。</w:t>
      </w:r>
    </w:p>
    <w:p w14:paraId="58A5FC0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（5）发包人和承包人未能就解除合同后的结清达成一致而形成争议的，按第24条</w:t>
      </w:r>
    </w:p>
    <w:p w14:paraId="4023FDF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的约定办理。</w:t>
      </w:r>
    </w:p>
    <w:p w14:paraId="7A2EFBC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22.1.5 协议利益的转让</w:t>
      </w:r>
    </w:p>
    <w:p w14:paraId="5E3E71F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因承包人违约解除合同的，发包人有权要求承包人将其为实施合同而签订的材料和设备的订货协议或任何服务协议利益转让给发包人，并在解除合同后的14天内，依法办理转让手续。</w:t>
      </w:r>
    </w:p>
    <w:p w14:paraId="397FBE4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22.1.6 紧急情况下无能力或不愿进行抢救</w:t>
      </w:r>
    </w:p>
    <w:p w14:paraId="7F56618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67ABCBAE">
      <w:pPr>
        <w:widowControl w:val="0"/>
        <w:wordWrap w:val="0"/>
        <w:spacing w:line="360" w:lineRule="auto"/>
        <w:jc w:val="left"/>
        <w:rPr>
          <w:rFonts w:hint="eastAsia" w:ascii="宋体" w:hAnsi="宋体" w:eastAsia="宋体" w:cs="宋体"/>
          <w:b/>
          <w:bCs/>
          <w:color w:val="auto"/>
          <w:szCs w:val="21"/>
          <w:highlight w:val="none"/>
        </w:rPr>
      </w:pPr>
      <w:bookmarkStart w:id="1388" w:name="_Toc186623818"/>
      <w:bookmarkStart w:id="1389" w:name="_Toc186623505"/>
      <w:r>
        <w:rPr>
          <w:rFonts w:hint="eastAsia" w:ascii="宋体" w:hAnsi="宋体" w:eastAsia="宋体" w:cs="宋体"/>
          <w:b/>
          <w:bCs/>
          <w:color w:val="auto"/>
          <w:szCs w:val="21"/>
          <w:highlight w:val="none"/>
        </w:rPr>
        <w:t>22.2 发包人违约</w:t>
      </w:r>
      <w:bookmarkEnd w:id="1388"/>
      <w:bookmarkEnd w:id="1389"/>
    </w:p>
    <w:p w14:paraId="4CE720F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22.2.1 发包人违约的情形</w:t>
      </w:r>
    </w:p>
    <w:p w14:paraId="0FC1833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在履行合同过程中发生的下列情形，属发包人违约：</w:t>
      </w:r>
    </w:p>
    <w:p w14:paraId="2138BF8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（1）发包人未能按合同约定支付预付款或合同价款，或拖延、拒绝批准付款申请和支付凭证，导致付款延误的；</w:t>
      </w:r>
    </w:p>
    <w:p w14:paraId="194BFFA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（2）发包人原因造成停工的；</w:t>
      </w:r>
    </w:p>
    <w:p w14:paraId="7BD17A3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（3）监理人无正当理由没有在约定期限内发出复工指示，导致承包人无法复工的；</w:t>
      </w:r>
    </w:p>
    <w:p w14:paraId="6667848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（4）发包人无法继续履行或明确表示不履行或实质上已停止履行合同的；</w:t>
      </w:r>
    </w:p>
    <w:p w14:paraId="702DA9B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（5）发包人不履行合同约定其他义务的。</w:t>
      </w:r>
    </w:p>
    <w:p w14:paraId="4ED42B8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22.2.2 承包人有权暂停施工</w:t>
      </w:r>
    </w:p>
    <w:p w14:paraId="7E4F16F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6B4C286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22.2.3 发包人违约解除合同</w:t>
      </w:r>
    </w:p>
    <w:p w14:paraId="064DF84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（1）发生第22.2.1（4）目的违约情况时，承包人可书面通知发包人解除合同。</w:t>
      </w:r>
    </w:p>
    <w:p w14:paraId="6C3DEC4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（2）承包人按22.2.2项暂停施工28天后，发包人仍不纠正违约行为的，承包人可向发包人发出解除合同通知。但承包人的这一行动不免除发包人承担的违约责任，也不影响承包人根据合同约定享有的索赔权利。</w:t>
      </w:r>
    </w:p>
    <w:p w14:paraId="35EC473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22.2.4 解除合同后的付款</w:t>
      </w:r>
    </w:p>
    <w:p w14:paraId="24A0A2B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因发包人违约解除合同的，发包人应在解除合同后28天内向承包人支付下列金额，承包人应在此期限内及时向发包人提交要求支付下列金额的有关资料和凭证：</w:t>
      </w:r>
    </w:p>
    <w:p w14:paraId="42D95CF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（1）合同解除日以前所完成工作的价款；</w:t>
      </w:r>
    </w:p>
    <w:p w14:paraId="1D7ED15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（2）承包人为该工程施工订购并已付款的材料、工程设备和其他物品的金额。发包人付还后，该材料、工程设备和其他物品归发包人所有；</w:t>
      </w:r>
    </w:p>
    <w:p w14:paraId="5F2DA3D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（3）承包人为完成工程所发生的，而发包人未支付的金额；</w:t>
      </w:r>
    </w:p>
    <w:p w14:paraId="769BA62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（4）承包人撤离施工场地以及遣散承包人人员的金额；</w:t>
      </w:r>
    </w:p>
    <w:p w14:paraId="0E37E05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（5）由于解除合同应赔偿的承包人损失；</w:t>
      </w:r>
    </w:p>
    <w:p w14:paraId="06473C3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（6）按合同约定在合同解除日前应支付给承包人的其他金额。</w:t>
      </w:r>
    </w:p>
    <w:p w14:paraId="01C0E64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发包人应按本项约定支付上述金额并退还质量保证金和履约担保，但有权要求承包人支付应偿还给发包人的各项金额。</w:t>
      </w:r>
    </w:p>
    <w:p w14:paraId="4071A74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22.2.5 解除合同后的承包人撤离</w:t>
      </w:r>
    </w:p>
    <w:p w14:paraId="39BE6DF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0EEA7219">
      <w:pPr>
        <w:widowControl w:val="0"/>
        <w:wordWrap w:val="0"/>
        <w:spacing w:line="360" w:lineRule="auto"/>
        <w:jc w:val="left"/>
        <w:rPr>
          <w:rFonts w:hint="eastAsia" w:ascii="宋体" w:hAnsi="宋体" w:eastAsia="宋体" w:cs="宋体"/>
          <w:b/>
          <w:bCs/>
          <w:color w:val="auto"/>
          <w:szCs w:val="21"/>
          <w:highlight w:val="none"/>
        </w:rPr>
      </w:pPr>
      <w:bookmarkStart w:id="1390" w:name="_Toc186623506"/>
      <w:bookmarkStart w:id="1391" w:name="_Toc186623819"/>
      <w:r>
        <w:rPr>
          <w:rFonts w:hint="eastAsia" w:ascii="宋体" w:hAnsi="宋体" w:eastAsia="宋体" w:cs="宋体"/>
          <w:b/>
          <w:bCs/>
          <w:color w:val="auto"/>
          <w:szCs w:val="21"/>
          <w:highlight w:val="none"/>
        </w:rPr>
        <w:t>22.3 第三人造成的违约</w:t>
      </w:r>
      <w:bookmarkEnd w:id="1390"/>
      <w:bookmarkEnd w:id="1391"/>
    </w:p>
    <w:p w14:paraId="4D1D75A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在履行合同过程中，一方当事人因第三人的原因造成违约的，应当向对方当事人承担违约责任。一方当事人和第三人之间的纠纷，依照法律规定或者按照约定解决。</w:t>
      </w:r>
    </w:p>
    <w:p w14:paraId="7AD95633">
      <w:pPr>
        <w:widowControl w:val="0"/>
        <w:wordWrap w:val="0"/>
        <w:spacing w:before="0" w:after="0"/>
        <w:jc w:val="left"/>
        <w:rPr>
          <w:rFonts w:hint="eastAsia" w:ascii="宋体" w:hAnsi="宋体" w:eastAsia="宋体" w:cs="宋体"/>
          <w:b/>
          <w:bCs/>
          <w:color w:val="auto"/>
          <w:sz w:val="21"/>
          <w:szCs w:val="21"/>
          <w:highlight w:val="none"/>
        </w:rPr>
      </w:pPr>
      <w:bookmarkStart w:id="1392" w:name="_Toc427509937"/>
      <w:bookmarkStart w:id="1393" w:name="_Toc268299793"/>
      <w:bookmarkStart w:id="1394" w:name="_Toc229305384"/>
      <w:bookmarkStart w:id="1395" w:name="_Toc14841"/>
      <w:bookmarkStart w:id="1396" w:name="_Toc5712"/>
      <w:bookmarkStart w:id="1397" w:name="_Toc427509437"/>
      <w:bookmarkStart w:id="1398" w:name="_Toc19999"/>
      <w:bookmarkStart w:id="1399" w:name="_Toc36069715"/>
      <w:bookmarkStart w:id="1400" w:name="_Toc267492134"/>
      <w:bookmarkStart w:id="1401" w:name="_Toc687"/>
      <w:bookmarkStart w:id="1402" w:name="_Toc8880"/>
      <w:bookmarkStart w:id="1403" w:name="_Toc10702"/>
      <w:bookmarkStart w:id="1404" w:name="_Toc266859672"/>
      <w:bookmarkStart w:id="1405" w:name="_Toc222032693"/>
      <w:bookmarkStart w:id="1406" w:name="_Toc222029524"/>
      <w:bookmarkStart w:id="1407" w:name="_Toc221951088"/>
      <w:bookmarkStart w:id="1408" w:name="_Toc6921"/>
      <w:bookmarkStart w:id="1409" w:name="_Toc16653"/>
      <w:bookmarkStart w:id="1410" w:name="_Toc271870471"/>
      <w:bookmarkStart w:id="1411" w:name="_Toc31865"/>
      <w:bookmarkStart w:id="1412" w:name="_Toc21630"/>
      <w:bookmarkStart w:id="1413" w:name="_Toc332378896"/>
      <w:bookmarkStart w:id="1414" w:name="_Toc23256"/>
      <w:bookmarkStart w:id="1415" w:name="_Toc222033875"/>
      <w:bookmarkStart w:id="1416" w:name="_Toc3451219"/>
      <w:bookmarkStart w:id="1417" w:name="_Toc15488"/>
      <w:bookmarkStart w:id="1418" w:name="_Toc222031026"/>
      <w:r>
        <w:rPr>
          <w:rFonts w:hint="eastAsia" w:ascii="宋体" w:hAnsi="宋体" w:eastAsia="宋体" w:cs="宋体"/>
          <w:b/>
          <w:bCs/>
          <w:color w:val="auto"/>
          <w:sz w:val="21"/>
          <w:szCs w:val="21"/>
          <w:highlight w:val="none"/>
        </w:rPr>
        <w:t>23. 索赔</w:t>
      </w:r>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p>
    <w:p w14:paraId="2166E292">
      <w:pPr>
        <w:widowControl w:val="0"/>
        <w:wordWrap w:val="0"/>
        <w:spacing w:line="360" w:lineRule="auto"/>
        <w:jc w:val="left"/>
        <w:rPr>
          <w:rFonts w:hint="eastAsia" w:ascii="宋体" w:hAnsi="宋体" w:eastAsia="宋体" w:cs="宋体"/>
          <w:b/>
          <w:bCs/>
          <w:color w:val="auto"/>
          <w:szCs w:val="21"/>
          <w:highlight w:val="none"/>
        </w:rPr>
      </w:pPr>
      <w:bookmarkStart w:id="1419" w:name="_Toc186623508"/>
      <w:bookmarkStart w:id="1420" w:name="_Toc186623821"/>
      <w:bookmarkStart w:id="1421" w:name="_Toc221951097"/>
      <w:r>
        <w:rPr>
          <w:rFonts w:hint="eastAsia" w:ascii="宋体" w:hAnsi="宋体" w:eastAsia="宋体" w:cs="宋体"/>
          <w:b/>
          <w:bCs/>
          <w:color w:val="auto"/>
          <w:szCs w:val="21"/>
          <w:highlight w:val="none"/>
        </w:rPr>
        <w:t>23.1 承包人索赔的提出</w:t>
      </w:r>
      <w:bookmarkEnd w:id="1419"/>
      <w:bookmarkEnd w:id="1420"/>
    </w:p>
    <w:p w14:paraId="6EB50FE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根据合同约定，承包人认为有权得到追加付款和（或）延长工期的，应按以下程序向发包人提出索赔：</w:t>
      </w:r>
    </w:p>
    <w:p w14:paraId="6E3AF7C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351EFC4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（2）承包人应在发出索赔意向通知书后28天内，向监理人正式递交索赔通知书。索赔通知书应详细说明索赔理由以及要求追加的付款金额和（或）延长的工期，并附必要的记录和证明材料；</w:t>
      </w:r>
    </w:p>
    <w:p w14:paraId="4686353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（3）索赔事件具有连续影响的，承包人应按合理时间间隔继续递交延续索赔通知，说明连续影响的实际情况和记录，列出累计的追加付款金额和（或）工期延长天数；</w:t>
      </w:r>
    </w:p>
    <w:p w14:paraId="7D43482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（4）在索赔事件影响结束后的28天内，承包人应向监理人递交最终索赔通知书，说明最终要求索赔的追加付款金额和延长的工期，并附必要的记录和证明材料。</w:t>
      </w:r>
    </w:p>
    <w:p w14:paraId="17D7CD55">
      <w:pPr>
        <w:widowControl w:val="0"/>
        <w:wordWrap w:val="0"/>
        <w:spacing w:line="360" w:lineRule="auto"/>
        <w:ind w:firstLine="420" w:firstLineChars="200"/>
        <w:jc w:val="left"/>
        <w:rPr>
          <w:rFonts w:hint="eastAsia" w:ascii="宋体" w:hAnsi="宋体" w:eastAsia="宋体" w:cs="宋体"/>
          <w:color w:val="auto"/>
          <w:szCs w:val="21"/>
          <w:highlight w:val="none"/>
        </w:rPr>
      </w:pPr>
      <w:bookmarkStart w:id="1422" w:name="_Toc186623509"/>
      <w:bookmarkStart w:id="1423" w:name="_Toc186623822"/>
      <w:r>
        <w:rPr>
          <w:rFonts w:hint="eastAsia" w:ascii="宋体" w:hAnsi="宋体" w:eastAsia="宋体" w:cs="宋体"/>
          <w:color w:val="auto"/>
          <w:szCs w:val="21"/>
          <w:highlight w:val="none"/>
        </w:rPr>
        <w:t>23.2 承包人索赔处理程序</w:t>
      </w:r>
      <w:bookmarkEnd w:id="1422"/>
      <w:bookmarkEnd w:id="1423"/>
      <w:r>
        <w:rPr>
          <w:rFonts w:hint="eastAsia" w:ascii="宋体" w:hAnsi="宋体" w:eastAsia="宋体" w:cs="宋体"/>
          <w:color w:val="auto"/>
          <w:szCs w:val="21"/>
          <w:highlight w:val="none"/>
        </w:rPr>
        <w:tab/>
      </w:r>
    </w:p>
    <w:p w14:paraId="23A9F7B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（1）监理人收到承包人提交的索赔通知书后，应及时审查索赔通知书的内容、查验承包人的记录和证明材料，必要时监理人可要求承包人提交全部原始记录副本。</w:t>
      </w:r>
    </w:p>
    <w:p w14:paraId="74773E6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（2）监理人应按第3.5款商定或确定追加的付款和（或）延长的工期，并在收到上述索赔通知书或有关索赔的进一步证明材料后的42天内，将索赔处理结果答复承包人。</w:t>
      </w:r>
    </w:p>
    <w:p w14:paraId="1644DA2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（3）承包人接受索赔处理结果的，发包人应在作出索赔处理结果答复后28天内完成赔付。承包人不接受索赔处理结果的，按第24条的约定办理。</w:t>
      </w:r>
    </w:p>
    <w:p w14:paraId="6E73CBA9">
      <w:pPr>
        <w:widowControl w:val="0"/>
        <w:wordWrap w:val="0"/>
        <w:spacing w:line="360" w:lineRule="auto"/>
        <w:jc w:val="left"/>
        <w:rPr>
          <w:rFonts w:hint="eastAsia" w:ascii="宋体" w:hAnsi="宋体" w:eastAsia="宋体" w:cs="宋体"/>
          <w:b/>
          <w:bCs/>
          <w:color w:val="auto"/>
          <w:szCs w:val="21"/>
          <w:highlight w:val="none"/>
        </w:rPr>
      </w:pPr>
      <w:bookmarkStart w:id="1424" w:name="_Toc186623510"/>
      <w:bookmarkStart w:id="1425" w:name="_Toc186623823"/>
      <w:r>
        <w:rPr>
          <w:rFonts w:hint="eastAsia" w:ascii="宋体" w:hAnsi="宋体" w:eastAsia="宋体" w:cs="宋体"/>
          <w:b/>
          <w:bCs/>
          <w:color w:val="auto"/>
          <w:szCs w:val="21"/>
          <w:highlight w:val="none"/>
        </w:rPr>
        <w:t>23.3 承包人提出索赔的期限</w:t>
      </w:r>
      <w:bookmarkEnd w:id="1424"/>
      <w:bookmarkEnd w:id="1425"/>
    </w:p>
    <w:p w14:paraId="6D874B0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23.3.1 承包人按第17.5款的约定接受了竣工付款证书后，应被认为已无权再提出在合同工程接收证书颁发前所发生的任何索赔。</w:t>
      </w:r>
    </w:p>
    <w:p w14:paraId="2ED4EE3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23.3.2 承包人按第17.6款的约定提交的最终结清申请单中，只限于提出工程接收证书颁发后发生的索赔。提出索赔的期限自接受最终结清证书时终止。</w:t>
      </w:r>
    </w:p>
    <w:p w14:paraId="7A4F5F96">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23.4 发包人的索赔</w:t>
      </w:r>
    </w:p>
    <w:p w14:paraId="14F1557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23.4.1 发生索赔事件后，监理人应及时书面通知承包人，详细说明发包人有权得到的索赔金额和（或）延长缺陷责任期的细节和依据。发包人提出索赔的期限和要求与第23.3 款的约定相同，延长缺陷责任期的通知应在缺陷责任期届满前发出。</w:t>
      </w:r>
    </w:p>
    <w:p w14:paraId="2E81378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4E5A2CF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23.4.3 承包人对监理人按第23.4.1项发出的索赔书面通知内容持异议时，应在收到书面通知后的14天内，将持有异议的书面报告及其证明材料提交监理人。监理人应在收到承包人书面报告后的14天内，将索赔处理意见通知承包人，并按第23.4.2项的约定执行赔付。若承包人不接受监理人的索赔处理意见，可按本合同第24条的规定办理。</w:t>
      </w:r>
      <w:bookmarkEnd w:id="1421"/>
    </w:p>
    <w:p w14:paraId="6722D7B3">
      <w:pPr>
        <w:widowControl w:val="0"/>
        <w:wordWrap w:val="0"/>
        <w:spacing w:before="0" w:after="0"/>
        <w:jc w:val="left"/>
        <w:rPr>
          <w:rFonts w:hint="eastAsia" w:ascii="宋体" w:hAnsi="宋体" w:eastAsia="宋体" w:cs="宋体"/>
          <w:b/>
          <w:bCs/>
          <w:color w:val="auto"/>
          <w:sz w:val="21"/>
          <w:szCs w:val="21"/>
          <w:highlight w:val="none"/>
        </w:rPr>
      </w:pPr>
      <w:bookmarkStart w:id="1426" w:name="_Toc3247"/>
      <w:bookmarkStart w:id="1427" w:name="_Toc15985"/>
      <w:bookmarkStart w:id="1428" w:name="_Toc268299794"/>
      <w:bookmarkStart w:id="1429" w:name="_Toc23047"/>
      <w:bookmarkStart w:id="1430" w:name="_Toc221951098"/>
      <w:bookmarkStart w:id="1431" w:name="_Toc8590"/>
      <w:bookmarkStart w:id="1432" w:name="_Toc3546"/>
      <w:bookmarkStart w:id="1433" w:name="_Toc222029525"/>
      <w:bookmarkStart w:id="1434" w:name="_Toc271870472"/>
      <w:bookmarkStart w:id="1435" w:name="_Toc222031027"/>
      <w:bookmarkStart w:id="1436" w:name="_Toc3451220"/>
      <w:bookmarkStart w:id="1437" w:name="_Toc36069716"/>
      <w:bookmarkStart w:id="1438" w:name="_Toc222033876"/>
      <w:bookmarkStart w:id="1439" w:name="_Toc25934"/>
      <w:bookmarkStart w:id="1440" w:name="_Toc1574"/>
      <w:bookmarkStart w:id="1441" w:name="_Toc332378897"/>
      <w:bookmarkStart w:id="1442" w:name="_Toc30950"/>
      <w:bookmarkStart w:id="1443" w:name="_Toc222032694"/>
      <w:bookmarkStart w:id="1444" w:name="_Toc16575"/>
      <w:bookmarkStart w:id="1445" w:name="_Toc427509438"/>
      <w:bookmarkStart w:id="1446" w:name="_Toc23130"/>
      <w:bookmarkStart w:id="1447" w:name="_Toc4627"/>
      <w:bookmarkStart w:id="1448" w:name="_Toc266859673"/>
      <w:bookmarkStart w:id="1449" w:name="_Toc267492135"/>
      <w:bookmarkStart w:id="1450" w:name="_Toc229305385"/>
      <w:bookmarkStart w:id="1451" w:name="_Toc427509938"/>
      <w:bookmarkStart w:id="1452" w:name="_Toc2300"/>
      <w:r>
        <w:rPr>
          <w:rFonts w:hint="eastAsia" w:ascii="宋体" w:hAnsi="宋体" w:eastAsia="宋体" w:cs="宋体"/>
          <w:b/>
          <w:bCs/>
          <w:color w:val="auto"/>
          <w:sz w:val="21"/>
          <w:szCs w:val="21"/>
          <w:highlight w:val="none"/>
        </w:rPr>
        <w:t>24. 争议的解决</w:t>
      </w:r>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p>
    <w:p w14:paraId="01EB1F95">
      <w:pPr>
        <w:widowControl w:val="0"/>
        <w:wordWrap w:val="0"/>
        <w:spacing w:line="360" w:lineRule="auto"/>
        <w:jc w:val="left"/>
        <w:rPr>
          <w:rFonts w:hint="eastAsia" w:ascii="宋体" w:hAnsi="宋体" w:eastAsia="宋体" w:cs="宋体"/>
          <w:b/>
          <w:bCs/>
          <w:color w:val="auto"/>
          <w:szCs w:val="21"/>
          <w:highlight w:val="none"/>
        </w:rPr>
      </w:pPr>
      <w:bookmarkStart w:id="1453" w:name="_Toc186623826"/>
      <w:bookmarkStart w:id="1454" w:name="_Toc186623513"/>
      <w:r>
        <w:rPr>
          <w:rFonts w:hint="eastAsia" w:ascii="宋体" w:hAnsi="宋体" w:eastAsia="宋体" w:cs="宋体"/>
          <w:b/>
          <w:bCs/>
          <w:color w:val="auto"/>
          <w:szCs w:val="21"/>
          <w:highlight w:val="none"/>
        </w:rPr>
        <w:t>24.1 争议的解决方式</w:t>
      </w:r>
      <w:bookmarkEnd w:id="1453"/>
      <w:bookmarkEnd w:id="1454"/>
    </w:p>
    <w:p w14:paraId="685D0E7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286E0A3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（1）向约定的仲裁委员会申请仲裁；</w:t>
      </w:r>
    </w:p>
    <w:p w14:paraId="0A7EB3C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（2）向有管辖权的人民法院提起诉讼。</w:t>
      </w:r>
    </w:p>
    <w:p w14:paraId="7C4ECA2A">
      <w:pPr>
        <w:widowControl w:val="0"/>
        <w:wordWrap w:val="0"/>
        <w:spacing w:line="360" w:lineRule="auto"/>
        <w:jc w:val="left"/>
        <w:rPr>
          <w:rFonts w:hint="eastAsia" w:ascii="宋体" w:hAnsi="宋体" w:eastAsia="宋体" w:cs="宋体"/>
          <w:b/>
          <w:bCs/>
          <w:color w:val="auto"/>
          <w:szCs w:val="21"/>
          <w:highlight w:val="none"/>
        </w:rPr>
      </w:pPr>
      <w:bookmarkStart w:id="1455" w:name="_Toc186623827"/>
      <w:bookmarkStart w:id="1456" w:name="_Toc186623514"/>
      <w:r>
        <w:rPr>
          <w:rFonts w:hint="eastAsia" w:ascii="宋体" w:hAnsi="宋体" w:eastAsia="宋体" w:cs="宋体"/>
          <w:b/>
          <w:bCs/>
          <w:color w:val="auto"/>
          <w:szCs w:val="21"/>
          <w:highlight w:val="none"/>
        </w:rPr>
        <w:t>24.2 友好解决</w:t>
      </w:r>
      <w:bookmarkEnd w:id="1455"/>
      <w:bookmarkEnd w:id="1456"/>
    </w:p>
    <w:p w14:paraId="19FE213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在提请争议评审、仲裁或者诉讼前，以及在争议评审、仲裁或诉讼过程中，发包人和承包人均可共同努力友好协商解决争议。</w:t>
      </w:r>
    </w:p>
    <w:p w14:paraId="6085A58A">
      <w:pPr>
        <w:widowControl w:val="0"/>
        <w:wordWrap w:val="0"/>
        <w:spacing w:line="360" w:lineRule="auto"/>
        <w:jc w:val="left"/>
        <w:rPr>
          <w:rFonts w:hint="eastAsia" w:ascii="宋体" w:hAnsi="宋体" w:eastAsia="宋体" w:cs="宋体"/>
          <w:b/>
          <w:bCs/>
          <w:color w:val="auto"/>
          <w:szCs w:val="21"/>
          <w:highlight w:val="none"/>
        </w:rPr>
      </w:pPr>
      <w:bookmarkStart w:id="1457" w:name="_Toc186623515"/>
      <w:bookmarkStart w:id="1458" w:name="_Toc186623828"/>
      <w:r>
        <w:rPr>
          <w:rFonts w:hint="eastAsia" w:ascii="宋体" w:hAnsi="宋体" w:eastAsia="宋体" w:cs="宋体"/>
          <w:b/>
          <w:bCs/>
          <w:color w:val="auto"/>
          <w:szCs w:val="21"/>
          <w:highlight w:val="none"/>
        </w:rPr>
        <w:t>24.3 争议评审</w:t>
      </w:r>
      <w:bookmarkEnd w:id="1457"/>
      <w:bookmarkEnd w:id="1458"/>
    </w:p>
    <w:p w14:paraId="7E91A9F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24.3.1 采用争议评审的，发包人和承包人应在开工日后的28天内或在争议发生后，协商成立争议评审组。争议评审组由有合同管理和工程实践经验的专家组成。</w:t>
      </w:r>
    </w:p>
    <w:p w14:paraId="4D7646E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24.3.2 合同双方的争议，应首先由申请人向争议评审组提交一份详细的评审申请报告，并附必要的文件、图纸和证明材料，申请人还应将上述报告的副本同时提交给被申请人和监理人。</w:t>
      </w:r>
    </w:p>
    <w:p w14:paraId="6EB140A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24.3.3 被申请人在收到申请人评审申请报告副本后的28天内，向争议评审组提交一份答辩报告，并附证明材料。被申请人应将答辩报告的副本同时提交给申请人和监理人。</w:t>
      </w:r>
    </w:p>
    <w:p w14:paraId="4ADE659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24.3.4 除专用合同条款另有约定外，争议评审组在收到合同双方报告后的14天内，邀请双方代表和有关人员举行调查会，向双方调查争议细节；必要时争议评审组可要求双方进一步提供补充材料。</w:t>
      </w:r>
    </w:p>
    <w:p w14:paraId="3ECCB8C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6E2373A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24.3.6 发包人和承包人接受评审意见的，由监理人根据评审意见拟定执行协议，经争议双方签字后作为合同的补充文件，并遵照执行。</w:t>
      </w:r>
    </w:p>
    <w:p w14:paraId="68819F4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4C7D8A93">
      <w:pPr>
        <w:widowControl w:val="0"/>
        <w:wordWrap w:val="0"/>
        <w:spacing w:line="360" w:lineRule="auto"/>
        <w:jc w:val="left"/>
        <w:rPr>
          <w:rFonts w:hint="eastAsia" w:ascii="宋体" w:hAnsi="宋体" w:eastAsia="宋体" w:cs="宋体"/>
          <w:b/>
          <w:bCs/>
          <w:color w:val="auto"/>
          <w:szCs w:val="21"/>
          <w:highlight w:val="none"/>
        </w:rPr>
      </w:pPr>
      <w:bookmarkStart w:id="1459" w:name="_Toc221951107"/>
      <w:r>
        <w:rPr>
          <w:rFonts w:hint="eastAsia" w:ascii="宋体" w:hAnsi="宋体" w:eastAsia="宋体" w:cs="宋体"/>
          <w:b/>
          <w:bCs/>
          <w:color w:val="auto"/>
          <w:szCs w:val="21"/>
          <w:highlight w:val="none"/>
        </w:rPr>
        <w:t>24.4 仲裁</w:t>
      </w:r>
      <w:bookmarkEnd w:id="1459"/>
      <w:r>
        <w:rPr>
          <w:rFonts w:hint="eastAsia" w:ascii="宋体" w:hAnsi="宋体" w:eastAsia="宋体" w:cs="宋体"/>
          <w:b/>
          <w:bCs/>
          <w:color w:val="auto"/>
          <w:szCs w:val="21"/>
          <w:highlight w:val="none"/>
        </w:rPr>
        <w:t xml:space="preserve"> </w:t>
      </w:r>
    </w:p>
    <w:p w14:paraId="471DF77F">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460" w:name="_Toc221951108"/>
      <w:r>
        <w:rPr>
          <w:rFonts w:hint="eastAsia" w:ascii="宋体" w:hAnsi="宋体" w:eastAsia="宋体" w:cs="宋体"/>
          <w:color w:val="auto"/>
          <w:sz w:val="21"/>
          <w:szCs w:val="21"/>
          <w:highlight w:val="none"/>
        </w:rPr>
        <w:t>24.4.1 若合同双方商定直接向仲裁机构申请仲裁，应签订仲裁协议并约定仲裁机构。</w:t>
      </w:r>
      <w:bookmarkEnd w:id="1460"/>
    </w:p>
    <w:p w14:paraId="030DDA02">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461" w:name="_Toc221951109"/>
      <w:r>
        <w:rPr>
          <w:rFonts w:hint="eastAsia" w:ascii="宋体" w:hAnsi="宋体" w:eastAsia="宋体" w:cs="宋体"/>
          <w:color w:val="auto"/>
          <w:sz w:val="21"/>
          <w:szCs w:val="21"/>
          <w:highlight w:val="none"/>
        </w:rPr>
        <w:t>24.4.2 若合同双方未能达成仲裁协议，则本合同的仲裁条款无效，任一方均有权向人民法院提起诉讼。</w:t>
      </w:r>
      <w:bookmarkEnd w:id="1461"/>
      <w:bookmarkStart w:id="1462" w:name="_Toc221948340"/>
      <w:bookmarkStart w:id="1463" w:name="_Toc222029526"/>
      <w:bookmarkStart w:id="1464" w:name="_Toc222032695"/>
      <w:bookmarkStart w:id="1465" w:name="_Toc222031028"/>
      <w:bookmarkStart w:id="1466" w:name="_Toc221951110"/>
      <w:bookmarkStart w:id="1467" w:name="_Toc222033877"/>
      <w:bookmarkStart w:id="1468" w:name="_Toc229305386"/>
    </w:p>
    <w:p w14:paraId="2D4BD9AB">
      <w:pPr>
        <w:widowControl/>
        <w:spacing w:line="240" w:lineRule="auto"/>
        <w:jc w:val="left"/>
        <w:rPr>
          <w:rFonts w:hint="eastAsia" w:ascii="Calibri" w:hAnsi="Calibri" w:eastAsia="宋体" w:cs="Times New Roman"/>
          <w:szCs w:val="22"/>
        </w:rPr>
      </w:pPr>
    </w:p>
    <w:p w14:paraId="61AB6128">
      <w:pPr>
        <w:widowControl/>
        <w:spacing w:line="360" w:lineRule="auto"/>
        <w:jc w:val="left"/>
        <w:rPr>
          <w:rFonts w:hint="eastAsia" w:ascii="宋体" w:hAnsi="宋体" w:eastAsia="宋体" w:cs="宋体"/>
          <w:color w:val="auto"/>
          <w:sz w:val="24"/>
          <w:szCs w:val="22"/>
          <w:highlight w:val="none"/>
        </w:rPr>
      </w:pPr>
    </w:p>
    <w:p w14:paraId="33B7934E">
      <w:pPr>
        <w:widowControl/>
        <w:spacing w:line="360" w:lineRule="auto"/>
        <w:jc w:val="left"/>
        <w:rPr>
          <w:rFonts w:hint="eastAsia" w:ascii="宋体" w:hAnsi="宋体" w:eastAsia="宋体" w:cs="宋体"/>
          <w:color w:val="auto"/>
          <w:sz w:val="24"/>
          <w:szCs w:val="22"/>
          <w:highlight w:val="none"/>
        </w:rPr>
      </w:pPr>
    </w:p>
    <w:p w14:paraId="2C985B25">
      <w:pPr>
        <w:widowControl/>
        <w:spacing w:line="360" w:lineRule="auto"/>
        <w:jc w:val="left"/>
        <w:rPr>
          <w:rFonts w:hint="eastAsia" w:ascii="宋体" w:hAnsi="宋体" w:eastAsia="宋体" w:cs="宋体"/>
          <w:color w:val="auto"/>
          <w:sz w:val="24"/>
          <w:szCs w:val="22"/>
          <w:highlight w:val="none"/>
        </w:rPr>
      </w:pPr>
    </w:p>
    <w:p w14:paraId="3D43EBF2">
      <w:pPr>
        <w:widowControl/>
        <w:spacing w:line="360" w:lineRule="auto"/>
        <w:jc w:val="left"/>
        <w:rPr>
          <w:rFonts w:hint="eastAsia" w:ascii="宋体" w:hAnsi="宋体" w:eastAsia="宋体" w:cs="宋体"/>
          <w:color w:val="auto"/>
          <w:sz w:val="24"/>
          <w:szCs w:val="22"/>
          <w:highlight w:val="none"/>
        </w:rPr>
      </w:pPr>
    </w:p>
    <w:p w14:paraId="7AB4D7DC">
      <w:pPr>
        <w:widowControl/>
        <w:spacing w:line="360" w:lineRule="auto"/>
        <w:jc w:val="left"/>
        <w:rPr>
          <w:rFonts w:hint="eastAsia" w:ascii="宋体" w:hAnsi="宋体" w:eastAsia="宋体" w:cs="宋体"/>
          <w:color w:val="auto"/>
          <w:sz w:val="24"/>
          <w:szCs w:val="22"/>
          <w:highlight w:val="none"/>
        </w:rPr>
      </w:pPr>
    </w:p>
    <w:bookmarkEnd w:id="1462"/>
    <w:bookmarkEnd w:id="1463"/>
    <w:bookmarkEnd w:id="1464"/>
    <w:bookmarkEnd w:id="1465"/>
    <w:bookmarkEnd w:id="1466"/>
    <w:bookmarkEnd w:id="1467"/>
    <w:bookmarkEnd w:id="1468"/>
    <w:p w14:paraId="73EA586F">
      <w:pPr>
        <w:widowControl/>
        <w:spacing w:before="0"/>
        <w:jc w:val="left"/>
        <w:outlineLvl w:val="9"/>
        <w:rPr>
          <w:rFonts w:hint="eastAsia" w:ascii="宋体" w:hAnsi="宋体" w:eastAsia="宋体" w:cs="宋体"/>
          <w:szCs w:val="21"/>
        </w:rPr>
      </w:pPr>
      <w:bookmarkStart w:id="1469" w:name="_Toc222032696"/>
      <w:bookmarkStart w:id="1470" w:name="_Toc268299796"/>
      <w:bookmarkStart w:id="1471" w:name="_Toc23595"/>
      <w:bookmarkStart w:id="1472" w:name="_Toc8212"/>
      <w:bookmarkStart w:id="1473" w:name="_Toc222029527"/>
      <w:bookmarkStart w:id="1474" w:name="_Toc221951111"/>
      <w:bookmarkStart w:id="1475" w:name="_Toc222031029"/>
      <w:bookmarkStart w:id="1476" w:name="_Toc332378899"/>
      <w:bookmarkStart w:id="1477" w:name="_Toc5613"/>
      <w:bookmarkStart w:id="1478" w:name="_Toc427509940"/>
      <w:bookmarkStart w:id="1479" w:name="_Toc229305387"/>
      <w:bookmarkStart w:id="1480" w:name="_Toc11082"/>
      <w:bookmarkStart w:id="1481" w:name="_Toc222033878"/>
      <w:bookmarkStart w:id="1482" w:name="_Toc3451222"/>
      <w:bookmarkStart w:id="1483" w:name="_Toc271870474"/>
      <w:bookmarkStart w:id="1484" w:name="_Toc427509440"/>
      <w:bookmarkStart w:id="1485" w:name="_Toc10963"/>
      <w:bookmarkStart w:id="1486" w:name="_Toc144974834"/>
      <w:bookmarkStart w:id="1487" w:name="_Toc168476293"/>
      <w:bookmarkStart w:id="1488" w:name="_Toc168475890"/>
      <w:r>
        <w:rPr>
          <w:rFonts w:hint="eastAsia" w:ascii="宋体" w:hAnsi="宋体" w:eastAsia="宋体" w:cs="宋体"/>
          <w:szCs w:val="21"/>
        </w:rPr>
        <w:br w:type="page"/>
      </w:r>
    </w:p>
    <w:p w14:paraId="3BDE424C">
      <w:pPr>
        <w:widowControl/>
        <w:spacing w:before="0" w:line="360" w:lineRule="auto"/>
        <w:ind w:firstLine="4006" w:firstLineChars="1900"/>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第二节 专用合同条款</w:t>
      </w:r>
    </w:p>
    <w:p w14:paraId="07194D24">
      <w:pPr>
        <w:widowControl w:val="0"/>
        <w:wordWrap w:val="0"/>
        <w:spacing w:before="0" w:after="0"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rPr>
        <w:t>1．一般约定</w:t>
      </w:r>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p>
    <w:p w14:paraId="459F9018">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489" w:name="_Toc221951112"/>
      <w:r>
        <w:rPr>
          <w:rFonts w:hint="eastAsia" w:ascii="宋体" w:hAnsi="宋体" w:eastAsia="宋体" w:cs="宋体"/>
          <w:b/>
          <w:bCs/>
          <w:color w:val="auto"/>
          <w:szCs w:val="21"/>
          <w:highlight w:val="none"/>
        </w:rPr>
        <w:t>1.1 词语定义</w:t>
      </w:r>
      <w:bookmarkEnd w:id="1489"/>
    </w:p>
    <w:p w14:paraId="5CDD56A3">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490" w:name="_Toc221951113"/>
      <w:bookmarkStart w:id="1491" w:name="_Toc266859675"/>
      <w:bookmarkStart w:id="1492" w:name="_Toc256079610"/>
      <w:bookmarkStart w:id="1493" w:name="_Toc263175978"/>
      <w:r>
        <w:rPr>
          <w:rFonts w:hint="eastAsia" w:ascii="宋体" w:hAnsi="宋体" w:eastAsia="宋体" w:cs="宋体"/>
          <w:color w:val="auto"/>
          <w:sz w:val="21"/>
          <w:szCs w:val="21"/>
          <w:highlight w:val="none"/>
        </w:rPr>
        <w:t>1.1.2 合同当事人和人员</w:t>
      </w:r>
      <w:bookmarkEnd w:id="1490"/>
      <w:bookmarkEnd w:id="1491"/>
      <w:bookmarkEnd w:id="1492"/>
      <w:bookmarkEnd w:id="1493"/>
    </w:p>
    <w:p w14:paraId="7278F9F9">
      <w:pPr>
        <w:widowControl w:val="0"/>
        <w:wordWrap w:val="0"/>
        <w:spacing w:line="360" w:lineRule="auto"/>
        <w:ind w:firstLine="420" w:firstLineChars="200"/>
        <w:contextualSpacing w:val="0"/>
        <w:jc w:val="left"/>
        <w:rPr>
          <w:rFonts w:hint="eastAsia" w:ascii="宋体" w:hAnsi="宋体" w:eastAsia="宋体" w:cs="宋体"/>
          <w:color w:val="auto"/>
          <w:spacing w:val="0"/>
          <w:sz w:val="21"/>
          <w:szCs w:val="21"/>
          <w:highlight w:val="none"/>
        </w:rPr>
      </w:pPr>
      <w:bookmarkStart w:id="1494" w:name="_Toc221951114"/>
      <w:r>
        <w:rPr>
          <w:rFonts w:hint="eastAsia" w:ascii="宋体" w:hAnsi="宋体" w:eastAsia="宋体" w:cs="宋体"/>
          <w:color w:val="auto"/>
          <w:sz w:val="21"/>
          <w:szCs w:val="21"/>
          <w:highlight w:val="none"/>
        </w:rPr>
        <w:t>1.1.2.2 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bookmarkStart w:id="1495" w:name="OLE_LINK3"/>
      <w:bookmarkStart w:id="1496" w:name="OLE_LINK4"/>
      <w:r>
        <w:rPr>
          <w:rFonts w:hint="eastAsia" w:ascii="宋体" w:hAnsi="宋体" w:eastAsia="宋体" w:cs="宋体"/>
          <w:bCs w:val="0"/>
          <w:color w:val="auto"/>
          <w:sz w:val="21"/>
          <w:szCs w:val="21"/>
          <w:highlight w:val="none"/>
          <w:u w:val="single"/>
        </w:rPr>
        <w:t>驻马店市薄山水库运行中心</w:t>
      </w:r>
      <w:bookmarkEnd w:id="1495"/>
      <w:bookmarkEnd w:id="1496"/>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w:t>
      </w:r>
      <w:bookmarkEnd w:id="1494"/>
    </w:p>
    <w:p w14:paraId="38591F0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497" w:name="_Toc221951115"/>
      <w:r>
        <w:rPr>
          <w:rFonts w:hint="eastAsia" w:ascii="宋体" w:hAnsi="宋体" w:eastAsia="宋体" w:cs="宋体"/>
          <w:color w:val="auto"/>
          <w:sz w:val="21"/>
          <w:szCs w:val="21"/>
          <w:highlight w:val="none"/>
        </w:rPr>
        <w:t>1.1.2.3 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签约后填入承包人的名称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End w:id="1497"/>
    </w:p>
    <w:p w14:paraId="07A93FE8">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498" w:name="_Toc221951116"/>
      <w:r>
        <w:rPr>
          <w:rFonts w:hint="eastAsia" w:ascii="宋体" w:hAnsi="宋体" w:eastAsia="宋体" w:cs="宋体"/>
          <w:color w:val="auto"/>
          <w:sz w:val="21"/>
          <w:szCs w:val="21"/>
          <w:highlight w:val="none"/>
        </w:rPr>
        <w:t>1.1.2.5 分包人：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签约后填入分包人的名称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End w:id="1498"/>
    </w:p>
    <w:p w14:paraId="07D5EB01">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499" w:name="_Toc221951117"/>
      <w:r>
        <w:rPr>
          <w:rFonts w:hint="eastAsia" w:ascii="宋体" w:hAnsi="宋体" w:eastAsia="宋体" w:cs="宋体"/>
          <w:color w:val="auto"/>
          <w:sz w:val="21"/>
          <w:szCs w:val="21"/>
          <w:highlight w:val="none"/>
        </w:rPr>
        <w:t>1.1.2.6 监理人：</w:t>
      </w:r>
      <w:r>
        <w:rPr>
          <w:rFonts w:hint="eastAsia" w:ascii="宋体" w:hAnsi="宋体" w:eastAsia="宋体" w:cs="宋体"/>
          <w:color w:val="auto"/>
          <w:sz w:val="21"/>
          <w:szCs w:val="21"/>
          <w:highlight w:val="none"/>
          <w:u w:val="single"/>
        </w:rPr>
        <w:t xml:space="preserve">    经发包人招标选定的监理单位  </w:t>
      </w:r>
      <w:r>
        <w:rPr>
          <w:rFonts w:hint="eastAsia" w:ascii="宋体" w:hAnsi="宋体" w:eastAsia="宋体" w:cs="宋体"/>
          <w:color w:val="auto"/>
          <w:sz w:val="21"/>
          <w:szCs w:val="21"/>
          <w:highlight w:val="none"/>
        </w:rPr>
        <w:t>。</w:t>
      </w:r>
      <w:bookmarkEnd w:id="1499"/>
    </w:p>
    <w:p w14:paraId="427A615B">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500" w:name="_Toc221951125"/>
      <w:r>
        <w:rPr>
          <w:rFonts w:hint="eastAsia" w:ascii="宋体" w:hAnsi="宋体" w:eastAsia="宋体" w:cs="宋体"/>
          <w:color w:val="auto"/>
          <w:sz w:val="21"/>
          <w:szCs w:val="21"/>
          <w:highlight w:val="none"/>
        </w:rPr>
        <w:t>1.1.4 日期</w:t>
      </w:r>
      <w:bookmarkEnd w:id="1500"/>
    </w:p>
    <w:p w14:paraId="4A8E7F2E">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u w:val="none"/>
        </w:rPr>
      </w:pPr>
      <w:bookmarkStart w:id="1501" w:name="_Toc221951126"/>
      <w:r>
        <w:rPr>
          <w:rFonts w:hint="eastAsia" w:ascii="宋体" w:hAnsi="宋体" w:eastAsia="宋体" w:cs="宋体"/>
          <w:color w:val="auto"/>
          <w:sz w:val="21"/>
          <w:szCs w:val="21"/>
          <w:highlight w:val="none"/>
        </w:rPr>
        <w:t>1.1.4.5 缺陷责任期（工程质量保修期）：</w:t>
      </w:r>
      <w:r>
        <w:rPr>
          <w:rFonts w:hint="eastAsia" w:ascii="宋体" w:hAnsi="宋体" w:eastAsia="宋体" w:cs="宋体"/>
          <w:sz w:val="21"/>
          <w:szCs w:val="21"/>
          <w:u w:val="single"/>
        </w:rPr>
        <w:t>本工程合同工程完工验收证书签发之日起两年</w:t>
      </w:r>
      <w:r>
        <w:rPr>
          <w:rFonts w:hint="eastAsia" w:ascii="宋体" w:hAnsi="宋体" w:eastAsia="宋体" w:cs="宋体"/>
          <w:color w:val="auto"/>
          <w:sz w:val="21"/>
          <w:szCs w:val="21"/>
          <w:highlight w:val="none"/>
          <w:u w:val="none"/>
        </w:rPr>
        <w:t>。</w:t>
      </w:r>
      <w:bookmarkEnd w:id="1501"/>
    </w:p>
    <w:p w14:paraId="166710D4">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502" w:name="_Toc221951127"/>
      <w:r>
        <w:rPr>
          <w:rFonts w:hint="eastAsia" w:ascii="宋体" w:hAnsi="宋体" w:eastAsia="宋体" w:cs="宋体"/>
          <w:b/>
          <w:bCs/>
          <w:color w:val="auto"/>
          <w:szCs w:val="21"/>
          <w:highlight w:val="none"/>
        </w:rPr>
        <w:t>1.4 合同文件的优先顺序</w:t>
      </w:r>
      <w:bookmarkEnd w:id="1502"/>
    </w:p>
    <w:p w14:paraId="7A8B41F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进入合同文件的各项文件及其优先顺序是：</w:t>
      </w:r>
      <w:r>
        <w:rPr>
          <w:rFonts w:hint="eastAsia" w:ascii="宋体" w:hAnsi="宋体" w:eastAsia="宋体" w:cs="宋体"/>
          <w:color w:val="auto"/>
          <w:sz w:val="21"/>
          <w:szCs w:val="21"/>
          <w:highlight w:val="none"/>
          <w:u w:val="single"/>
        </w:rPr>
        <w:t xml:space="preserve">  同通用合同条款 </w:t>
      </w:r>
      <w:r>
        <w:rPr>
          <w:rFonts w:hint="eastAsia" w:ascii="宋体" w:hAnsi="宋体" w:eastAsia="宋体" w:cs="宋体"/>
          <w:color w:val="auto"/>
          <w:sz w:val="21"/>
          <w:szCs w:val="21"/>
          <w:highlight w:val="none"/>
          <w:u w:val="none"/>
        </w:rPr>
        <w:t>。</w:t>
      </w:r>
    </w:p>
    <w:p w14:paraId="7BB726BC">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503" w:name="_Toc221951129"/>
      <w:r>
        <w:rPr>
          <w:rFonts w:hint="eastAsia" w:ascii="宋体" w:hAnsi="宋体" w:eastAsia="宋体" w:cs="宋体"/>
          <w:b/>
          <w:bCs/>
          <w:color w:val="auto"/>
          <w:szCs w:val="21"/>
          <w:highlight w:val="none"/>
        </w:rPr>
        <w:t>1.7 联络</w:t>
      </w:r>
      <w:bookmarkEnd w:id="1503"/>
    </w:p>
    <w:p w14:paraId="39B05CE6">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504" w:name="_Toc256079612"/>
      <w:bookmarkStart w:id="1505" w:name="_Toc266859676"/>
      <w:bookmarkStart w:id="1506" w:name="_Toc263175980"/>
      <w:bookmarkStart w:id="1507" w:name="_Toc221951130"/>
      <w:r>
        <w:rPr>
          <w:rFonts w:hint="eastAsia" w:ascii="宋体" w:hAnsi="宋体" w:eastAsia="宋体" w:cs="宋体"/>
          <w:color w:val="auto"/>
          <w:sz w:val="21"/>
          <w:szCs w:val="21"/>
          <w:highlight w:val="none"/>
        </w:rPr>
        <w:t>1.7.2 来往函件均应按技术标准和要求（合同技术条款）约定的期限送达</w:t>
      </w:r>
      <w:r>
        <w:rPr>
          <w:rFonts w:hint="eastAsia" w:ascii="宋体" w:hAnsi="宋体" w:eastAsia="宋体" w:cs="宋体"/>
          <w:color w:val="auto"/>
          <w:sz w:val="21"/>
          <w:szCs w:val="21"/>
          <w:highlight w:val="none"/>
          <w:u w:val="single"/>
        </w:rPr>
        <w:t xml:space="preserve"> 发包人的现场管理机构 </w:t>
      </w:r>
      <w:r>
        <w:rPr>
          <w:rFonts w:hint="eastAsia" w:ascii="宋体" w:hAnsi="宋体" w:eastAsia="宋体" w:cs="宋体"/>
          <w:color w:val="auto"/>
          <w:sz w:val="21"/>
          <w:szCs w:val="21"/>
          <w:highlight w:val="none"/>
        </w:rPr>
        <w:t>。</w:t>
      </w:r>
      <w:bookmarkEnd w:id="1504"/>
      <w:bookmarkEnd w:id="1505"/>
      <w:bookmarkEnd w:id="1506"/>
      <w:bookmarkEnd w:id="1507"/>
    </w:p>
    <w:p w14:paraId="77D5E4C6">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bookmarkStart w:id="1508" w:name="_Toc332378900"/>
      <w:bookmarkStart w:id="1509" w:name="_Toc427509441"/>
      <w:bookmarkStart w:id="1510" w:name="_Toc222033879"/>
      <w:bookmarkStart w:id="1511" w:name="_Toc222032697"/>
      <w:bookmarkStart w:id="1512" w:name="_Toc222031030"/>
      <w:bookmarkStart w:id="1513" w:name="_Toc229305388"/>
      <w:bookmarkStart w:id="1514" w:name="_Toc221951131"/>
      <w:bookmarkStart w:id="1515" w:name="_Toc23872"/>
      <w:bookmarkStart w:id="1516" w:name="_Toc22412"/>
      <w:bookmarkStart w:id="1517" w:name="_Toc222029528"/>
      <w:bookmarkStart w:id="1518" w:name="_Toc9497"/>
      <w:bookmarkStart w:id="1519" w:name="_Toc21669"/>
      <w:bookmarkStart w:id="1520" w:name="_Toc3451223"/>
      <w:bookmarkStart w:id="1521" w:name="_Toc30449"/>
      <w:bookmarkStart w:id="1522" w:name="_Toc267492137"/>
      <w:bookmarkStart w:id="1523" w:name="_Toc427509941"/>
      <w:bookmarkStart w:id="1524" w:name="_Toc271870475"/>
      <w:bookmarkStart w:id="1525" w:name="_Toc268299797"/>
      <w:r>
        <w:rPr>
          <w:rFonts w:hint="eastAsia" w:ascii="宋体" w:hAnsi="宋体" w:eastAsia="宋体" w:cs="宋体"/>
          <w:b/>
          <w:bCs/>
          <w:color w:val="auto"/>
          <w:sz w:val="21"/>
          <w:szCs w:val="21"/>
          <w:highlight w:val="none"/>
        </w:rPr>
        <w:t>2 发包人义务</w:t>
      </w:r>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p>
    <w:p w14:paraId="0FE2A3E5">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526" w:name="_Toc221951132"/>
      <w:r>
        <w:rPr>
          <w:rFonts w:hint="eastAsia" w:ascii="宋体" w:hAnsi="宋体" w:eastAsia="宋体" w:cs="宋体"/>
          <w:b/>
          <w:bCs/>
          <w:color w:val="auto"/>
          <w:szCs w:val="21"/>
          <w:highlight w:val="none"/>
        </w:rPr>
        <w:t>2.3 提供施工场地</w:t>
      </w:r>
      <w:bookmarkEnd w:id="1526"/>
    </w:p>
    <w:p w14:paraId="2E4A7622">
      <w:pPr>
        <w:widowControl w:val="0"/>
        <w:wordWrap w:val="0"/>
        <w:topLinePunct w:val="0"/>
        <w:spacing w:line="360" w:lineRule="auto"/>
        <w:ind w:firstLine="420" w:firstLineChars="200"/>
        <w:contextualSpacing w:val="0"/>
        <w:jc w:val="left"/>
        <w:rPr>
          <w:rFonts w:hint="eastAsia" w:ascii="宋体" w:hAnsi="宋体" w:eastAsia="宋体" w:cs="宋体"/>
          <w:color w:val="auto"/>
          <w:sz w:val="21"/>
          <w:szCs w:val="21"/>
          <w:highlight w:val="none"/>
          <w:u w:val="none"/>
        </w:rPr>
      </w:pPr>
      <w:bookmarkStart w:id="1527" w:name="_Toc221951133"/>
      <w:r>
        <w:rPr>
          <w:rFonts w:hint="eastAsia" w:ascii="宋体" w:hAnsi="宋体" w:eastAsia="宋体" w:cs="宋体"/>
          <w:color w:val="auto"/>
          <w:sz w:val="21"/>
          <w:szCs w:val="21"/>
          <w:highlight w:val="none"/>
        </w:rPr>
        <w:t>2.3.2 发包人提供的施工场地范围为：</w:t>
      </w:r>
      <w:bookmarkEnd w:id="1527"/>
      <w:r>
        <w:rPr>
          <w:rFonts w:hint="eastAsia" w:ascii="宋体" w:hAnsi="宋体" w:eastAsia="宋体" w:cs="宋体"/>
          <w:b w:val="0"/>
          <w:bCs w:val="0"/>
          <w:color w:val="auto"/>
          <w:sz w:val="21"/>
          <w:szCs w:val="21"/>
          <w:highlight w:val="none"/>
          <w:u w:val="single"/>
          <w:lang w:val="en-US" w:eastAsia="zh-CN"/>
        </w:rPr>
        <w:t xml:space="preserve">                 </w:t>
      </w:r>
    </w:p>
    <w:p w14:paraId="21FD2FD5">
      <w:pPr>
        <w:widowControl w:val="0"/>
        <w:wordWrap w:val="0"/>
        <w:topLinePunct w:val="0"/>
        <w:spacing w:line="360" w:lineRule="auto"/>
        <w:ind w:firstLine="420" w:firstLineChars="200"/>
        <w:contextualSpacing w:val="0"/>
        <w:jc w:val="left"/>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2.3.3 承包人自行勘察的施工场地范围为：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color w:val="auto"/>
          <w:sz w:val="21"/>
          <w:szCs w:val="21"/>
          <w:highlight w:val="none"/>
          <w:u w:val="single"/>
        </w:rPr>
        <w:t xml:space="preserve"> </w:t>
      </w:r>
    </w:p>
    <w:p w14:paraId="70EAE4AE">
      <w:pPr>
        <w:widowControl w:val="0"/>
        <w:wordWrap w:val="0"/>
        <w:spacing w:line="360" w:lineRule="auto"/>
        <w:ind w:firstLine="0" w:firstLineChars="0"/>
        <w:jc w:val="left"/>
        <w:rPr>
          <w:rFonts w:hint="eastAsia" w:ascii="宋体" w:hAnsi="宋体" w:eastAsia="宋体" w:cs="宋体"/>
          <w:color w:val="auto"/>
          <w:szCs w:val="21"/>
          <w:highlight w:val="none"/>
        </w:rPr>
      </w:pPr>
      <w:bookmarkStart w:id="1528" w:name="_Toc221951134"/>
      <w:r>
        <w:rPr>
          <w:rFonts w:hint="eastAsia" w:ascii="宋体" w:hAnsi="宋体" w:eastAsia="宋体" w:cs="宋体"/>
          <w:b/>
          <w:bCs/>
          <w:color w:val="auto"/>
          <w:szCs w:val="21"/>
          <w:highlight w:val="none"/>
        </w:rPr>
        <w:t>2.8 其它义务</w:t>
      </w:r>
      <w:bookmarkEnd w:id="1528"/>
    </w:p>
    <w:p w14:paraId="72F1D0EB">
      <w:pPr>
        <w:widowControl w:val="0"/>
        <w:wordWrap w:val="0"/>
        <w:spacing w:after="0" w:line="360" w:lineRule="auto"/>
        <w:ind w:firstLine="420" w:firstLineChars="200"/>
        <w:contextualSpacing/>
        <w:jc w:val="left"/>
        <w:rPr>
          <w:rFonts w:hint="eastAsia" w:ascii="宋体" w:hAnsi="宋体" w:eastAsia="宋体" w:cs="宋体"/>
          <w:color w:val="auto"/>
          <w:sz w:val="21"/>
          <w:szCs w:val="21"/>
          <w:highlight w:val="none"/>
          <w:u w:val="none"/>
        </w:rPr>
      </w:pPr>
      <w:bookmarkStart w:id="1529" w:name="_Toc221951135"/>
      <w:r>
        <w:rPr>
          <w:rFonts w:hint="eastAsia" w:ascii="宋体" w:hAnsi="宋体" w:eastAsia="宋体" w:cs="宋体"/>
          <w:b w:val="0"/>
          <w:color w:val="auto"/>
          <w:sz w:val="21"/>
          <w:szCs w:val="21"/>
          <w:highlight w:val="none"/>
        </w:rPr>
        <w:t>补充约定</w:t>
      </w:r>
      <w:r>
        <w:rPr>
          <w:rFonts w:hint="eastAsia" w:ascii="宋体" w:hAnsi="宋体" w:eastAsia="宋体" w:cs="宋体"/>
          <w:color w:val="auto"/>
          <w:sz w:val="21"/>
          <w:szCs w:val="21"/>
          <w:highlight w:val="none"/>
        </w:rPr>
        <w:t>：</w:t>
      </w:r>
      <w:bookmarkEnd w:id="1529"/>
      <w:bookmarkStart w:id="1530" w:name="_Toc221951137"/>
      <w:r>
        <w:rPr>
          <w:rFonts w:hint="eastAsia" w:ascii="宋体" w:hAnsi="宋体" w:eastAsia="宋体" w:cs="宋体"/>
          <w:color w:val="auto"/>
          <w:sz w:val="21"/>
          <w:szCs w:val="21"/>
          <w:highlight w:val="none"/>
          <w:u w:val="none"/>
        </w:rPr>
        <w:t>发包人协</w:t>
      </w:r>
      <w:r>
        <w:rPr>
          <w:rFonts w:hint="eastAsia" w:ascii="宋体" w:hAnsi="宋体" w:eastAsia="宋体" w:cs="宋体"/>
          <w:color w:val="auto"/>
          <w:sz w:val="21"/>
          <w:szCs w:val="21"/>
          <w:highlight w:val="none"/>
          <w:u w:val="none"/>
          <w:lang w:val="en-US" w:eastAsia="zh-CN"/>
        </w:rPr>
        <w:t>助</w:t>
      </w:r>
      <w:r>
        <w:rPr>
          <w:rFonts w:hint="eastAsia" w:ascii="宋体" w:hAnsi="宋体" w:eastAsia="宋体" w:cs="宋体"/>
          <w:color w:val="auto"/>
          <w:sz w:val="21"/>
          <w:szCs w:val="21"/>
          <w:highlight w:val="none"/>
          <w:u w:val="none"/>
        </w:rPr>
        <w:t>承包人协调外部环境，所需费用由承包人承担</w:t>
      </w:r>
      <w:r>
        <w:rPr>
          <w:rFonts w:hint="eastAsia" w:ascii="宋体" w:hAnsi="宋体" w:eastAsia="宋体" w:cs="宋体"/>
          <w:color w:val="auto"/>
          <w:sz w:val="21"/>
          <w:szCs w:val="21"/>
          <w:highlight w:val="none"/>
        </w:rPr>
        <w:t>。</w:t>
      </w:r>
    </w:p>
    <w:bookmarkEnd w:id="1530"/>
    <w:p w14:paraId="3DEA5B1E">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bookmarkStart w:id="1531" w:name="_Toc2757"/>
      <w:bookmarkStart w:id="1532" w:name="_Toc15647"/>
      <w:bookmarkStart w:id="1533" w:name="_Toc332378901"/>
      <w:bookmarkStart w:id="1534" w:name="_Toc3451224"/>
      <w:bookmarkStart w:id="1535" w:name="_Toc2002"/>
      <w:bookmarkStart w:id="1536" w:name="_Toc427509442"/>
      <w:bookmarkStart w:id="1537" w:name="_Toc221951140"/>
      <w:bookmarkStart w:id="1538" w:name="_Toc229305389"/>
      <w:bookmarkStart w:id="1539" w:name="_Toc271870476"/>
      <w:bookmarkStart w:id="1540" w:name="_Toc222031031"/>
      <w:bookmarkStart w:id="1541" w:name="_Toc267492138"/>
      <w:bookmarkStart w:id="1542" w:name="_Toc222029529"/>
      <w:bookmarkStart w:id="1543" w:name="_Toc268299798"/>
      <w:bookmarkStart w:id="1544" w:name="_Toc222033880"/>
      <w:bookmarkStart w:id="1545" w:name="_Toc3804"/>
      <w:bookmarkStart w:id="1546" w:name="_Toc26347"/>
      <w:bookmarkStart w:id="1547" w:name="_Toc222032698"/>
      <w:bookmarkStart w:id="1548" w:name="_Toc427509942"/>
      <w:r>
        <w:rPr>
          <w:rFonts w:hint="eastAsia" w:ascii="宋体" w:hAnsi="宋体" w:eastAsia="宋体" w:cs="宋体"/>
          <w:b/>
          <w:bCs/>
          <w:color w:val="auto"/>
          <w:sz w:val="21"/>
          <w:szCs w:val="21"/>
          <w:highlight w:val="none"/>
        </w:rPr>
        <w:t>3 监理人</w:t>
      </w:r>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p>
    <w:p w14:paraId="22BE7301">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549" w:name="_Toc221951141"/>
      <w:r>
        <w:rPr>
          <w:rFonts w:hint="eastAsia" w:ascii="宋体" w:hAnsi="宋体" w:eastAsia="宋体" w:cs="宋体"/>
          <w:b/>
          <w:bCs/>
          <w:color w:val="auto"/>
          <w:szCs w:val="21"/>
          <w:highlight w:val="none"/>
        </w:rPr>
        <w:t>3.1 监理人的职责和权力</w:t>
      </w:r>
      <w:bookmarkEnd w:id="1549"/>
    </w:p>
    <w:p w14:paraId="71576101">
      <w:pPr>
        <w:widowControl w:val="0"/>
        <w:wordWrap w:val="0"/>
        <w:spacing w:line="360" w:lineRule="auto"/>
        <w:ind w:firstLine="420" w:firstLineChars="200"/>
        <w:jc w:val="left"/>
        <w:rPr>
          <w:rFonts w:hint="eastAsia" w:ascii="宋体" w:hAnsi="宋体" w:eastAsia="宋体" w:cs="宋体"/>
          <w:sz w:val="21"/>
          <w:szCs w:val="21"/>
        </w:rPr>
      </w:pPr>
      <w:bookmarkStart w:id="1550" w:name="_Toc221951142"/>
      <w:bookmarkStart w:id="1551" w:name="_Toc222029530"/>
      <w:bookmarkStart w:id="1552" w:name="_Toc14832"/>
      <w:bookmarkStart w:id="1553" w:name="_Toc267492139"/>
      <w:bookmarkStart w:id="1554" w:name="_Toc332378902"/>
      <w:bookmarkStart w:id="1555" w:name="_Toc14255"/>
      <w:bookmarkStart w:id="1556" w:name="_Toc222031032"/>
      <w:bookmarkStart w:id="1557" w:name="_Toc222032699"/>
      <w:bookmarkStart w:id="1558" w:name="_Toc229305390"/>
      <w:bookmarkStart w:id="1559" w:name="_Toc268299799"/>
      <w:bookmarkStart w:id="1560" w:name="_Toc221951150"/>
      <w:bookmarkStart w:id="1561" w:name="_Toc932"/>
      <w:bookmarkStart w:id="1562" w:name="_Toc222033881"/>
      <w:bookmarkStart w:id="1563" w:name="_Toc427509943"/>
      <w:bookmarkStart w:id="1564" w:name="_Toc427509443"/>
      <w:bookmarkStart w:id="1565" w:name="_Toc271870477"/>
      <w:bookmarkStart w:id="1566" w:name="_Toc3451225"/>
      <w:bookmarkStart w:id="1567" w:name="_Toc5332"/>
      <w:r>
        <w:rPr>
          <w:rFonts w:hint="eastAsia" w:ascii="宋体" w:hAnsi="宋体" w:eastAsia="宋体" w:cs="宋体"/>
          <w:sz w:val="21"/>
          <w:szCs w:val="21"/>
        </w:rPr>
        <w:t>3.1.1 监理人须根据发包人事先批准的权利范围行使权利，发包人批准的权利范围：</w:t>
      </w:r>
    </w:p>
    <w:p w14:paraId="5E734623">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（填写监理人须经发包人批准才能行使的权利，以下示例供参考）</w:t>
      </w:r>
    </w:p>
    <w:p w14:paraId="6F11919D">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（1）按第4.3款约定，批准工程分包；</w:t>
      </w:r>
    </w:p>
    <w:p w14:paraId="76B4A6C1">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（2）按第11.3款约定，确定延长完工期限；</w:t>
      </w:r>
    </w:p>
    <w:p w14:paraId="19E70BA2">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（3）按第15.6款约定，批准暂列金额的使用；</w:t>
      </w:r>
    </w:p>
    <w:p w14:paraId="10EBCF6F">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w:t>
      </w:r>
    </w:p>
    <w:bookmarkEnd w:id="1550"/>
    <w:p w14:paraId="50230A56">
      <w:pPr>
        <w:widowControl w:val="0"/>
        <w:wordWrap w:val="0"/>
        <w:spacing w:before="0" w:after="0"/>
        <w:ind w:firstLine="0" w:firstLineChars="0"/>
        <w:jc w:val="left"/>
        <w:rPr>
          <w:rFonts w:hint="eastAsia" w:ascii="宋体" w:hAnsi="宋体" w:eastAsia="宋体" w:cs="宋体"/>
          <w:szCs w:val="21"/>
        </w:rPr>
      </w:pPr>
      <w:bookmarkStart w:id="1568" w:name="_Toc4784"/>
      <w:r>
        <w:rPr>
          <w:rFonts w:hint="eastAsia" w:ascii="宋体" w:hAnsi="宋体" w:eastAsia="宋体" w:cs="宋体"/>
          <w:b/>
          <w:bCs/>
          <w:color w:val="auto"/>
          <w:sz w:val="21"/>
          <w:szCs w:val="21"/>
          <w:highlight w:val="none"/>
        </w:rPr>
        <w:t>4 承包人</w:t>
      </w:r>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p>
    <w:p w14:paraId="0862568B">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bookmarkStart w:id="1569" w:name="_Toc221951151"/>
      <w:r>
        <w:rPr>
          <w:rFonts w:hint="eastAsia" w:ascii="宋体" w:hAnsi="宋体" w:eastAsia="宋体" w:cs="宋体"/>
          <w:b/>
          <w:bCs/>
          <w:color w:val="auto"/>
          <w:sz w:val="21"/>
          <w:szCs w:val="21"/>
          <w:highlight w:val="none"/>
        </w:rPr>
        <w:t>4.1 承包人的一般义务</w:t>
      </w:r>
    </w:p>
    <w:p w14:paraId="2824307A">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4.1.10 其他义务</w:t>
      </w:r>
    </w:p>
    <w:p w14:paraId="5AF13D7D">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 xml:space="preserve">       </w:t>
      </w:r>
    </w:p>
    <w:p w14:paraId="289E71EB">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 xml:space="preserve">      </w:t>
      </w:r>
    </w:p>
    <w:p w14:paraId="7BFD8EB8">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4.3 分包</w:t>
      </w:r>
    </w:p>
    <w:p w14:paraId="3CAC6714">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4.3.2 允许承包人分包的工程项目、工作内容与分包的金额限额为：</w:t>
      </w:r>
    </w:p>
    <w:p w14:paraId="4B3A0017">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（1）工程项目：</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338C7B2">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（2）工作内容：</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85CE36C">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（3）分包金额限额：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67859C5">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4.3.10 分包人项目管理机构的设立：</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48D1AD6">
      <w:pPr>
        <w:keepNext w:val="0"/>
        <w:keepLines w:val="0"/>
        <w:pageBreakBefore w:val="0"/>
        <w:widowControl w:val="0"/>
        <w:kinsoku/>
        <w:wordWrap w:val="0"/>
        <w:overflowPunct/>
        <w:topLinePunct w:val="0"/>
        <w:bidi w:val="0"/>
        <w:snapToGrid/>
        <w:spacing w:line="360" w:lineRule="auto"/>
        <w:ind w:right="0" w:rightChars="0" w:firstLine="0" w:firstLineChars="0"/>
        <w:jc w:val="left"/>
        <w:rPr>
          <w:rFonts w:hint="default" w:ascii="宋体" w:hAnsi="宋体" w:eastAsia="宋体" w:cs="宋体"/>
          <w:b/>
          <w:bCs w:val="0"/>
          <w:color w:val="auto"/>
          <w:kern w:val="2"/>
          <w:szCs w:val="21"/>
          <w:highlight w:val="none"/>
        </w:rPr>
      </w:pPr>
      <w:r>
        <w:rPr>
          <w:rFonts w:hint="eastAsia" w:ascii="宋体" w:hAnsi="宋体" w:eastAsia="宋体" w:cs="宋体"/>
          <w:b/>
          <w:bCs w:val="0"/>
          <w:color w:val="auto"/>
          <w:kern w:val="2"/>
          <w:szCs w:val="21"/>
          <w:highlight w:val="none"/>
        </w:rPr>
        <w:t>4.</w:t>
      </w:r>
      <w:r>
        <w:rPr>
          <w:rFonts w:hint="eastAsia" w:ascii="宋体" w:hAnsi="宋体" w:eastAsia="宋体" w:cs="宋体"/>
          <w:b/>
          <w:bCs w:val="0"/>
          <w:kern w:val="2"/>
          <w:szCs w:val="21"/>
          <w:lang w:val="en-US" w:eastAsia="zh-CN"/>
        </w:rPr>
        <w:t>5</w:t>
      </w:r>
      <w:r>
        <w:rPr>
          <w:rFonts w:hint="eastAsia" w:ascii="宋体" w:hAnsi="宋体" w:eastAsia="宋体" w:cs="宋体"/>
          <w:b/>
          <w:bCs w:val="0"/>
          <w:color w:val="auto"/>
          <w:kern w:val="2"/>
          <w:szCs w:val="21"/>
          <w:highlight w:val="none"/>
        </w:rPr>
        <w:t>承包人</w:t>
      </w:r>
      <w:r>
        <w:rPr>
          <w:rFonts w:hint="eastAsia" w:ascii="宋体" w:hAnsi="宋体" w:eastAsia="宋体" w:cs="宋体"/>
          <w:b/>
          <w:bCs w:val="0"/>
          <w:kern w:val="2"/>
          <w:szCs w:val="21"/>
          <w:lang w:val="en-US" w:eastAsia="zh-CN"/>
        </w:rPr>
        <w:t>项目经理</w:t>
      </w:r>
    </w:p>
    <w:p w14:paraId="12233139">
      <w:pPr>
        <w:keepNext w:val="0"/>
        <w:keepLines w:val="0"/>
        <w:pageBreakBefore w:val="0"/>
        <w:widowControl w:val="0"/>
        <w:kinsoku/>
        <w:wordWrap w:val="0"/>
        <w:overflowPunct/>
        <w:topLinePunct w:val="0"/>
        <w:bidi w:val="0"/>
        <w:snapToGrid/>
        <w:spacing w:line="360" w:lineRule="auto"/>
        <w:ind w:left="0" w:leftChars="0" w:right="0" w:rightChars="0" w:firstLine="420" w:firstLineChars="200"/>
        <w:jc w:val="left"/>
        <w:rPr>
          <w:rFonts w:hint="eastAsia" w:ascii="宋体" w:hAnsi="宋体" w:eastAsia="宋体" w:cs="宋体"/>
          <w:bCs w:val="0"/>
          <w:kern w:val="2"/>
          <w:sz w:val="21"/>
          <w:szCs w:val="21"/>
          <w:highlight w:val="none"/>
        </w:rPr>
      </w:pPr>
      <w:r>
        <w:rPr>
          <w:rFonts w:hint="eastAsia" w:ascii="宋体" w:hAnsi="宋体" w:eastAsia="宋体" w:cs="宋体"/>
          <w:bCs w:val="0"/>
          <w:kern w:val="2"/>
          <w:sz w:val="21"/>
          <w:szCs w:val="21"/>
          <w:highlight w:val="none"/>
          <w:lang w:val="en-US" w:eastAsia="zh-CN"/>
        </w:rPr>
        <w:t>4.5.1</w:t>
      </w:r>
      <w:r>
        <w:rPr>
          <w:rFonts w:hint="eastAsia" w:ascii="宋体" w:hAnsi="宋体" w:eastAsia="宋体" w:cs="宋体"/>
          <w:bCs w:val="0"/>
          <w:kern w:val="2"/>
          <w:sz w:val="21"/>
          <w:szCs w:val="21"/>
          <w:highlight w:val="none"/>
        </w:rPr>
        <w:t>项目经理每月在现场工作天数不得少于21天，发包人将根据监理人提交的考勤记录，每差一天承包人向发包人支付违约金2000元。</w:t>
      </w:r>
    </w:p>
    <w:p w14:paraId="724947E0">
      <w:pPr>
        <w:keepNext w:val="0"/>
        <w:keepLines w:val="0"/>
        <w:pageBreakBefore w:val="0"/>
        <w:widowControl w:val="0"/>
        <w:kinsoku/>
        <w:wordWrap w:val="0"/>
        <w:overflowPunct/>
        <w:topLinePunct w:val="0"/>
        <w:bidi w:val="0"/>
        <w:snapToGrid/>
        <w:spacing w:line="360" w:lineRule="auto"/>
        <w:ind w:left="0" w:leftChars="0" w:right="0" w:rightChars="0" w:firstLine="0" w:firstLineChars="0"/>
        <w:jc w:val="left"/>
        <w:rPr>
          <w:rFonts w:hint="default" w:ascii="宋体" w:hAnsi="宋体" w:eastAsia="宋体" w:cs="宋体"/>
          <w:bCs w:val="0"/>
          <w:kern w:val="2"/>
          <w:sz w:val="21"/>
          <w:szCs w:val="21"/>
          <w:highlight w:val="none"/>
          <w:lang w:val="en-US" w:eastAsia="zh-CN"/>
        </w:rPr>
      </w:pPr>
      <w:r>
        <w:rPr>
          <w:rFonts w:hint="eastAsia" w:ascii="宋体" w:hAnsi="宋体" w:eastAsia="宋体" w:cs="宋体"/>
          <w:b/>
          <w:bCs/>
          <w:kern w:val="2"/>
          <w:sz w:val="21"/>
          <w:szCs w:val="21"/>
          <w:highlight w:val="none"/>
          <w:lang w:val="en-US" w:eastAsia="zh-CN"/>
        </w:rPr>
        <w:t>4.6承包人人员的管理</w:t>
      </w:r>
    </w:p>
    <w:p w14:paraId="2BBAE03A">
      <w:pPr>
        <w:keepNext w:val="0"/>
        <w:keepLines w:val="0"/>
        <w:pageBreakBefore w:val="0"/>
        <w:widowControl w:val="0"/>
        <w:kinsoku/>
        <w:wordWrap w:val="0"/>
        <w:overflowPunct/>
        <w:topLinePunct w:val="0"/>
        <w:bidi w:val="0"/>
        <w:snapToGrid/>
        <w:spacing w:line="360" w:lineRule="auto"/>
        <w:ind w:left="0" w:leftChars="0" w:right="0" w:rightChars="0" w:firstLine="420" w:firstLineChars="200"/>
        <w:jc w:val="left"/>
        <w:rPr>
          <w:rFonts w:hint="default" w:ascii="宋体" w:hAnsi="宋体" w:eastAsia="宋体" w:cs="宋体"/>
          <w:bCs w:val="0"/>
          <w:kern w:val="2"/>
          <w:sz w:val="21"/>
          <w:szCs w:val="21"/>
          <w:highlight w:val="none"/>
          <w:lang w:val="en-US" w:eastAsia="zh-CN"/>
        </w:rPr>
      </w:pPr>
      <w:r>
        <w:rPr>
          <w:rFonts w:hint="eastAsia" w:ascii="宋体" w:hAnsi="宋体" w:eastAsia="宋体" w:cs="宋体"/>
          <w:bCs w:val="0"/>
          <w:kern w:val="2"/>
          <w:sz w:val="21"/>
          <w:szCs w:val="21"/>
          <w:highlight w:val="none"/>
          <w:lang w:val="en-US" w:eastAsia="zh-CN"/>
        </w:rPr>
        <w:t>4.6.1</w:t>
      </w:r>
      <w:r>
        <w:rPr>
          <w:rFonts w:hint="eastAsia" w:ascii="宋体" w:hAnsi="宋体" w:eastAsia="宋体" w:cs="宋体"/>
          <w:szCs w:val="21"/>
          <w:highlight w:val="none"/>
        </w:rPr>
        <w:t>项目部其他人员每月在现场工作天数不得少于21天，发包人将根据监理人提交的考勤记录，每差一天承包人向发包人支付违约金1000元。</w:t>
      </w:r>
    </w:p>
    <w:p w14:paraId="20A97330">
      <w:pPr>
        <w:keepNext w:val="0"/>
        <w:keepLines w:val="0"/>
        <w:pageBreakBefore w:val="0"/>
        <w:widowControl w:val="0"/>
        <w:kinsoku/>
        <w:wordWrap w:val="0"/>
        <w:overflowPunct/>
        <w:topLinePunct w:val="0"/>
        <w:bidi w:val="0"/>
        <w:snapToGrid/>
        <w:spacing w:line="360" w:lineRule="auto"/>
        <w:ind w:left="0" w:leftChars="0" w:right="0" w:rightChars="0" w:firstLine="0" w:firstLineChars="0"/>
        <w:jc w:val="left"/>
        <w:rPr>
          <w:rFonts w:hint="eastAsia" w:ascii="宋体" w:hAnsi="宋体" w:eastAsia="宋体" w:cs="宋体"/>
          <w:b/>
          <w:bCs/>
          <w:kern w:val="2"/>
          <w:sz w:val="21"/>
          <w:szCs w:val="21"/>
          <w:highlight w:val="none"/>
          <w:lang w:val="en-US" w:eastAsia="zh-CN"/>
        </w:rPr>
      </w:pPr>
      <w:r>
        <w:rPr>
          <w:rFonts w:hint="eastAsia" w:ascii="宋体" w:hAnsi="宋体" w:eastAsia="宋体" w:cs="宋体"/>
          <w:b/>
          <w:bCs/>
          <w:kern w:val="2"/>
          <w:sz w:val="21"/>
          <w:szCs w:val="21"/>
          <w:highlight w:val="none"/>
          <w:lang w:val="en-US" w:eastAsia="zh-CN"/>
        </w:rPr>
        <w:t>4.7 撤换承包人项目经理和其他人员</w:t>
      </w:r>
    </w:p>
    <w:p w14:paraId="230113B7">
      <w:pPr>
        <w:keepNext w:val="0"/>
        <w:keepLines w:val="0"/>
        <w:pageBreakBefore w:val="0"/>
        <w:widowControl w:val="0"/>
        <w:kinsoku/>
        <w:wordWrap w:val="0"/>
        <w:overflowPunct/>
        <w:topLinePunct w:val="0"/>
        <w:bidi w:val="0"/>
        <w:snapToGrid/>
        <w:spacing w:line="360" w:lineRule="auto"/>
        <w:ind w:left="0" w:leftChars="0" w:right="0" w:rightChars="0" w:firstLine="420" w:firstLineChars="200"/>
        <w:jc w:val="left"/>
        <w:rPr>
          <w:rFonts w:hint="eastAsia" w:ascii="宋体" w:hAnsi="宋体" w:eastAsia="宋体" w:cs="宋体"/>
          <w:bCs w:val="0"/>
          <w:kern w:val="2"/>
          <w:sz w:val="21"/>
          <w:szCs w:val="21"/>
          <w:highlight w:val="none"/>
        </w:rPr>
      </w:pPr>
      <w:r>
        <w:rPr>
          <w:rFonts w:hint="eastAsia" w:ascii="宋体" w:hAnsi="宋体" w:eastAsia="宋体" w:cs="宋体"/>
          <w:bCs w:val="0"/>
          <w:kern w:val="2"/>
          <w:sz w:val="21"/>
          <w:szCs w:val="21"/>
          <w:highlight w:val="none"/>
          <w:lang w:val="en-US" w:eastAsia="zh-CN"/>
        </w:rPr>
        <w:t>4.7.1</w:t>
      </w:r>
      <w:r>
        <w:rPr>
          <w:rFonts w:hint="eastAsia" w:ascii="宋体" w:hAnsi="宋体" w:eastAsia="宋体" w:cs="宋体"/>
          <w:bCs w:val="0"/>
          <w:kern w:val="2"/>
          <w:sz w:val="21"/>
          <w:szCs w:val="21"/>
          <w:highlight w:val="none"/>
        </w:rPr>
        <w:t>项目经理在施工期内不得更换。如有不可抗力（不可抗力是指不能预见、不能避免且不能克服的客观情况。）确需更换项目经理的，须经发包人书面同意，并向发包人缴纳50万元违约金。更换的项目经理不得低于原项目经理资格条件和业绩经历，试用期3个月。该项目经理在试用期内使发包人满意，若发包人不满意承包人须重新更换项目经理，直至发包人满意。发包人有权提出撤换不胜任的项目经理，承包人应及时更换，并向发包人缴纳50万元违约金，试用期3个月，直至发包人满意。</w:t>
      </w:r>
    </w:p>
    <w:p w14:paraId="37BF12F3">
      <w:pPr>
        <w:keepNext w:val="0"/>
        <w:keepLines w:val="0"/>
        <w:pageBreakBefore w:val="0"/>
        <w:widowControl w:val="0"/>
        <w:kinsoku/>
        <w:wordWrap w:val="0"/>
        <w:overflowPunct/>
        <w:topLinePunct w:val="0"/>
        <w:bidi w:val="0"/>
        <w:snapToGrid/>
        <w:spacing w:line="360" w:lineRule="auto"/>
        <w:ind w:left="0" w:leftChars="0" w:right="0" w:rightChars="0" w:firstLine="420" w:firstLineChars="200"/>
        <w:jc w:val="lef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4.</w:t>
      </w:r>
      <w:r>
        <w:rPr>
          <w:rFonts w:hint="eastAsia" w:ascii="宋体" w:hAnsi="宋体" w:eastAsia="宋体" w:cs="宋体"/>
          <w:bCs w:val="0"/>
          <w:sz w:val="21"/>
          <w:szCs w:val="21"/>
          <w:highlight w:val="none"/>
          <w:lang w:val="en-US" w:eastAsia="zh-CN"/>
        </w:rPr>
        <w:t>7</w:t>
      </w:r>
      <w:r>
        <w:rPr>
          <w:rFonts w:hint="eastAsia" w:ascii="宋体" w:hAnsi="宋体" w:eastAsia="宋体" w:cs="宋体"/>
          <w:bCs w:val="0"/>
          <w:sz w:val="21"/>
          <w:szCs w:val="21"/>
          <w:highlight w:val="none"/>
        </w:rPr>
        <w:t>.</w:t>
      </w:r>
      <w:r>
        <w:rPr>
          <w:rFonts w:hint="eastAsia" w:ascii="宋体" w:hAnsi="宋体" w:eastAsia="宋体" w:cs="宋体"/>
          <w:bCs w:val="0"/>
          <w:sz w:val="21"/>
          <w:szCs w:val="21"/>
          <w:highlight w:val="none"/>
          <w:lang w:val="en-US" w:eastAsia="zh-CN"/>
        </w:rPr>
        <w:t>2</w:t>
      </w:r>
      <w:r>
        <w:rPr>
          <w:rFonts w:hint="eastAsia" w:ascii="宋体" w:hAnsi="宋体" w:eastAsia="宋体" w:cs="宋体"/>
          <w:bCs w:val="0"/>
          <w:sz w:val="21"/>
          <w:szCs w:val="21"/>
          <w:highlight w:val="none"/>
        </w:rPr>
        <w:t>本合同工程的技术负责人、专职安全员、质量负责人在施工期内不得更换，如有不可抗力（不可抗力是指不能预见、不能避免且不能克服的客观情况。）确需更换的，须经发包人书面同意，更换时须经发包人书面同意，并向发包人缴纳每人30万元违约金，试用期3个月，更换的上述人员不得低于原人员资格条件和业绩经历。更换的人员在试用期内使发包人满意，若发包人不满意承包人须重新更换，直至发包人满意。发包人提出撤换不胜任的上述人员时，承包人应及时更换（同时向发包人缴纳每人30万元违约金，试用期3个月，直至发包人满意，否则承担由此造成的一切后果。</w:t>
      </w:r>
    </w:p>
    <w:bookmarkEnd w:id="1569"/>
    <w:p w14:paraId="6EEDF89E">
      <w:pPr>
        <w:widowControl w:val="0"/>
        <w:wordWrap w:val="0"/>
        <w:spacing w:line="360" w:lineRule="auto"/>
        <w:ind w:firstLine="420" w:firstLineChars="200"/>
        <w:jc w:val="left"/>
        <w:rPr>
          <w:rFonts w:hint="eastAsia" w:ascii="宋体" w:hAnsi="宋体" w:eastAsia="宋体" w:cs="宋体"/>
          <w:szCs w:val="21"/>
          <w:highlight w:val="none"/>
        </w:rPr>
      </w:pPr>
      <w:bookmarkStart w:id="1570" w:name="_Toc221951158"/>
      <w:r>
        <w:rPr>
          <w:rFonts w:hint="eastAsia" w:ascii="宋体" w:hAnsi="宋体" w:eastAsia="宋体" w:cs="宋体"/>
          <w:szCs w:val="21"/>
          <w:highlight w:val="none"/>
        </w:rPr>
        <w:t>4.</w:t>
      </w:r>
      <w:r>
        <w:rPr>
          <w:rFonts w:hint="eastAsia" w:ascii="宋体" w:hAnsi="宋体" w:eastAsia="宋体" w:cs="宋体"/>
          <w:szCs w:val="21"/>
          <w:highlight w:val="none"/>
          <w:lang w:eastAsia="zh-CN"/>
        </w:rPr>
        <w:t>7</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合同履约过程中，发包人将按季度对承包人的项目经理、技术负责人、专职安全员、质量负责人进行履职考核，每季度末考核一次，总分100分，考核结果分为优秀（≥90分）、良好（80-89分）、合格（61-79分）、不合格（≤60分）四个等级，发包人有权提出撤换考核不合格的人员。考核评分表见附件。</w:t>
      </w:r>
    </w:p>
    <w:p w14:paraId="5A19816A">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4.11 不利物质条件</w:t>
      </w:r>
      <w:bookmarkEnd w:id="1570"/>
    </w:p>
    <w:p w14:paraId="6567054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571" w:name="_Toc221951159"/>
      <w:r>
        <w:rPr>
          <w:rFonts w:hint="eastAsia" w:ascii="宋体" w:hAnsi="宋体" w:eastAsia="宋体" w:cs="宋体"/>
          <w:color w:val="auto"/>
          <w:sz w:val="21"/>
          <w:szCs w:val="21"/>
          <w:highlight w:val="none"/>
        </w:rPr>
        <w:t>4.11.1 不利物质条件的范围：</w:t>
      </w:r>
      <w:bookmarkEnd w:id="1571"/>
      <w:r>
        <w:rPr>
          <w:rFonts w:hint="eastAsia" w:ascii="宋体" w:hAnsi="宋体" w:eastAsia="宋体" w:cs="宋体"/>
          <w:color w:val="auto"/>
          <w:sz w:val="21"/>
          <w:szCs w:val="21"/>
          <w:highlight w:val="none"/>
          <w:u w:val="none"/>
        </w:rPr>
        <w:t xml:space="preserve">  / </w:t>
      </w:r>
      <w:r>
        <w:rPr>
          <w:rFonts w:hint="eastAsia" w:ascii="宋体" w:hAnsi="宋体" w:eastAsia="宋体" w:cs="宋体"/>
          <w:color w:val="auto"/>
          <w:sz w:val="21"/>
          <w:szCs w:val="21"/>
          <w:highlight w:val="none"/>
        </w:rPr>
        <w:t>。</w:t>
      </w:r>
    </w:p>
    <w:p w14:paraId="2872DFEB">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572" w:name="_Toc229305391"/>
      <w:bookmarkStart w:id="1573" w:name="_Toc427509444"/>
      <w:bookmarkStart w:id="1574" w:name="_Toc10157"/>
      <w:bookmarkStart w:id="1575" w:name="_Toc271870478"/>
      <w:bookmarkStart w:id="1576" w:name="_Toc222029531"/>
      <w:bookmarkStart w:id="1577" w:name="_Toc3451226"/>
      <w:bookmarkStart w:id="1578" w:name="_Toc222031033"/>
      <w:bookmarkStart w:id="1579" w:name="_Toc427509944"/>
      <w:bookmarkStart w:id="1580" w:name="_Toc222033882"/>
      <w:bookmarkStart w:id="1581" w:name="_Toc221951160"/>
      <w:bookmarkStart w:id="1582" w:name="_Toc268299800"/>
      <w:bookmarkStart w:id="1583" w:name="_Toc7260"/>
      <w:bookmarkStart w:id="1584" w:name="_Toc267492140"/>
      <w:bookmarkStart w:id="1585" w:name="_Toc24037"/>
      <w:bookmarkStart w:id="1586" w:name="_Toc5218"/>
      <w:bookmarkStart w:id="1587" w:name="_Toc332378903"/>
      <w:bookmarkStart w:id="1588" w:name="_Toc222032700"/>
      <w:bookmarkStart w:id="1589" w:name="_Toc16478"/>
      <w:r>
        <w:rPr>
          <w:rFonts w:hint="eastAsia" w:ascii="宋体" w:hAnsi="宋体" w:eastAsia="宋体" w:cs="宋体"/>
          <w:b/>
          <w:bCs/>
          <w:color w:val="auto"/>
          <w:sz w:val="21"/>
          <w:szCs w:val="21"/>
          <w:highlight w:val="none"/>
        </w:rPr>
        <w:t>5 材料和工程设备</w:t>
      </w:r>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p>
    <w:p w14:paraId="31251D87">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590" w:name="_Toc27870"/>
      <w:bookmarkStart w:id="1591" w:name="_Toc221951163"/>
      <w:bookmarkStart w:id="1592" w:name="_Toc5560"/>
      <w:bookmarkStart w:id="1593" w:name="_Toc221951166"/>
      <w:bookmarkStart w:id="1594" w:name="_Toc3451227"/>
      <w:bookmarkStart w:id="1595" w:name="_Toc271870479"/>
      <w:bookmarkStart w:id="1596" w:name="_Toc14260"/>
      <w:bookmarkStart w:id="1597" w:name="_Toc222032701"/>
      <w:bookmarkStart w:id="1598" w:name="_Toc222031034"/>
      <w:bookmarkStart w:id="1599" w:name="_Toc332378904"/>
      <w:bookmarkStart w:id="1600" w:name="_Toc267492141"/>
      <w:bookmarkStart w:id="1601" w:name="_Toc427509945"/>
      <w:bookmarkStart w:id="1602" w:name="_Toc1169"/>
      <w:bookmarkStart w:id="1603" w:name="_Toc13886"/>
      <w:bookmarkStart w:id="1604" w:name="_Toc268299801"/>
      <w:bookmarkStart w:id="1605" w:name="_Toc222033883"/>
      <w:bookmarkStart w:id="1606" w:name="_Toc427509445"/>
      <w:bookmarkStart w:id="1607" w:name="_Toc229305392"/>
      <w:bookmarkStart w:id="1608" w:name="_Toc222029532"/>
      <w:bookmarkStart w:id="1609" w:name="_Toc221951178"/>
      <w:bookmarkStart w:id="1610" w:name="_Toc222029533"/>
      <w:bookmarkStart w:id="1611" w:name="_Toc222031035"/>
      <w:bookmarkStart w:id="1612" w:name="_Toc222032702"/>
      <w:bookmarkStart w:id="1613" w:name="_Toc222033884"/>
      <w:r>
        <w:rPr>
          <w:rFonts w:hint="eastAsia" w:ascii="宋体" w:hAnsi="宋体" w:eastAsia="宋体" w:cs="宋体"/>
          <w:b/>
          <w:bCs/>
          <w:color w:val="auto"/>
          <w:szCs w:val="21"/>
          <w:highlight w:val="none"/>
        </w:rPr>
        <w:t>5.2发包人提供的材料和工程设备</w:t>
      </w:r>
      <w:bookmarkEnd w:id="1590"/>
      <w:bookmarkEnd w:id="1591"/>
    </w:p>
    <w:p w14:paraId="551952BC">
      <w:pPr>
        <w:widowControl w:val="0"/>
        <w:wordWrap w:val="0"/>
        <w:spacing w:line="360" w:lineRule="auto"/>
        <w:ind w:firstLine="420" w:firstLineChars="200"/>
        <w:contextualSpacing w:val="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5.2.1发包人提供的材料：</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color w:val="auto"/>
          <w:sz w:val="21"/>
          <w:szCs w:val="21"/>
          <w:highlight w:val="none"/>
        </w:rPr>
        <w:t>。工程设备：</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color w:val="auto"/>
          <w:sz w:val="21"/>
          <w:szCs w:val="21"/>
          <w:highlight w:val="none"/>
        </w:rPr>
        <w:t>。</w:t>
      </w:r>
    </w:p>
    <w:p w14:paraId="3B77885C">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614" w:name="_Toc30749"/>
      <w:r>
        <w:rPr>
          <w:rFonts w:hint="eastAsia" w:ascii="宋体" w:hAnsi="宋体" w:eastAsia="宋体" w:cs="宋体"/>
          <w:b/>
          <w:bCs/>
          <w:color w:val="auto"/>
          <w:sz w:val="21"/>
          <w:szCs w:val="21"/>
          <w:highlight w:val="none"/>
        </w:rPr>
        <w:t>6 施工设备和临时设施</w:t>
      </w:r>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14"/>
    </w:p>
    <w:p w14:paraId="7BF0C02D">
      <w:pPr>
        <w:widowControl w:val="0"/>
        <w:wordWrap w:val="0"/>
        <w:spacing w:line="360" w:lineRule="auto"/>
        <w:ind w:firstLine="420" w:firstLineChars="200"/>
        <w:jc w:val="left"/>
        <w:rPr>
          <w:rFonts w:hint="eastAsia" w:ascii="宋体" w:hAnsi="宋体" w:eastAsia="宋体" w:cs="宋体"/>
          <w:color w:val="auto"/>
          <w:szCs w:val="21"/>
          <w:highlight w:val="none"/>
        </w:rPr>
      </w:pPr>
      <w:bookmarkStart w:id="1615" w:name="_Toc221951167"/>
      <w:r>
        <w:rPr>
          <w:rFonts w:hint="eastAsia" w:ascii="宋体" w:hAnsi="宋体" w:eastAsia="宋体" w:cs="宋体"/>
          <w:color w:val="auto"/>
          <w:szCs w:val="21"/>
          <w:highlight w:val="none"/>
        </w:rPr>
        <w:t>6.2 发包人提供的施工设备和临时设施</w:t>
      </w:r>
      <w:bookmarkEnd w:id="1615"/>
    </w:p>
    <w:p w14:paraId="1321FBB5">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rPr>
      </w:pPr>
      <w:bookmarkStart w:id="1616" w:name="_Toc221951169"/>
      <w:r>
        <w:rPr>
          <w:rFonts w:hint="eastAsia" w:ascii="宋体" w:hAnsi="宋体" w:eastAsia="宋体" w:cs="宋体"/>
          <w:color w:val="auto"/>
          <w:sz w:val="21"/>
          <w:szCs w:val="21"/>
          <w:highlight w:val="none"/>
        </w:rPr>
        <w:t>6.2.1 发包人</w:t>
      </w:r>
      <w:r>
        <w:rPr>
          <w:rFonts w:hint="eastAsia" w:ascii="宋体" w:hAnsi="宋体" w:eastAsia="宋体" w:cs="宋体"/>
          <w:color w:val="auto"/>
          <w:sz w:val="21"/>
          <w:szCs w:val="21"/>
          <w:highlight w:val="none"/>
          <w:lang w:eastAsia="zh-CN"/>
        </w:rPr>
        <w:t>提供的</w:t>
      </w:r>
      <w:r>
        <w:rPr>
          <w:rFonts w:hint="eastAsia" w:ascii="宋体" w:hAnsi="宋体" w:eastAsia="宋体" w:cs="宋体"/>
          <w:color w:val="auto"/>
          <w:sz w:val="21"/>
          <w:szCs w:val="21"/>
          <w:highlight w:val="none"/>
        </w:rPr>
        <w:t>施工设备</w:t>
      </w:r>
      <w:bookmarkEnd w:id="1616"/>
      <w:r>
        <w:rPr>
          <w:rFonts w:hint="eastAsia" w:ascii="宋体" w:hAnsi="宋体" w:eastAsia="宋体" w:cs="宋体"/>
          <w:color w:val="auto"/>
          <w:sz w:val="21"/>
          <w:szCs w:val="21"/>
          <w:highlight w:val="none"/>
        </w:rPr>
        <w:t>：</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color w:val="auto"/>
          <w:sz w:val="21"/>
          <w:szCs w:val="21"/>
          <w:highlight w:val="none"/>
        </w:rPr>
        <w:t>。</w:t>
      </w:r>
    </w:p>
    <w:p w14:paraId="255D5C56">
      <w:pPr>
        <w:widowControl w:val="0"/>
        <w:wordWrap w:val="0"/>
        <w:spacing w:line="360" w:lineRule="auto"/>
        <w:ind w:firstLine="420" w:firstLineChars="200"/>
        <w:contextualSpacing w:val="0"/>
        <w:jc w:val="left"/>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6.2.2 发包人提供的临时设施：</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color w:val="auto"/>
          <w:sz w:val="21"/>
          <w:szCs w:val="21"/>
          <w:highlight w:val="none"/>
        </w:rPr>
        <w:t>。</w:t>
      </w:r>
    </w:p>
    <w:p w14:paraId="19092819">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617" w:name="_Toc3451228"/>
      <w:bookmarkStart w:id="1618" w:name="_Toc267492142"/>
      <w:bookmarkStart w:id="1619" w:name="_Toc427509446"/>
      <w:bookmarkStart w:id="1620" w:name="_Toc2395"/>
      <w:bookmarkStart w:id="1621" w:name="_Toc332378905"/>
      <w:bookmarkStart w:id="1622" w:name="_Toc268299802"/>
      <w:bookmarkStart w:id="1623" w:name="_Toc22277"/>
      <w:bookmarkStart w:id="1624" w:name="_Toc27317"/>
      <w:bookmarkStart w:id="1625" w:name="_Toc21744"/>
      <w:bookmarkStart w:id="1626" w:name="_Toc30102"/>
      <w:bookmarkStart w:id="1627" w:name="_Toc271870480"/>
      <w:bookmarkStart w:id="1628" w:name="_Toc427509946"/>
      <w:r>
        <w:rPr>
          <w:rFonts w:hint="eastAsia" w:ascii="宋体" w:hAnsi="宋体" w:eastAsia="宋体" w:cs="宋体"/>
          <w:b/>
          <w:bCs/>
          <w:color w:val="auto"/>
          <w:sz w:val="21"/>
          <w:szCs w:val="21"/>
          <w:highlight w:val="none"/>
        </w:rPr>
        <w:t>7 交通运输</w:t>
      </w:r>
      <w:bookmarkEnd w:id="1609"/>
      <w:bookmarkEnd w:id="1610"/>
      <w:bookmarkEnd w:id="1611"/>
      <w:bookmarkEnd w:id="1612"/>
      <w:bookmarkEnd w:id="1613"/>
      <w:bookmarkEnd w:id="1617"/>
      <w:bookmarkEnd w:id="1618"/>
      <w:bookmarkEnd w:id="1619"/>
      <w:bookmarkEnd w:id="1620"/>
      <w:bookmarkEnd w:id="1621"/>
      <w:bookmarkEnd w:id="1622"/>
      <w:bookmarkEnd w:id="1623"/>
      <w:bookmarkEnd w:id="1624"/>
      <w:bookmarkEnd w:id="1625"/>
      <w:bookmarkEnd w:id="1626"/>
      <w:bookmarkEnd w:id="1627"/>
      <w:bookmarkEnd w:id="1628"/>
    </w:p>
    <w:p w14:paraId="5E1B34C9">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629" w:name="_Toc221951179"/>
      <w:r>
        <w:rPr>
          <w:rFonts w:hint="eastAsia" w:ascii="宋体" w:hAnsi="宋体" w:eastAsia="宋体" w:cs="宋体"/>
          <w:b/>
          <w:bCs/>
          <w:color w:val="auto"/>
          <w:szCs w:val="21"/>
          <w:highlight w:val="none"/>
        </w:rPr>
        <w:t>7.1 道路通行权和场外设施</w:t>
      </w:r>
      <w:bookmarkEnd w:id="1629"/>
    </w:p>
    <w:p w14:paraId="49B0F9C2">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道路通行权和场外设施的约定</w:t>
      </w:r>
      <w:r>
        <w:rPr>
          <w:rFonts w:hint="eastAsia" w:ascii="宋体" w:hAnsi="宋体" w:eastAsia="宋体" w:cs="宋体"/>
          <w:color w:val="auto"/>
          <w:kern w:val="2"/>
          <w:sz w:val="21"/>
          <w:szCs w:val="21"/>
          <w:highlight w:val="none"/>
        </w:rPr>
        <w:t>：</w:t>
      </w:r>
      <w:r>
        <w:rPr>
          <w:rFonts w:hint="eastAsia" w:ascii="宋体" w:hAnsi="宋体" w:eastAsia="宋体" w:cs="宋体"/>
          <w:color w:val="auto"/>
          <w:sz w:val="21"/>
          <w:szCs w:val="21"/>
          <w:highlight w:val="none"/>
          <w:u w:val="single"/>
        </w:rPr>
        <w:t xml:space="preserve">  由承包人自行办理并承担相关费用  </w:t>
      </w:r>
      <w:r>
        <w:rPr>
          <w:rFonts w:hint="eastAsia" w:ascii="宋体" w:hAnsi="宋体" w:eastAsia="宋体" w:cs="宋体"/>
          <w:color w:val="auto"/>
          <w:sz w:val="21"/>
          <w:szCs w:val="21"/>
          <w:highlight w:val="none"/>
        </w:rPr>
        <w:t>。</w:t>
      </w:r>
    </w:p>
    <w:p w14:paraId="78C79EDB">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630" w:name="_Toc14707"/>
      <w:bookmarkStart w:id="1631" w:name="_Toc271870481"/>
      <w:bookmarkStart w:id="1632" w:name="_Toc28898"/>
      <w:bookmarkStart w:id="1633" w:name="_Toc9529"/>
      <w:bookmarkStart w:id="1634" w:name="_Toc332378906"/>
      <w:bookmarkStart w:id="1635" w:name="_Toc427509947"/>
      <w:bookmarkStart w:id="1636" w:name="_Toc268299803"/>
      <w:bookmarkStart w:id="1637" w:name="_Toc30094"/>
      <w:bookmarkStart w:id="1638" w:name="_Toc267492143"/>
      <w:bookmarkStart w:id="1639" w:name="_Toc3451229"/>
      <w:bookmarkStart w:id="1640" w:name="_Toc8340"/>
      <w:bookmarkStart w:id="1641" w:name="_Toc427509447"/>
      <w:r>
        <w:rPr>
          <w:rFonts w:hint="eastAsia" w:ascii="宋体" w:hAnsi="宋体" w:eastAsia="宋体" w:cs="宋体"/>
          <w:b/>
          <w:bCs/>
          <w:color w:val="auto"/>
          <w:sz w:val="21"/>
          <w:szCs w:val="21"/>
          <w:highlight w:val="none"/>
        </w:rPr>
        <w:t>8 测量放线</w:t>
      </w:r>
      <w:bookmarkEnd w:id="1630"/>
      <w:bookmarkEnd w:id="1631"/>
      <w:bookmarkEnd w:id="1632"/>
      <w:bookmarkEnd w:id="1633"/>
      <w:bookmarkEnd w:id="1634"/>
      <w:bookmarkEnd w:id="1635"/>
      <w:bookmarkEnd w:id="1636"/>
      <w:bookmarkEnd w:id="1637"/>
      <w:bookmarkEnd w:id="1638"/>
      <w:bookmarkEnd w:id="1639"/>
      <w:bookmarkEnd w:id="1640"/>
      <w:bookmarkEnd w:id="1641"/>
    </w:p>
    <w:p w14:paraId="6B152539">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8.1 施工控制网</w:t>
      </w:r>
    </w:p>
    <w:p w14:paraId="5405EF4E">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8.1.1施工控制网的约定：</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p>
    <w:p w14:paraId="779185F2">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642" w:name="_Toc267492144"/>
      <w:bookmarkStart w:id="1643" w:name="_Toc21426"/>
      <w:bookmarkStart w:id="1644" w:name="_Toc21430"/>
      <w:bookmarkStart w:id="1645" w:name="_Toc427509448"/>
      <w:bookmarkStart w:id="1646" w:name="_Toc271870482"/>
      <w:bookmarkStart w:id="1647" w:name="_Toc427509948"/>
      <w:bookmarkStart w:id="1648" w:name="_Toc332378907"/>
      <w:bookmarkStart w:id="1649" w:name="_Toc31284"/>
      <w:bookmarkStart w:id="1650" w:name="_Toc268299804"/>
      <w:bookmarkStart w:id="1651" w:name="_Toc3451230"/>
      <w:bookmarkStart w:id="1652" w:name="_Toc30717"/>
      <w:bookmarkStart w:id="1653" w:name="_Toc561"/>
      <w:r>
        <w:rPr>
          <w:rFonts w:hint="eastAsia" w:ascii="宋体" w:hAnsi="宋体" w:eastAsia="宋体" w:cs="宋体"/>
          <w:b/>
          <w:bCs/>
          <w:color w:val="auto"/>
          <w:sz w:val="21"/>
          <w:szCs w:val="21"/>
          <w:highlight w:val="none"/>
        </w:rPr>
        <w:t>9 施工安全、治安保卫和环境保护</w:t>
      </w:r>
      <w:bookmarkEnd w:id="1642"/>
      <w:bookmarkEnd w:id="1643"/>
      <w:bookmarkEnd w:id="1644"/>
      <w:bookmarkEnd w:id="1645"/>
      <w:bookmarkEnd w:id="1646"/>
      <w:bookmarkEnd w:id="1647"/>
      <w:bookmarkEnd w:id="1648"/>
      <w:bookmarkEnd w:id="1649"/>
      <w:bookmarkEnd w:id="1650"/>
      <w:bookmarkEnd w:id="1651"/>
      <w:bookmarkEnd w:id="1652"/>
      <w:bookmarkEnd w:id="1653"/>
    </w:p>
    <w:p w14:paraId="2F8931C4">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9.1 发包人的施工安全责任</w:t>
      </w:r>
    </w:p>
    <w:p w14:paraId="5233FE4B">
      <w:pPr>
        <w:widowControl w:val="0"/>
        <w:wordWrap w:val="0"/>
        <w:autoSpaceDE/>
        <w:autoSpaceDN/>
        <w:spacing w:line="360" w:lineRule="auto"/>
        <w:ind w:firstLine="420" w:firstLineChars="200"/>
        <w:contextualSpacing w:val="0"/>
        <w:jc w:val="left"/>
        <w:outlineLvl w:val="9"/>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9.1.4 发包人提供</w:t>
      </w:r>
      <w:r>
        <w:rPr>
          <w:rFonts w:hint="eastAsia" w:ascii="宋体" w:hAnsi="宋体" w:eastAsia="宋体" w:cs="宋体"/>
          <w:color w:val="auto"/>
          <w:sz w:val="21"/>
          <w:szCs w:val="21"/>
          <w:highlight w:val="none"/>
          <w:u w:val="single"/>
        </w:rPr>
        <w:t xml:space="preserve">  合同工程设计范围内的有关勘测成果  </w:t>
      </w:r>
      <w:r>
        <w:rPr>
          <w:rFonts w:hint="eastAsia" w:ascii="宋体" w:hAnsi="宋体" w:eastAsia="宋体" w:cs="宋体"/>
          <w:color w:val="auto"/>
          <w:sz w:val="21"/>
          <w:szCs w:val="21"/>
          <w:highlight w:val="none"/>
        </w:rPr>
        <w:t>资料，其余资料由承包人负责收集。</w:t>
      </w:r>
    </w:p>
    <w:p w14:paraId="591ABE71">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9.2 承包人的施工安全责任</w:t>
      </w:r>
    </w:p>
    <w:p w14:paraId="31350B2B">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9.2.12 下列工程应编制专项施工方案：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危险性较大的分部分项工程和施工管理专项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。其中</w:t>
      </w:r>
      <w:r>
        <w:rPr>
          <w:rFonts w:hint="eastAsia" w:ascii="宋体" w:hAnsi="宋体" w:eastAsia="宋体" w:cs="宋体"/>
          <w:color w:val="auto"/>
          <w:sz w:val="21"/>
          <w:szCs w:val="21"/>
          <w:highlight w:val="none"/>
          <w:u w:val="single"/>
        </w:rPr>
        <w:t xml:space="preserve"> 重要和关键工程项目 </w:t>
      </w:r>
      <w:r>
        <w:rPr>
          <w:rFonts w:hint="eastAsia" w:ascii="宋体" w:hAnsi="宋体" w:eastAsia="宋体" w:cs="宋体"/>
          <w:color w:val="auto"/>
          <w:sz w:val="21"/>
          <w:szCs w:val="21"/>
          <w:highlight w:val="none"/>
        </w:rPr>
        <w:t>应组织专家论证和审查。</w:t>
      </w:r>
    </w:p>
    <w:p w14:paraId="4BD98CD1">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9.2.13 施工安全控制目标：无责任死亡事故发生，杜绝重大机械设备事故、重大火灾事故、特大交通事故、重大垮（塌）事故。</w:t>
      </w:r>
    </w:p>
    <w:p w14:paraId="41918427">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9.7 文明工地</w:t>
      </w:r>
    </w:p>
    <w:p w14:paraId="7323DD1E">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9.7.1本合同文明工地的约定：承包人应按国家有关规定制定的“文明工地标准”文明施工，创建文明建设工地。</w:t>
      </w:r>
    </w:p>
    <w:p w14:paraId="405CAB5C">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654" w:name="_Toc3451231"/>
      <w:bookmarkStart w:id="1655" w:name="_Toc6804"/>
      <w:bookmarkStart w:id="1656" w:name="_Toc427509949"/>
      <w:bookmarkStart w:id="1657" w:name="_Toc222033887"/>
      <w:bookmarkStart w:id="1658" w:name="_Toc267492145"/>
      <w:bookmarkStart w:id="1659" w:name="_Toc222029536"/>
      <w:bookmarkStart w:id="1660" w:name="_Toc30774"/>
      <w:bookmarkStart w:id="1661" w:name="_Toc28259"/>
      <w:bookmarkStart w:id="1662" w:name="_Toc271870483"/>
      <w:bookmarkStart w:id="1663" w:name="_Toc221951188"/>
      <w:bookmarkStart w:id="1664" w:name="_Toc222031038"/>
      <w:bookmarkStart w:id="1665" w:name="_Toc427509449"/>
      <w:bookmarkStart w:id="1666" w:name="_Toc229305394"/>
      <w:bookmarkStart w:id="1667" w:name="_Toc332378908"/>
      <w:bookmarkStart w:id="1668" w:name="_Toc222032705"/>
      <w:bookmarkStart w:id="1669" w:name="_Toc22974"/>
      <w:bookmarkStart w:id="1670" w:name="_Toc268299805"/>
      <w:bookmarkStart w:id="1671" w:name="_Toc27060"/>
      <w:r>
        <w:rPr>
          <w:rFonts w:hint="eastAsia" w:ascii="宋体" w:hAnsi="宋体" w:eastAsia="宋体" w:cs="宋体"/>
          <w:b/>
          <w:bCs/>
          <w:color w:val="auto"/>
          <w:sz w:val="21"/>
          <w:szCs w:val="21"/>
          <w:highlight w:val="none"/>
        </w:rPr>
        <w:t>11 开工和竣工</w:t>
      </w:r>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p>
    <w:p w14:paraId="53ADB13F">
      <w:pPr>
        <w:widowControl w:val="0"/>
        <w:wordWrap w:val="0"/>
        <w:spacing w:line="360" w:lineRule="auto"/>
        <w:ind w:firstLine="0" w:firstLineChars="0"/>
        <w:jc w:val="left"/>
        <w:rPr>
          <w:rFonts w:hint="eastAsia" w:ascii="宋体" w:hAnsi="宋体" w:eastAsia="宋体" w:cs="宋体"/>
          <w:color w:val="auto"/>
          <w:szCs w:val="21"/>
          <w:highlight w:val="none"/>
        </w:rPr>
      </w:pPr>
      <w:bookmarkStart w:id="1672" w:name="_Toc221951198"/>
      <w:r>
        <w:rPr>
          <w:rFonts w:hint="eastAsia" w:ascii="宋体" w:hAnsi="宋体" w:eastAsia="宋体" w:cs="宋体"/>
          <w:b/>
          <w:bCs/>
          <w:color w:val="auto"/>
          <w:szCs w:val="21"/>
          <w:highlight w:val="none"/>
        </w:rPr>
        <w:t>11.5 承包人</w:t>
      </w:r>
      <w:r>
        <w:rPr>
          <w:rFonts w:hint="eastAsia" w:ascii="宋体" w:hAnsi="宋体" w:eastAsia="宋体" w:cs="宋体"/>
          <w:b/>
          <w:bCs/>
          <w:szCs w:val="21"/>
          <w:lang w:val="en-US" w:eastAsia="zh-CN"/>
        </w:rPr>
        <w:t>的</w:t>
      </w:r>
      <w:r>
        <w:rPr>
          <w:rFonts w:hint="eastAsia" w:ascii="宋体" w:hAnsi="宋体" w:eastAsia="宋体" w:cs="宋体"/>
          <w:b/>
          <w:bCs/>
          <w:color w:val="auto"/>
          <w:szCs w:val="21"/>
          <w:highlight w:val="none"/>
        </w:rPr>
        <w:t>工期延误</w:t>
      </w:r>
      <w:bookmarkEnd w:id="1672"/>
    </w:p>
    <w:p w14:paraId="779453E2">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673" w:name="_Toc221951200"/>
      <w:r>
        <w:rPr>
          <w:rFonts w:hint="eastAsia" w:ascii="宋体" w:hAnsi="宋体" w:eastAsia="宋体" w:cs="宋体"/>
          <w:color w:val="auto"/>
          <w:sz w:val="21"/>
          <w:szCs w:val="21"/>
          <w:highlight w:val="none"/>
        </w:rPr>
        <w:t>承包人未能按要求的完工日期完工时，逾期完工违约金按1000元/天计，全部逾期竣工违约金的总限额为不超过合同价格的10</w:t>
      </w:r>
      <w:r>
        <w:rPr>
          <w:rFonts w:hint="eastAsia" w:ascii="宋体" w:hAnsi="宋体" w:eastAsia="宋体" w:cs="宋体"/>
          <w:sz w:val="21"/>
          <w:szCs w:val="21"/>
          <w:lang w:eastAsia="zh-CN"/>
        </w:rPr>
        <w:t>%</w:t>
      </w:r>
      <w:r>
        <w:rPr>
          <w:rFonts w:hint="eastAsia" w:ascii="宋体" w:hAnsi="宋体" w:eastAsia="宋体" w:cs="宋体"/>
          <w:color w:val="auto"/>
          <w:sz w:val="21"/>
          <w:szCs w:val="21"/>
          <w:highlight w:val="none"/>
        </w:rPr>
        <w:t>。</w:t>
      </w:r>
    </w:p>
    <w:bookmarkEnd w:id="1673"/>
    <w:p w14:paraId="5BA88F57">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11.6 工期提前</w:t>
      </w:r>
    </w:p>
    <w:p w14:paraId="5DE4848B">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工期提前的奖金约定：</w:t>
      </w:r>
      <w:r>
        <w:rPr>
          <w:rFonts w:hint="eastAsia" w:ascii="宋体" w:hAnsi="宋体" w:eastAsia="宋体" w:cs="宋体"/>
          <w:color w:val="auto"/>
          <w:sz w:val="21"/>
          <w:szCs w:val="21"/>
          <w:highlight w:val="none"/>
          <w:u w:val="none"/>
        </w:rPr>
        <w:t>发包人不支付提前完工奖金</w:t>
      </w:r>
      <w:r>
        <w:rPr>
          <w:rFonts w:hint="eastAsia" w:ascii="宋体" w:hAnsi="宋体" w:eastAsia="宋体" w:cs="宋体"/>
          <w:color w:val="auto"/>
          <w:sz w:val="21"/>
          <w:szCs w:val="21"/>
          <w:highlight w:val="none"/>
        </w:rPr>
        <w:t>。</w:t>
      </w:r>
    </w:p>
    <w:p w14:paraId="7D23103E">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674" w:name="_Toc222031039"/>
      <w:bookmarkStart w:id="1675" w:name="_Toc3451232"/>
      <w:bookmarkStart w:id="1676" w:name="_Toc25177"/>
      <w:bookmarkStart w:id="1677" w:name="_Toc267492146"/>
      <w:bookmarkStart w:id="1678" w:name="_Toc427509450"/>
      <w:bookmarkStart w:id="1679" w:name="_Toc229305395"/>
      <w:bookmarkStart w:id="1680" w:name="_Toc222032706"/>
      <w:bookmarkStart w:id="1681" w:name="_Toc332378909"/>
      <w:bookmarkStart w:id="1682" w:name="_Toc22761"/>
      <w:bookmarkStart w:id="1683" w:name="_Toc18701"/>
      <w:bookmarkStart w:id="1684" w:name="_Toc222033888"/>
      <w:bookmarkStart w:id="1685" w:name="_Toc271870484"/>
      <w:bookmarkStart w:id="1686" w:name="_Toc222029537"/>
      <w:bookmarkStart w:id="1687" w:name="_Toc12760"/>
      <w:bookmarkStart w:id="1688" w:name="_Toc221951206"/>
      <w:bookmarkStart w:id="1689" w:name="_Toc268299806"/>
      <w:bookmarkStart w:id="1690" w:name="_Toc427509950"/>
      <w:bookmarkStart w:id="1691" w:name="_Toc1250"/>
      <w:r>
        <w:rPr>
          <w:rFonts w:hint="eastAsia" w:ascii="宋体" w:hAnsi="宋体" w:eastAsia="宋体" w:cs="宋体"/>
          <w:b/>
          <w:bCs/>
          <w:color w:val="auto"/>
          <w:sz w:val="21"/>
          <w:szCs w:val="21"/>
          <w:highlight w:val="none"/>
        </w:rPr>
        <w:t>12 暂停施工</w:t>
      </w:r>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p>
    <w:p w14:paraId="4F8D0E15">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692" w:name="_Toc221951207"/>
      <w:r>
        <w:rPr>
          <w:rFonts w:hint="eastAsia" w:ascii="宋体" w:hAnsi="宋体" w:eastAsia="宋体" w:cs="宋体"/>
          <w:b/>
          <w:bCs/>
          <w:color w:val="auto"/>
          <w:szCs w:val="21"/>
          <w:highlight w:val="none"/>
        </w:rPr>
        <w:t>12.1 承包人暂停施工的责任</w:t>
      </w:r>
      <w:bookmarkEnd w:id="1692"/>
    </w:p>
    <w:p w14:paraId="07E966D6">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693" w:name="_Toc221951209"/>
      <w:r>
        <w:rPr>
          <w:rFonts w:hint="eastAsia" w:ascii="宋体" w:hAnsi="宋体" w:eastAsia="宋体" w:cs="宋体"/>
          <w:color w:val="auto"/>
          <w:sz w:val="21"/>
          <w:szCs w:val="21"/>
          <w:highlight w:val="none"/>
        </w:rPr>
        <w:t>(5) 承包人承担暂停施工责任的其它情形：</w:t>
      </w:r>
      <w:bookmarkEnd w:id="1693"/>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F17AC8F">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12.2 发包人暂停施工的责任</w:t>
      </w:r>
    </w:p>
    <w:p w14:paraId="51DEA2FE">
      <w:pPr>
        <w:widowControl w:val="0"/>
        <w:wordWrap w:val="0"/>
        <w:spacing w:line="360" w:lineRule="auto"/>
        <w:ind w:firstLine="420" w:firstLineChars="200"/>
        <w:contextualSpacing w:val="0"/>
        <w:jc w:val="lef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(3) 发包人承担暂停施工责任</w:t>
      </w:r>
      <w:r>
        <w:rPr>
          <w:rFonts w:hint="eastAsia" w:ascii="宋体" w:hAnsi="宋体" w:eastAsia="宋体" w:cs="宋体"/>
          <w:color w:val="auto"/>
          <w:sz w:val="21"/>
          <w:szCs w:val="21"/>
          <w:highlight w:val="none"/>
        </w:rPr>
        <w:t>的其它情形</w:t>
      </w:r>
      <w:r>
        <w:rPr>
          <w:rFonts w:hint="eastAsia" w:ascii="宋体" w:hAnsi="宋体" w:eastAsia="宋体" w:cs="宋体"/>
          <w:bCs w:val="0"/>
          <w:color w:val="auto"/>
          <w:sz w:val="21"/>
          <w:szCs w:val="21"/>
          <w:highlight w:val="none"/>
        </w:rPr>
        <w:t>：</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color w:val="auto"/>
          <w:sz w:val="21"/>
          <w:szCs w:val="21"/>
          <w:highlight w:val="none"/>
        </w:rPr>
        <w:t>。</w:t>
      </w:r>
    </w:p>
    <w:p w14:paraId="2B5337D7">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694" w:name="_Toc15327"/>
      <w:bookmarkStart w:id="1695" w:name="_Toc427509451"/>
      <w:bookmarkStart w:id="1696" w:name="_Toc24031"/>
      <w:bookmarkStart w:id="1697" w:name="_Toc267492147"/>
      <w:bookmarkStart w:id="1698" w:name="_Toc12172"/>
      <w:bookmarkStart w:id="1699" w:name="_Toc4851"/>
      <w:bookmarkStart w:id="1700" w:name="_Toc332378910"/>
      <w:bookmarkStart w:id="1701" w:name="_Toc427509951"/>
      <w:bookmarkStart w:id="1702" w:name="_Toc23398"/>
      <w:bookmarkStart w:id="1703" w:name="_Toc271870485"/>
      <w:bookmarkStart w:id="1704" w:name="_Toc3451233"/>
      <w:bookmarkStart w:id="1705" w:name="_Toc268299807"/>
      <w:r>
        <w:rPr>
          <w:rFonts w:hint="eastAsia" w:ascii="宋体" w:hAnsi="宋体" w:eastAsia="宋体" w:cs="宋体"/>
          <w:b/>
          <w:bCs/>
          <w:color w:val="auto"/>
          <w:sz w:val="21"/>
          <w:szCs w:val="21"/>
          <w:highlight w:val="none"/>
        </w:rPr>
        <w:t>13 工程质量</w:t>
      </w:r>
      <w:bookmarkEnd w:id="1694"/>
      <w:bookmarkEnd w:id="1695"/>
      <w:bookmarkEnd w:id="1696"/>
      <w:bookmarkEnd w:id="1697"/>
      <w:bookmarkEnd w:id="1698"/>
      <w:bookmarkEnd w:id="1699"/>
      <w:bookmarkEnd w:id="1700"/>
      <w:bookmarkEnd w:id="1701"/>
      <w:bookmarkEnd w:id="1702"/>
      <w:bookmarkEnd w:id="1703"/>
      <w:bookmarkEnd w:id="1704"/>
      <w:bookmarkEnd w:id="1705"/>
    </w:p>
    <w:p w14:paraId="24C37A9C">
      <w:pPr>
        <w:widowControl w:val="0"/>
        <w:wordWrap w:val="0"/>
        <w:spacing w:line="360" w:lineRule="auto"/>
        <w:ind w:firstLine="0" w:firstLineChars="0"/>
        <w:jc w:val="left"/>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13.1 工程质量要求</w:t>
      </w:r>
    </w:p>
    <w:p w14:paraId="6BEAA940">
      <w:pPr>
        <w:widowControl w:val="0"/>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rPr>
        <w:t>13.1</w:t>
      </w:r>
      <w:r>
        <w:rPr>
          <w:rFonts w:hint="eastAsia" w:ascii="宋体" w:hAnsi="宋体" w:eastAsia="宋体" w:cs="宋体"/>
          <w:b w:val="0"/>
          <w:bCs w:val="0"/>
          <w:sz w:val="21"/>
          <w:szCs w:val="21"/>
          <w:lang w:val="en-US" w:eastAsia="zh-CN"/>
        </w:rPr>
        <w:t>.3</w:t>
      </w:r>
      <w:r>
        <w:rPr>
          <w:rFonts w:hint="eastAsia" w:ascii="宋体" w:hAnsi="宋体" w:eastAsia="宋体" w:cs="宋体"/>
          <w:b w:val="0"/>
          <w:bCs w:val="0"/>
          <w:color w:val="auto"/>
          <w:sz w:val="21"/>
          <w:szCs w:val="21"/>
          <w:highlight w:val="none"/>
          <w:lang w:eastAsia="zh-CN"/>
        </w:rPr>
        <w:t>施工质量控制目标：</w:t>
      </w:r>
      <w:r>
        <w:rPr>
          <w:rFonts w:hint="eastAsia" w:ascii="宋体" w:hAnsi="宋体" w:eastAsia="宋体" w:cs="宋体"/>
          <w:color w:val="auto"/>
          <w:sz w:val="21"/>
          <w:szCs w:val="21"/>
          <w:highlight w:val="none"/>
          <w:u w:val="single"/>
          <w:lang w:eastAsia="zh-CN"/>
        </w:rPr>
        <w:t>工程质量全部合格</w:t>
      </w:r>
      <w:r>
        <w:rPr>
          <w:rFonts w:hint="eastAsia" w:ascii="宋体" w:hAnsi="宋体" w:eastAsia="宋体" w:cs="宋体"/>
          <w:color w:val="auto"/>
          <w:sz w:val="21"/>
          <w:szCs w:val="21"/>
          <w:highlight w:val="none"/>
          <w:lang w:eastAsia="zh-CN"/>
        </w:rPr>
        <w:t>；</w:t>
      </w:r>
    </w:p>
    <w:p w14:paraId="01FB6F40">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13.7 质量评定</w:t>
      </w:r>
    </w:p>
    <w:p w14:paraId="69DA8EEF">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13.7.4 重要隐蔽单元工程和关键部位单元工程质量评定的约定：</w:t>
      </w:r>
      <w:r>
        <w:rPr>
          <w:rFonts w:hint="eastAsia" w:ascii="宋体" w:hAnsi="宋体" w:eastAsia="宋体" w:cs="宋体"/>
          <w:color w:val="auto"/>
          <w:sz w:val="21"/>
          <w:szCs w:val="21"/>
          <w:highlight w:val="none"/>
          <w:u w:val="single"/>
        </w:rPr>
        <w:t xml:space="preserve"> 合格率100</w:t>
      </w:r>
      <w:r>
        <w:rPr>
          <w:rFonts w:hint="eastAsia" w:ascii="宋体" w:hAnsi="宋体" w:eastAsia="宋体" w:cs="宋体"/>
          <w:sz w:val="21"/>
          <w:szCs w:val="21"/>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，且未发生过质量事故</w:t>
      </w:r>
      <w:r>
        <w:rPr>
          <w:rFonts w:hint="eastAsia" w:ascii="宋体" w:hAnsi="宋体" w:eastAsia="宋体" w:cs="宋体"/>
          <w:color w:val="auto"/>
          <w:sz w:val="21"/>
          <w:szCs w:val="21"/>
          <w:highlight w:val="none"/>
        </w:rPr>
        <w:t>。</w:t>
      </w:r>
    </w:p>
    <w:p w14:paraId="20C8E4AA">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13.7.7 工程合格标准为：</w:t>
      </w:r>
      <w:r>
        <w:rPr>
          <w:rFonts w:hint="eastAsia" w:ascii="宋体" w:hAnsi="宋体" w:eastAsia="宋体" w:cs="宋体"/>
          <w:color w:val="auto"/>
          <w:sz w:val="21"/>
          <w:szCs w:val="21"/>
          <w:highlight w:val="none"/>
          <w:u w:val="none"/>
        </w:rPr>
        <w:t>达到</w:t>
      </w:r>
      <w:r>
        <w:rPr>
          <w:rFonts w:hint="eastAsia" w:ascii="宋体" w:hAnsi="宋体" w:eastAsia="宋体" w:cs="宋体"/>
          <w:bCs w:val="0"/>
          <w:color w:val="auto"/>
          <w:sz w:val="21"/>
          <w:szCs w:val="21"/>
          <w:highlight w:val="none"/>
          <w:u w:val="none"/>
        </w:rPr>
        <w:t>《</w:t>
      </w:r>
      <w:r>
        <w:rPr>
          <w:rFonts w:hint="eastAsia" w:ascii="宋体" w:hAnsi="宋体" w:eastAsia="宋体" w:cs="宋体"/>
          <w:bCs w:val="0"/>
          <w:color w:val="auto"/>
          <w:sz w:val="21"/>
          <w:szCs w:val="21"/>
          <w:highlight w:val="none"/>
          <w:u w:val="none"/>
          <w:lang w:eastAsia="zh-CN"/>
        </w:rPr>
        <w:t>水利水电建设工程验收规程</w:t>
      </w:r>
      <w:r>
        <w:rPr>
          <w:rFonts w:hint="eastAsia" w:ascii="宋体" w:hAnsi="宋体" w:eastAsia="宋体" w:cs="宋体"/>
          <w:bCs w:val="0"/>
          <w:color w:val="auto"/>
          <w:sz w:val="21"/>
          <w:szCs w:val="21"/>
          <w:highlight w:val="none"/>
          <w:u w:val="none"/>
        </w:rPr>
        <w:t>》（</w:t>
      </w:r>
      <w:r>
        <w:rPr>
          <w:rFonts w:hint="eastAsia" w:ascii="宋体" w:hAnsi="宋体" w:eastAsia="宋体" w:cs="宋体"/>
          <w:bCs w:val="0"/>
          <w:color w:val="auto"/>
          <w:sz w:val="21"/>
          <w:szCs w:val="21"/>
          <w:highlight w:val="none"/>
          <w:u w:val="none"/>
          <w:lang w:eastAsia="zh-CN"/>
        </w:rPr>
        <w:t>SL/T 223-2025</w:t>
      </w:r>
      <w:r>
        <w:rPr>
          <w:rFonts w:hint="eastAsia" w:ascii="宋体" w:hAnsi="宋体" w:eastAsia="宋体" w:cs="宋体"/>
          <w:bCs w:val="0"/>
          <w:color w:val="auto"/>
          <w:sz w:val="21"/>
          <w:szCs w:val="21"/>
          <w:highlight w:val="none"/>
          <w:u w:val="none"/>
        </w:rPr>
        <w:t>）合格标准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none"/>
        </w:rPr>
        <w:t>工程质量全部合格</w:t>
      </w:r>
      <w:r>
        <w:rPr>
          <w:rFonts w:hint="eastAsia" w:ascii="宋体" w:hAnsi="宋体" w:eastAsia="宋体" w:cs="宋体"/>
          <w:color w:val="auto"/>
          <w:sz w:val="21"/>
          <w:szCs w:val="21"/>
          <w:highlight w:val="none"/>
        </w:rPr>
        <w:t>；优良标准为：</w:t>
      </w:r>
      <w:r>
        <w:rPr>
          <w:rFonts w:hint="eastAsia" w:ascii="宋体" w:hAnsi="宋体" w:eastAsia="宋体" w:cs="宋体"/>
          <w:color w:val="auto"/>
          <w:sz w:val="21"/>
          <w:szCs w:val="21"/>
          <w:highlight w:val="none"/>
          <w:u w:val="none"/>
        </w:rPr>
        <w:t>达到</w:t>
      </w:r>
      <w:r>
        <w:rPr>
          <w:rFonts w:hint="eastAsia" w:ascii="宋体" w:hAnsi="宋体" w:eastAsia="宋体" w:cs="宋体"/>
          <w:bCs w:val="0"/>
          <w:color w:val="auto"/>
          <w:sz w:val="21"/>
          <w:szCs w:val="21"/>
          <w:highlight w:val="none"/>
          <w:u w:val="none"/>
        </w:rPr>
        <w:t>《</w:t>
      </w:r>
      <w:r>
        <w:rPr>
          <w:rFonts w:hint="eastAsia" w:ascii="宋体" w:hAnsi="宋体" w:eastAsia="宋体" w:cs="宋体"/>
          <w:bCs w:val="0"/>
          <w:color w:val="auto"/>
          <w:sz w:val="21"/>
          <w:szCs w:val="21"/>
          <w:highlight w:val="none"/>
          <w:u w:val="none"/>
          <w:lang w:eastAsia="zh-CN"/>
        </w:rPr>
        <w:t>水利水电建设工程验收规程</w:t>
      </w:r>
      <w:r>
        <w:rPr>
          <w:rFonts w:hint="eastAsia" w:ascii="宋体" w:hAnsi="宋体" w:eastAsia="宋体" w:cs="宋体"/>
          <w:bCs w:val="0"/>
          <w:color w:val="auto"/>
          <w:sz w:val="21"/>
          <w:szCs w:val="21"/>
          <w:highlight w:val="none"/>
          <w:u w:val="none"/>
        </w:rPr>
        <w:t>》（</w:t>
      </w:r>
      <w:r>
        <w:rPr>
          <w:rFonts w:hint="eastAsia" w:ascii="宋体" w:hAnsi="宋体" w:eastAsia="宋体" w:cs="宋体"/>
          <w:bCs w:val="0"/>
          <w:color w:val="auto"/>
          <w:sz w:val="21"/>
          <w:szCs w:val="21"/>
          <w:highlight w:val="none"/>
          <w:u w:val="none"/>
          <w:lang w:eastAsia="zh-CN"/>
        </w:rPr>
        <w:t>SL/T 223-2025</w:t>
      </w:r>
      <w:r>
        <w:rPr>
          <w:rFonts w:hint="eastAsia" w:ascii="宋体" w:hAnsi="宋体" w:eastAsia="宋体" w:cs="宋体"/>
          <w:bCs w:val="0"/>
          <w:color w:val="auto"/>
          <w:sz w:val="21"/>
          <w:szCs w:val="21"/>
          <w:highlight w:val="none"/>
          <w:u w:val="none"/>
        </w:rPr>
        <w:t>）优良标准</w:t>
      </w:r>
      <w:r>
        <w:rPr>
          <w:rFonts w:hint="eastAsia" w:ascii="宋体" w:hAnsi="宋体" w:eastAsia="宋体" w:cs="宋体"/>
          <w:color w:val="auto"/>
          <w:sz w:val="21"/>
          <w:szCs w:val="21"/>
          <w:highlight w:val="none"/>
        </w:rPr>
        <w:t>。达到优良的奖金为：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color w:val="auto"/>
          <w:sz w:val="21"/>
          <w:szCs w:val="21"/>
          <w:highlight w:val="none"/>
        </w:rPr>
        <w:t>。</w:t>
      </w:r>
    </w:p>
    <w:p w14:paraId="09460CD1">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13.8 质量事故处理</w:t>
      </w:r>
    </w:p>
    <w:p w14:paraId="58DE58A0">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w:t>
      </w:r>
      <w:r>
        <w:rPr>
          <w:rFonts w:hint="eastAsia" w:ascii="宋体" w:hAnsi="宋体" w:eastAsia="宋体" w:cs="宋体"/>
          <w:sz w:val="21"/>
          <w:szCs w:val="21"/>
          <w:lang w:val="en-US" w:eastAsia="zh-CN"/>
        </w:rPr>
        <w:t>3</w:t>
      </w:r>
      <w:r>
        <w:rPr>
          <w:rFonts w:hint="eastAsia" w:ascii="宋体" w:hAnsi="宋体" w:eastAsia="宋体" w:cs="宋体"/>
          <w:color w:val="auto"/>
          <w:sz w:val="21"/>
          <w:szCs w:val="21"/>
          <w:highlight w:val="none"/>
        </w:rPr>
        <w:t xml:space="preserve"> 工程竣工验收时，</w:t>
      </w:r>
      <w:r>
        <w:rPr>
          <w:rFonts w:hint="eastAsia" w:ascii="宋体" w:hAnsi="宋体" w:eastAsia="宋体" w:cs="宋体"/>
          <w:color w:val="auto"/>
          <w:sz w:val="21"/>
          <w:szCs w:val="21"/>
          <w:highlight w:val="none"/>
          <w:u w:val="single"/>
        </w:rPr>
        <w:t xml:space="preserve"> 发包人 </w:t>
      </w:r>
      <w:r>
        <w:rPr>
          <w:rFonts w:hint="eastAsia" w:ascii="宋体" w:hAnsi="宋体" w:eastAsia="宋体" w:cs="宋体"/>
          <w:color w:val="auto"/>
          <w:sz w:val="21"/>
          <w:szCs w:val="21"/>
          <w:highlight w:val="none"/>
        </w:rPr>
        <w:t>向竣工验收委员会汇报并提交历次质量缺陷处理的备案资料。</w:t>
      </w:r>
    </w:p>
    <w:p w14:paraId="48069E37">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706" w:name="_Toc271870486"/>
      <w:bookmarkStart w:id="1707" w:name="_Toc332378911"/>
      <w:bookmarkStart w:id="1708" w:name="_Toc427509952"/>
      <w:bookmarkStart w:id="1709" w:name="_Toc12435"/>
      <w:bookmarkStart w:id="1710" w:name="_Toc25441"/>
      <w:bookmarkStart w:id="1711" w:name="_Toc427509452"/>
      <w:bookmarkStart w:id="1712" w:name="_Toc7807"/>
      <w:bookmarkStart w:id="1713" w:name="_Toc19059"/>
      <w:bookmarkStart w:id="1714" w:name="_Toc3451234"/>
      <w:bookmarkStart w:id="1715" w:name="_Toc267492148"/>
      <w:bookmarkStart w:id="1716" w:name="_Toc22961"/>
      <w:bookmarkStart w:id="1717" w:name="_Toc268299808"/>
      <w:r>
        <w:rPr>
          <w:rFonts w:hint="eastAsia" w:ascii="宋体" w:hAnsi="宋体" w:eastAsia="宋体" w:cs="宋体"/>
          <w:b/>
          <w:bCs/>
          <w:color w:val="auto"/>
          <w:sz w:val="21"/>
          <w:szCs w:val="21"/>
          <w:highlight w:val="none"/>
        </w:rPr>
        <w:t>14 试验和检验</w:t>
      </w:r>
      <w:bookmarkEnd w:id="1706"/>
      <w:bookmarkEnd w:id="1707"/>
      <w:bookmarkEnd w:id="1708"/>
      <w:bookmarkEnd w:id="1709"/>
      <w:bookmarkEnd w:id="1710"/>
      <w:bookmarkEnd w:id="1711"/>
      <w:bookmarkEnd w:id="1712"/>
      <w:bookmarkEnd w:id="1713"/>
      <w:bookmarkEnd w:id="1714"/>
      <w:bookmarkEnd w:id="1715"/>
      <w:bookmarkEnd w:id="1716"/>
      <w:bookmarkEnd w:id="1717"/>
    </w:p>
    <w:p w14:paraId="2B8B9F19">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14.1 材料、工程设备和工程的试验和检验</w:t>
      </w:r>
    </w:p>
    <w:p w14:paraId="773A3066">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14.1.6 本工程实行见证取样的试块、试件及有关材料：</w:t>
      </w:r>
      <w:r>
        <w:rPr>
          <w:rFonts w:hint="eastAsia" w:ascii="宋体" w:hAnsi="宋体" w:eastAsia="宋体" w:cs="宋体"/>
          <w:color w:val="auto"/>
          <w:sz w:val="21"/>
          <w:szCs w:val="21"/>
          <w:highlight w:val="none"/>
          <w:u w:val="none"/>
        </w:rPr>
        <w:t>涉及工程结构安全的试块、试件及有关材料</w:t>
      </w:r>
      <w:r>
        <w:rPr>
          <w:rFonts w:hint="eastAsia" w:ascii="宋体" w:hAnsi="宋体" w:eastAsia="宋体" w:cs="宋体"/>
          <w:color w:val="auto"/>
          <w:sz w:val="21"/>
          <w:szCs w:val="21"/>
          <w:highlight w:val="none"/>
        </w:rPr>
        <w:t>。</w:t>
      </w:r>
    </w:p>
    <w:p w14:paraId="40403F9E">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718" w:name="_Toc222029539"/>
      <w:bookmarkStart w:id="1719" w:name="_Toc25592"/>
      <w:bookmarkStart w:id="1720" w:name="_Toc268299809"/>
      <w:bookmarkStart w:id="1721" w:name="_Toc222033890"/>
      <w:bookmarkStart w:id="1722" w:name="_Toc427509953"/>
      <w:bookmarkStart w:id="1723" w:name="_Toc12870"/>
      <w:bookmarkStart w:id="1724" w:name="_Toc267492149"/>
      <w:bookmarkStart w:id="1725" w:name="_Toc229305396"/>
      <w:bookmarkStart w:id="1726" w:name="_Toc222031041"/>
      <w:bookmarkStart w:id="1727" w:name="_Toc17391"/>
      <w:bookmarkStart w:id="1728" w:name="_Toc25170"/>
      <w:bookmarkStart w:id="1729" w:name="_Toc222032708"/>
      <w:bookmarkStart w:id="1730" w:name="_Toc332378912"/>
      <w:bookmarkStart w:id="1731" w:name="_Toc3451235"/>
      <w:bookmarkStart w:id="1732" w:name="_Toc19223"/>
      <w:bookmarkStart w:id="1733" w:name="_Toc221951213"/>
      <w:bookmarkStart w:id="1734" w:name="_Toc427509453"/>
      <w:bookmarkStart w:id="1735" w:name="_Toc271870487"/>
      <w:r>
        <w:rPr>
          <w:rFonts w:hint="eastAsia" w:ascii="宋体" w:hAnsi="宋体" w:eastAsia="宋体" w:cs="宋体"/>
          <w:b/>
          <w:bCs/>
          <w:color w:val="auto"/>
          <w:sz w:val="21"/>
          <w:szCs w:val="21"/>
          <w:highlight w:val="none"/>
        </w:rPr>
        <w:t>15 变更</w:t>
      </w:r>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p>
    <w:p w14:paraId="491C8989">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736" w:name="_Toc221951214"/>
      <w:r>
        <w:rPr>
          <w:rFonts w:hint="eastAsia" w:ascii="宋体" w:hAnsi="宋体" w:eastAsia="宋体" w:cs="宋体"/>
          <w:b/>
          <w:bCs/>
          <w:color w:val="auto"/>
          <w:szCs w:val="21"/>
          <w:highlight w:val="none"/>
        </w:rPr>
        <w:t>15.1 变更的范围和内容</w:t>
      </w:r>
      <w:bookmarkEnd w:id="1736"/>
    </w:p>
    <w:p w14:paraId="7C1589AF">
      <w:pPr>
        <w:widowControl w:val="0"/>
        <w:wordWrap w:val="0"/>
        <w:spacing w:line="360" w:lineRule="auto"/>
        <w:ind w:firstLine="420" w:firstLineChars="200"/>
        <w:jc w:val="left"/>
        <w:rPr>
          <w:rFonts w:hint="eastAsia" w:ascii="宋体" w:hAnsi="宋体" w:eastAsia="宋体" w:cs="宋体"/>
          <w:b w:val="0"/>
          <w:bCs w:val="0"/>
          <w:szCs w:val="21"/>
        </w:rPr>
      </w:pPr>
      <w:bookmarkStart w:id="1737" w:name="_Toc221951218"/>
      <w:r>
        <w:rPr>
          <w:rFonts w:hint="eastAsia" w:ascii="宋体" w:hAnsi="宋体" w:eastAsia="宋体" w:cs="宋体"/>
          <w:b w:val="0"/>
          <w:bCs w:val="0"/>
          <w:szCs w:val="21"/>
        </w:rPr>
        <w:t>工程量调整范围15%以内（含15%）部分单价不予调整，工程量增加或减少超出15%部分（不含15%），单价按照5%调减或调增。</w:t>
      </w:r>
    </w:p>
    <w:p w14:paraId="6D51F064">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15.5 承包人的合理化建议</w:t>
      </w:r>
    </w:p>
    <w:bookmarkEnd w:id="1737"/>
    <w:p w14:paraId="5B9C81B6">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738" w:name="_Toc221951221"/>
      <w:r>
        <w:rPr>
          <w:rFonts w:hint="eastAsia" w:ascii="宋体" w:hAnsi="宋体" w:eastAsia="宋体" w:cs="宋体"/>
          <w:color w:val="auto"/>
          <w:sz w:val="21"/>
          <w:szCs w:val="21"/>
          <w:highlight w:val="none"/>
        </w:rPr>
        <w:t>15.5.2</w:t>
      </w:r>
      <w:bookmarkStart w:id="1739" w:name="_Toc221951219"/>
      <w:r>
        <w:rPr>
          <w:rFonts w:hint="eastAsia" w:ascii="宋体" w:hAnsi="宋体" w:eastAsia="宋体" w:cs="宋体"/>
          <w:color w:val="auto"/>
          <w:sz w:val="21"/>
          <w:szCs w:val="21"/>
          <w:highlight w:val="none"/>
        </w:rPr>
        <w:t>承包人实现合理化建议的奖励金额为：</w:t>
      </w:r>
      <w:bookmarkEnd w:id="1739"/>
      <w:r>
        <w:rPr>
          <w:rFonts w:hint="eastAsia" w:ascii="宋体" w:hAnsi="宋体" w:eastAsia="宋体" w:cs="宋体"/>
          <w:color w:val="auto"/>
          <w:sz w:val="21"/>
          <w:szCs w:val="21"/>
          <w:highlight w:val="none"/>
          <w:u w:val="single"/>
        </w:rPr>
        <w:t xml:space="preserve">  在合同履行过程中由双方再行约定  </w:t>
      </w:r>
      <w:r>
        <w:rPr>
          <w:rFonts w:hint="eastAsia" w:ascii="宋体" w:hAnsi="宋体" w:eastAsia="宋体" w:cs="宋体"/>
          <w:color w:val="auto"/>
          <w:sz w:val="21"/>
          <w:szCs w:val="21"/>
          <w:highlight w:val="none"/>
        </w:rPr>
        <w:t>。</w:t>
      </w:r>
    </w:p>
    <w:p w14:paraId="3E4563B8">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15.8 暂估价</w:t>
      </w:r>
      <w:bookmarkEnd w:id="1738"/>
    </w:p>
    <w:p w14:paraId="3FEF71E7">
      <w:pPr>
        <w:widowControl w:val="0"/>
        <w:wordWrap w:val="0"/>
        <w:spacing w:before="0" w:after="0" w:line="360" w:lineRule="auto"/>
        <w:ind w:firstLine="420" w:firstLineChars="200"/>
        <w:jc w:val="left"/>
        <w:rPr>
          <w:rFonts w:hint="eastAsia" w:ascii="宋体" w:hAnsi="宋体" w:eastAsia="宋体" w:cs="宋体"/>
          <w:sz w:val="21"/>
          <w:szCs w:val="21"/>
        </w:rPr>
      </w:pPr>
      <w:bookmarkStart w:id="1740" w:name="_Toc427509454"/>
      <w:bookmarkStart w:id="1741" w:name="_Toc13496"/>
      <w:bookmarkStart w:id="1742" w:name="_Toc271870488"/>
      <w:bookmarkStart w:id="1743" w:name="_Toc23217"/>
      <w:bookmarkStart w:id="1744" w:name="_Toc19764"/>
      <w:bookmarkStart w:id="1745" w:name="_Toc332378913"/>
      <w:bookmarkStart w:id="1746" w:name="_Toc229305397"/>
      <w:bookmarkStart w:id="1747" w:name="_Toc17671"/>
      <w:bookmarkStart w:id="1748" w:name="_Toc267492150"/>
      <w:bookmarkStart w:id="1749" w:name="_Toc268299810"/>
      <w:bookmarkStart w:id="1750" w:name="_Toc3451236"/>
      <w:bookmarkStart w:id="1751" w:name="_Toc10639"/>
      <w:bookmarkStart w:id="1752" w:name="_Toc427509954"/>
      <w:r>
        <w:rPr>
          <w:rFonts w:hint="eastAsia" w:ascii="宋体" w:hAnsi="宋体" w:eastAsia="宋体" w:cs="宋体"/>
          <w:sz w:val="21"/>
          <w:szCs w:val="21"/>
        </w:rPr>
        <w:t>本项目不涉及。</w:t>
      </w:r>
    </w:p>
    <w:p w14:paraId="4201E2F1">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w:t>
      </w:r>
      <w:r>
        <w:rPr>
          <w:rFonts w:hint="eastAsia" w:ascii="宋体" w:hAnsi="宋体" w:eastAsia="宋体" w:cs="宋体"/>
          <w:b/>
          <w:bCs/>
          <w:sz w:val="21"/>
          <w:szCs w:val="21"/>
          <w:lang w:val="en-US" w:eastAsia="zh-CN"/>
        </w:rPr>
        <w:t>.</w:t>
      </w:r>
      <w:r>
        <w:rPr>
          <w:rFonts w:hint="eastAsia" w:ascii="宋体" w:hAnsi="宋体" w:eastAsia="宋体" w:cs="宋体"/>
          <w:b/>
          <w:bCs/>
          <w:color w:val="auto"/>
          <w:sz w:val="21"/>
          <w:szCs w:val="21"/>
          <w:highlight w:val="none"/>
        </w:rPr>
        <w:t xml:space="preserve"> 价格调整</w:t>
      </w:r>
      <w:bookmarkEnd w:id="1740"/>
      <w:bookmarkEnd w:id="1741"/>
      <w:bookmarkEnd w:id="1742"/>
      <w:bookmarkEnd w:id="1743"/>
      <w:bookmarkEnd w:id="1744"/>
      <w:bookmarkEnd w:id="1745"/>
      <w:bookmarkEnd w:id="1746"/>
      <w:bookmarkEnd w:id="1747"/>
      <w:bookmarkEnd w:id="1748"/>
      <w:bookmarkEnd w:id="1749"/>
      <w:bookmarkEnd w:id="1750"/>
      <w:bookmarkEnd w:id="1751"/>
      <w:bookmarkEnd w:id="1752"/>
    </w:p>
    <w:p w14:paraId="0C17424F">
      <w:pPr>
        <w:widowControl w:val="0"/>
        <w:wordWrap w:val="0"/>
        <w:spacing w:before="0" w:after="0" w:line="360" w:lineRule="auto"/>
        <w:ind w:firstLine="0" w:firstLineChars="0"/>
        <w:jc w:val="left"/>
        <w:rPr>
          <w:rFonts w:hint="eastAsia" w:ascii="宋体" w:hAnsi="宋体" w:eastAsia="宋体" w:cs="宋体"/>
          <w:b/>
          <w:bCs/>
          <w:sz w:val="21"/>
          <w:szCs w:val="21"/>
        </w:rPr>
      </w:pPr>
      <w:bookmarkStart w:id="1753" w:name="_Toc427509955"/>
      <w:bookmarkStart w:id="1754" w:name="_Toc13200"/>
      <w:bookmarkStart w:id="1755" w:name="_Toc271870489"/>
      <w:bookmarkStart w:id="1756" w:name="_Toc267492151"/>
      <w:bookmarkStart w:id="1757" w:name="_Toc3677"/>
      <w:bookmarkStart w:id="1758" w:name="_Toc229305398"/>
      <w:bookmarkStart w:id="1759" w:name="_Toc427509455"/>
      <w:bookmarkStart w:id="1760" w:name="_Toc222031042"/>
      <w:bookmarkStart w:id="1761" w:name="_Toc222032709"/>
      <w:bookmarkStart w:id="1762" w:name="_Toc29211"/>
      <w:bookmarkStart w:id="1763" w:name="_Toc17204"/>
      <w:bookmarkStart w:id="1764" w:name="_Toc222033891"/>
      <w:bookmarkStart w:id="1765" w:name="_Toc332378914"/>
      <w:bookmarkStart w:id="1766" w:name="_Toc29901"/>
      <w:bookmarkStart w:id="1767" w:name="_Toc221951223"/>
      <w:bookmarkStart w:id="1768" w:name="_Toc268299811"/>
      <w:bookmarkStart w:id="1769" w:name="_Toc3451237"/>
      <w:bookmarkStart w:id="1770" w:name="_Toc222029540"/>
      <w:r>
        <w:rPr>
          <w:rFonts w:hint="eastAsia" w:ascii="宋体" w:hAnsi="宋体" w:eastAsia="宋体" w:cs="宋体"/>
          <w:b/>
          <w:bCs/>
          <w:sz w:val="21"/>
          <w:szCs w:val="21"/>
        </w:rPr>
        <w:t>16.1 物价波动引起的价格调整</w:t>
      </w:r>
    </w:p>
    <w:p w14:paraId="7F9B0E46">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物价波动引起的价格调整方式：</w:t>
      </w:r>
      <w:r>
        <w:rPr>
          <w:rFonts w:hint="eastAsia" w:ascii="宋体" w:hAnsi="宋体" w:eastAsia="宋体" w:cs="宋体"/>
          <w:sz w:val="21"/>
          <w:szCs w:val="21"/>
          <w:u w:val="single"/>
        </w:rPr>
        <w:t>可调整</w:t>
      </w:r>
      <w:r>
        <w:rPr>
          <w:rFonts w:hint="eastAsia" w:ascii="宋体" w:hAnsi="宋体" w:eastAsia="宋体" w:cs="宋体"/>
          <w:sz w:val="21"/>
          <w:szCs w:val="21"/>
        </w:rPr>
        <w:t>。</w:t>
      </w:r>
    </w:p>
    <w:p w14:paraId="6E7D1D84">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调整方式：关键项目的原材料价格在投标时发布价的±15%范围内不予以调整。若超出，仅对超出投标时发布价±15%范围的超出部分按工程实施时的发布价进行调整。</w:t>
      </w:r>
    </w:p>
    <w:p w14:paraId="1128B318">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关键项目：项目的合价占合同总价的10%以上</w:t>
      </w:r>
    </w:p>
    <w:p w14:paraId="12DB829A">
      <w:pPr>
        <w:widowControl w:val="0"/>
        <w:wordWrap w:val="0"/>
        <w:spacing w:before="0" w:after="0" w:line="360" w:lineRule="auto"/>
        <w:ind w:firstLine="0" w:firstLineChars="0"/>
        <w:jc w:val="left"/>
        <w:rPr>
          <w:rFonts w:hint="eastAsia" w:ascii="宋体" w:hAnsi="宋体" w:eastAsia="宋体" w:cs="宋体"/>
          <w:b/>
          <w:bCs/>
          <w:sz w:val="21"/>
          <w:szCs w:val="21"/>
        </w:rPr>
      </w:pPr>
      <w:r>
        <w:rPr>
          <w:rFonts w:hint="eastAsia" w:ascii="宋体" w:hAnsi="宋体" w:eastAsia="宋体" w:cs="宋体"/>
          <w:b/>
          <w:bCs/>
          <w:sz w:val="21"/>
          <w:szCs w:val="21"/>
        </w:rPr>
        <w:t>16.2新增工程量和项目</w:t>
      </w:r>
    </w:p>
    <w:p w14:paraId="10BA20AD">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新增工程量和项目在投标文件中有单价的按照投标单价计算，投标单价中没有的项目，由乙方按照现行预算定额计算，经监理和业主审核后报财政评审确认。</w:t>
      </w:r>
    </w:p>
    <w:p w14:paraId="2191C266">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新增项目的结算=(投标报价/拦标价)x新增项目报价</w:t>
      </w:r>
    </w:p>
    <w:p w14:paraId="58AE8962">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 计量与支付</w:t>
      </w:r>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p>
    <w:p w14:paraId="615490C6">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771" w:name="_Toc221951224"/>
      <w:r>
        <w:rPr>
          <w:rFonts w:hint="eastAsia" w:ascii="宋体" w:hAnsi="宋体" w:eastAsia="宋体" w:cs="宋体"/>
          <w:b/>
          <w:bCs/>
          <w:color w:val="auto"/>
          <w:szCs w:val="21"/>
          <w:highlight w:val="none"/>
        </w:rPr>
        <w:t>17.2 预付款</w:t>
      </w:r>
      <w:bookmarkEnd w:id="1771"/>
    </w:p>
    <w:p w14:paraId="503D3FA3">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772" w:name="_Toc221951226"/>
      <w:r>
        <w:rPr>
          <w:rFonts w:hint="eastAsia" w:ascii="宋体" w:hAnsi="宋体" w:eastAsia="宋体" w:cs="宋体"/>
          <w:color w:val="auto"/>
          <w:sz w:val="21"/>
          <w:szCs w:val="21"/>
          <w:highlight w:val="none"/>
        </w:rPr>
        <w:t>17.2.1 预付款</w:t>
      </w:r>
      <w:bookmarkEnd w:id="1772"/>
      <w:r>
        <w:rPr>
          <w:rFonts w:hint="eastAsia" w:ascii="宋体" w:hAnsi="宋体" w:eastAsia="宋体" w:cs="宋体"/>
          <w:color w:val="auto"/>
          <w:sz w:val="21"/>
          <w:szCs w:val="21"/>
          <w:highlight w:val="none"/>
        </w:rPr>
        <w:t xml:space="preserve"> </w:t>
      </w:r>
    </w:p>
    <w:p w14:paraId="0A60E34E">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bookmarkStart w:id="1773" w:name="_Toc221951239"/>
      <w:r>
        <w:rPr>
          <w:rFonts w:hint="eastAsia" w:ascii="宋体" w:hAnsi="宋体" w:eastAsia="宋体" w:cs="宋体"/>
          <w:color w:val="auto"/>
          <w:position w:val="-30"/>
          <w:sz w:val="21"/>
          <w:szCs w:val="21"/>
          <w:highlight w:val="none"/>
        </w:rPr>
        <w:t>（1）工程预付款的总金额为签约合同价的30%，分2次支付给承包人。</w:t>
      </w:r>
    </w:p>
    <w:p w14:paraId="3AEF1C8D">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1）第一次预付款金额为工程预付款总金额的40%，付款时间应在合同协议书签订后，由承包人向发包人提交了发包人认可的银行出具的见索即付工程预付款保函，并经监理人出具付款证书报送发包人批准后</w:t>
      </w:r>
      <w:r>
        <w:rPr>
          <w:rFonts w:hint="eastAsia" w:ascii="宋体" w:hAnsi="宋体" w:eastAsia="宋体" w:cs="宋体"/>
          <w:color w:val="auto"/>
          <w:position w:val="-30"/>
          <w:sz w:val="21"/>
          <w:szCs w:val="21"/>
          <w:highlight w:val="none"/>
          <w:lang w:eastAsia="zh-CN"/>
        </w:rPr>
        <w:t>，</w:t>
      </w:r>
      <w:r>
        <w:rPr>
          <w:rFonts w:hint="eastAsia" w:ascii="宋体" w:hAnsi="宋体" w:eastAsia="宋体" w:cs="宋体"/>
          <w:color w:val="auto"/>
          <w:position w:val="-30"/>
          <w:sz w:val="21"/>
          <w:szCs w:val="21"/>
          <w:highlight w:val="none"/>
        </w:rPr>
        <w:t>发包人14天内办理支付手续。</w:t>
      </w:r>
    </w:p>
    <w:p w14:paraId="62BBC405">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lang w:eastAsia="zh-CN"/>
        </w:rPr>
      </w:pPr>
      <w:r>
        <w:rPr>
          <w:rFonts w:hint="eastAsia" w:ascii="宋体" w:hAnsi="宋体" w:eastAsia="宋体" w:cs="宋体"/>
          <w:color w:val="auto"/>
          <w:position w:val="-30"/>
          <w:sz w:val="21"/>
          <w:szCs w:val="21"/>
          <w:highlight w:val="none"/>
        </w:rPr>
        <w:t>2）第二次预付款金额为工程预付款总金额的60%。付款时间需待承包人主要材料和设备进入工地后，其估算价值已达到本次预付款金额时，由承包人提出书面申请，经监理人核实后出具付款证书报送发包人批准后</w:t>
      </w:r>
      <w:r>
        <w:rPr>
          <w:rFonts w:hint="eastAsia" w:ascii="宋体" w:hAnsi="宋体" w:eastAsia="宋体" w:cs="宋体"/>
          <w:color w:val="auto"/>
          <w:position w:val="-30"/>
          <w:sz w:val="21"/>
          <w:szCs w:val="21"/>
          <w:highlight w:val="none"/>
          <w:lang w:eastAsia="zh-CN"/>
        </w:rPr>
        <w:t>，</w:t>
      </w:r>
      <w:r>
        <w:rPr>
          <w:rFonts w:hint="eastAsia" w:ascii="宋体" w:hAnsi="宋体" w:eastAsia="宋体" w:cs="宋体"/>
          <w:color w:val="auto"/>
          <w:position w:val="-30"/>
          <w:sz w:val="21"/>
          <w:szCs w:val="21"/>
          <w:highlight w:val="none"/>
        </w:rPr>
        <w:t>发包人14天内办理支付手续</w:t>
      </w:r>
      <w:r>
        <w:rPr>
          <w:rFonts w:hint="eastAsia" w:ascii="宋体" w:hAnsi="宋体" w:eastAsia="宋体" w:cs="宋体"/>
          <w:color w:val="auto"/>
          <w:position w:val="-30"/>
          <w:sz w:val="21"/>
          <w:szCs w:val="21"/>
          <w:highlight w:val="none"/>
          <w:lang w:eastAsia="zh-CN"/>
        </w:rPr>
        <w:t>。</w:t>
      </w:r>
    </w:p>
    <w:p w14:paraId="09736EC7">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lang w:val="en-US" w:eastAsia="zh-CN"/>
        </w:rPr>
        <w:t>3）</w:t>
      </w:r>
      <w:r>
        <w:rPr>
          <w:rFonts w:hint="eastAsia" w:ascii="宋体" w:hAnsi="宋体" w:eastAsia="宋体" w:cs="宋体"/>
          <w:color w:val="auto"/>
          <w:position w:val="-30"/>
          <w:sz w:val="21"/>
          <w:szCs w:val="21"/>
          <w:highlight w:val="none"/>
        </w:rPr>
        <w:t>发包人必须及时按上述约定支付承包人工程款，但因财政拨付原因导致支付逾期的情形除外。</w:t>
      </w:r>
    </w:p>
    <w:p w14:paraId="7535C8E2">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17.2.2 预付款保函（担保）</w:t>
      </w:r>
    </w:p>
    <w:p w14:paraId="250927A2">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由承包人向发包人提交了发包人认可的银行出具的见索即付工程预付款保函</w:t>
      </w:r>
      <w:r>
        <w:rPr>
          <w:rFonts w:hint="eastAsia" w:ascii="宋体" w:hAnsi="宋体" w:eastAsia="宋体" w:cs="宋体"/>
          <w:color w:val="auto"/>
          <w:position w:val="-30"/>
          <w:sz w:val="21"/>
          <w:szCs w:val="21"/>
          <w:highlight w:val="none"/>
          <w:lang w:eastAsia="zh-CN"/>
        </w:rPr>
        <w:t>。</w:t>
      </w:r>
    </w:p>
    <w:p w14:paraId="271E55C5">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17.2.</w:t>
      </w:r>
      <w:r>
        <w:rPr>
          <w:rFonts w:hint="eastAsia" w:ascii="宋体" w:hAnsi="宋体" w:eastAsia="宋体" w:cs="宋体"/>
          <w:color w:val="auto"/>
          <w:position w:val="-30"/>
          <w:sz w:val="21"/>
          <w:szCs w:val="21"/>
          <w:highlight w:val="none"/>
          <w:lang w:val="en-US" w:eastAsia="zh-CN"/>
        </w:rPr>
        <w:t>3</w:t>
      </w:r>
      <w:r>
        <w:rPr>
          <w:rFonts w:hint="eastAsia" w:ascii="宋体" w:hAnsi="宋体" w:eastAsia="宋体" w:cs="宋体"/>
          <w:color w:val="auto"/>
          <w:position w:val="-30"/>
          <w:sz w:val="21"/>
          <w:szCs w:val="21"/>
          <w:highlight w:val="none"/>
        </w:rPr>
        <w:t xml:space="preserve"> 预付款的扣回与还清</w:t>
      </w:r>
    </w:p>
    <w:p w14:paraId="7A48DE27">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（1）工程预付款在合同累计完成金额达到合同价格的</w:t>
      </w:r>
      <w:r>
        <w:rPr>
          <w:rFonts w:hint="eastAsia" w:ascii="宋体" w:hAnsi="宋体" w:eastAsia="宋体" w:cs="宋体"/>
          <w:color w:val="auto"/>
          <w:position w:val="-30"/>
          <w:sz w:val="21"/>
          <w:szCs w:val="21"/>
          <w:highlight w:val="none"/>
          <w:u w:val="single"/>
        </w:rPr>
        <w:t xml:space="preserve"> 30 </w:t>
      </w:r>
      <w:r>
        <w:rPr>
          <w:rFonts w:hint="eastAsia" w:ascii="宋体" w:hAnsi="宋体" w:eastAsia="宋体" w:cs="宋体"/>
          <w:color w:val="auto"/>
          <w:position w:val="-30"/>
          <w:sz w:val="21"/>
          <w:szCs w:val="21"/>
          <w:highlight w:val="none"/>
        </w:rPr>
        <w:t>%时开始扣款，直至合同累计完成金额达到合同价格的</w:t>
      </w:r>
      <w:r>
        <w:rPr>
          <w:rFonts w:hint="eastAsia" w:ascii="宋体" w:hAnsi="宋体" w:eastAsia="宋体" w:cs="宋体"/>
          <w:color w:val="auto"/>
          <w:position w:val="-30"/>
          <w:sz w:val="21"/>
          <w:szCs w:val="21"/>
          <w:highlight w:val="none"/>
          <w:u w:val="single"/>
        </w:rPr>
        <w:t xml:space="preserve"> 70 </w:t>
      </w:r>
      <w:r>
        <w:rPr>
          <w:rFonts w:hint="eastAsia" w:ascii="宋体" w:hAnsi="宋体" w:eastAsia="宋体" w:cs="宋体"/>
          <w:color w:val="auto"/>
          <w:position w:val="-30"/>
          <w:sz w:val="21"/>
          <w:szCs w:val="21"/>
          <w:highlight w:val="none"/>
        </w:rPr>
        <w:t>%时全部扣清。</w:t>
      </w:r>
    </w:p>
    <w:p w14:paraId="40734F64">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position w:val="-30"/>
          <w:sz w:val="21"/>
          <w:szCs w:val="21"/>
          <w:highlight w:val="none"/>
        </w:rPr>
        <w:object>
          <v:shape id="_x0000_i1028" o:spt="75" type="#_x0000_t75" style="height:34pt;width:124pt;" o:ole="t" fillcolor="#6D6D6D" filled="f" stroked="f" coordsize="21600,21600">
            <v:path/>
            <v:fill on="f" alignshape="1" focussize="0,0"/>
            <v:stroke on="f"/>
            <v:imagedata r:id="rId16" o:title=""/>
            <o:lock v:ext="edit" aspectratio="t"/>
            <w10:wrap type="none"/>
            <w10:anchorlock/>
          </v:shape>
          <o:OLEObject Type="Embed" ProgID="Equation.3" ShapeID="_x0000_i1028" DrawAspect="Content" ObjectID="_1468075728" r:id="rId15">
            <o:LockedField>false</o:LockedField>
          </o:OLEObject>
        </w:object>
      </w:r>
      <w:bookmarkEnd w:id="1773"/>
    </w:p>
    <w:p w14:paraId="47D63EBB">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774" w:name="_Toc221951240"/>
      <w:r>
        <w:rPr>
          <w:rFonts w:hint="eastAsia" w:ascii="宋体" w:hAnsi="宋体" w:eastAsia="宋体" w:cs="宋体"/>
          <w:color w:val="auto"/>
          <w:sz w:val="21"/>
          <w:szCs w:val="21"/>
          <w:highlight w:val="none"/>
        </w:rPr>
        <w:t>式中：R——每次进度付款中累计扣回的金额；</w:t>
      </w:r>
      <w:bookmarkEnd w:id="1774"/>
    </w:p>
    <w:p w14:paraId="6B749F9D">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bookmarkStart w:id="1775" w:name="_Toc221951241"/>
      <w:r>
        <w:rPr>
          <w:rFonts w:hint="eastAsia" w:ascii="宋体" w:hAnsi="宋体" w:eastAsia="宋体" w:cs="宋体"/>
          <w:color w:val="auto"/>
          <w:sz w:val="21"/>
          <w:szCs w:val="21"/>
          <w:highlight w:val="none"/>
        </w:rPr>
        <w:t>A——工程预付款总金额；</w:t>
      </w:r>
      <w:bookmarkEnd w:id="1775"/>
    </w:p>
    <w:p w14:paraId="4BA07CAF">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bookmarkStart w:id="1776" w:name="_Toc221951242"/>
      <w:r>
        <w:rPr>
          <w:rFonts w:hint="eastAsia" w:ascii="宋体" w:hAnsi="宋体" w:eastAsia="宋体" w:cs="宋体"/>
          <w:color w:val="auto"/>
          <w:sz w:val="21"/>
          <w:szCs w:val="21"/>
          <w:highlight w:val="none"/>
        </w:rPr>
        <w:t>S——合同价格；</w:t>
      </w:r>
      <w:bookmarkEnd w:id="1776"/>
    </w:p>
    <w:p w14:paraId="13AE96DF">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bookmarkStart w:id="1777" w:name="_Toc221951243"/>
      <w:r>
        <w:rPr>
          <w:rFonts w:hint="eastAsia" w:ascii="宋体" w:hAnsi="宋体" w:eastAsia="宋体" w:cs="宋体"/>
          <w:color w:val="auto"/>
          <w:sz w:val="21"/>
          <w:szCs w:val="21"/>
          <w:highlight w:val="none"/>
        </w:rPr>
        <w:t>C——合同累计完成金额；</w:t>
      </w:r>
      <w:bookmarkEnd w:id="1777"/>
    </w:p>
    <w:p w14:paraId="63485EF2">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bookmarkStart w:id="1778" w:name="_Toc221951244"/>
      <w:r>
        <w:rPr>
          <w:rFonts w:hint="eastAsia" w:ascii="宋体" w:hAnsi="宋体" w:eastAsia="宋体" w:cs="宋体"/>
          <w:color w:val="auto"/>
          <w:sz w:val="21"/>
          <w:szCs w:val="21"/>
          <w:highlight w:val="none"/>
        </w:rPr>
        <w:t>F</w:t>
      </w:r>
      <w:r>
        <w:rPr>
          <w:rFonts w:hint="eastAsia" w:ascii="宋体" w:hAnsi="宋体" w:eastAsia="宋体" w:cs="宋体"/>
          <w:color w:val="auto"/>
          <w:sz w:val="21"/>
          <w:szCs w:val="21"/>
          <w:highlight w:val="none"/>
          <w:vertAlign w:val="baseline"/>
        </w:rPr>
        <w:t>1</w:t>
      </w:r>
      <w:r>
        <w:rPr>
          <w:rFonts w:hint="eastAsia" w:ascii="宋体" w:hAnsi="宋体" w:eastAsia="宋体" w:cs="宋体"/>
          <w:color w:val="auto"/>
          <w:sz w:val="21"/>
          <w:szCs w:val="21"/>
          <w:highlight w:val="none"/>
        </w:rPr>
        <w:t>——开始扣款时合同累计完成金额达到合同价格的比例；</w:t>
      </w:r>
      <w:bookmarkEnd w:id="1778"/>
    </w:p>
    <w:p w14:paraId="38B24C16">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bookmarkStart w:id="1779" w:name="_Toc221951245"/>
      <w:r>
        <w:rPr>
          <w:rFonts w:hint="eastAsia" w:ascii="宋体" w:hAnsi="宋体" w:eastAsia="宋体" w:cs="宋体"/>
          <w:color w:val="auto"/>
          <w:sz w:val="21"/>
          <w:szCs w:val="21"/>
          <w:highlight w:val="none"/>
        </w:rPr>
        <w:t>F</w:t>
      </w:r>
      <w:r>
        <w:rPr>
          <w:rFonts w:hint="eastAsia" w:ascii="宋体" w:hAnsi="宋体" w:eastAsia="宋体" w:cs="宋体"/>
          <w:color w:val="auto"/>
          <w:sz w:val="21"/>
          <w:szCs w:val="21"/>
          <w:highlight w:val="none"/>
          <w:vertAlign w:val="baseline"/>
        </w:rPr>
        <w:t>2</w:t>
      </w:r>
      <w:r>
        <w:rPr>
          <w:rFonts w:hint="eastAsia" w:ascii="宋体" w:hAnsi="宋体" w:eastAsia="宋体" w:cs="宋体"/>
          <w:color w:val="auto"/>
          <w:sz w:val="21"/>
          <w:szCs w:val="21"/>
          <w:highlight w:val="none"/>
        </w:rPr>
        <w:t>——全部扣清时合同累计完成金额达到合同价格的比例。</w:t>
      </w:r>
      <w:bookmarkEnd w:id="1779"/>
    </w:p>
    <w:p w14:paraId="3B009213">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780" w:name="_Toc221951246"/>
      <w:r>
        <w:rPr>
          <w:rFonts w:hint="eastAsia" w:ascii="宋体" w:hAnsi="宋体" w:eastAsia="宋体" w:cs="宋体"/>
          <w:color w:val="auto"/>
          <w:sz w:val="21"/>
          <w:szCs w:val="21"/>
          <w:highlight w:val="none"/>
        </w:rPr>
        <w:t>上述合同累计完成金额均指价格调整前未扣质量保证金的金额。</w:t>
      </w:r>
      <w:bookmarkEnd w:id="1780"/>
    </w:p>
    <w:p w14:paraId="70A5922A">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781" w:name="_Toc221951260"/>
      <w:r>
        <w:rPr>
          <w:rFonts w:hint="eastAsia" w:ascii="宋体" w:hAnsi="宋体" w:eastAsia="宋体" w:cs="宋体"/>
          <w:b/>
          <w:bCs/>
          <w:color w:val="auto"/>
          <w:szCs w:val="21"/>
          <w:highlight w:val="none"/>
        </w:rPr>
        <w:t>17.3工程进度付款</w:t>
      </w:r>
    </w:p>
    <w:p w14:paraId="44DB76C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w:t>
      </w: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付款周期</w:t>
      </w:r>
    </w:p>
    <w:p w14:paraId="055ABEC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付款周期：</w:t>
      </w:r>
      <w:r>
        <w:rPr>
          <w:rFonts w:hint="eastAsia" w:ascii="宋体" w:hAnsi="宋体" w:eastAsia="宋体" w:cs="宋体"/>
          <w:sz w:val="21"/>
          <w:szCs w:val="21"/>
        </w:rPr>
        <w:t>按月支付工程进度款。承包人应按照建筑服务类税率采取一般计税法提供真实有效的发票。</w:t>
      </w:r>
    </w:p>
    <w:p w14:paraId="600DF359">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17.4 质量保证金</w:t>
      </w:r>
      <w:bookmarkEnd w:id="1781"/>
    </w:p>
    <w:p w14:paraId="4B96231C">
      <w:pPr>
        <w:widowControl w:val="0"/>
        <w:wordWrap w:val="0"/>
        <w:spacing w:line="360" w:lineRule="auto"/>
        <w:ind w:firstLine="420" w:firstLineChars="200"/>
        <w:jc w:val="left"/>
        <w:rPr>
          <w:rFonts w:hint="eastAsia" w:ascii="宋体" w:hAnsi="宋体" w:eastAsia="宋体" w:cs="宋体"/>
          <w:color w:val="auto"/>
          <w:sz w:val="21"/>
          <w:szCs w:val="21"/>
          <w:highlight w:val="none"/>
        </w:rPr>
      </w:pPr>
      <w:bookmarkStart w:id="1782" w:name="_Toc221951265"/>
      <w:r>
        <w:rPr>
          <w:rFonts w:hint="eastAsia" w:ascii="宋体" w:hAnsi="宋体" w:eastAsia="宋体" w:cs="宋体"/>
          <w:color w:val="auto"/>
          <w:sz w:val="21"/>
          <w:szCs w:val="21"/>
          <w:highlight w:val="none"/>
        </w:rPr>
        <w:t>17.4.1</w:t>
      </w:r>
      <w:r>
        <w:rPr>
          <w:rFonts w:hint="eastAsia" w:ascii="宋体" w:hAnsi="宋体" w:eastAsia="宋体" w:cs="宋体"/>
          <w:color w:val="auto"/>
          <w:sz w:val="21"/>
          <w:szCs w:val="21"/>
          <w:highlight w:val="none"/>
          <w:lang w:val="en-US" w:eastAsia="zh-CN"/>
        </w:rPr>
        <w:t>在履约保函期限结束前需向发包人递交工程总价款3%的银行出具的见索即付质量保证金保函</w:t>
      </w:r>
      <w:r>
        <w:rPr>
          <w:rFonts w:hint="eastAsia" w:ascii="宋体" w:hAnsi="宋体" w:eastAsia="宋体" w:cs="宋体"/>
          <w:color w:val="auto"/>
          <w:sz w:val="21"/>
          <w:szCs w:val="21"/>
          <w:highlight w:val="none"/>
        </w:rPr>
        <w:t>。</w:t>
      </w:r>
    </w:p>
    <w:p w14:paraId="4CADCD0A">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17.5 </w:t>
      </w:r>
      <w:bookmarkEnd w:id="1782"/>
      <w:r>
        <w:rPr>
          <w:rFonts w:hint="eastAsia" w:ascii="宋体" w:hAnsi="宋体" w:eastAsia="宋体" w:cs="宋体"/>
          <w:b/>
          <w:bCs/>
          <w:szCs w:val="21"/>
        </w:rPr>
        <w:t>竣工结算（完工结算）</w:t>
      </w:r>
    </w:p>
    <w:p w14:paraId="1691881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783" w:name="_Toc221951266"/>
      <w:r>
        <w:rPr>
          <w:rFonts w:hint="eastAsia" w:ascii="宋体" w:hAnsi="宋体" w:eastAsia="宋体" w:cs="宋体"/>
          <w:color w:val="auto"/>
          <w:sz w:val="21"/>
          <w:szCs w:val="21"/>
          <w:highlight w:val="none"/>
        </w:rPr>
        <w:t>17.5.1 竣工（完工）付款申请单</w:t>
      </w:r>
      <w:bookmarkEnd w:id="1783"/>
    </w:p>
    <w:p w14:paraId="2C6783ED">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784" w:name="_Toc221951267"/>
      <w:r>
        <w:rPr>
          <w:rFonts w:hint="eastAsia" w:ascii="宋体" w:hAnsi="宋体" w:eastAsia="宋体" w:cs="宋体"/>
          <w:color w:val="auto"/>
          <w:sz w:val="21"/>
          <w:szCs w:val="21"/>
          <w:highlight w:val="none"/>
        </w:rPr>
        <w:t>（1）承包人应提交竣工付款申请单一式</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份。</w:t>
      </w:r>
      <w:bookmarkEnd w:id="1784"/>
    </w:p>
    <w:p w14:paraId="66571180">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785" w:name="_Toc221951268"/>
      <w:r>
        <w:rPr>
          <w:rFonts w:hint="eastAsia" w:ascii="宋体" w:hAnsi="宋体" w:eastAsia="宋体" w:cs="宋体"/>
          <w:b/>
          <w:bCs/>
          <w:color w:val="auto"/>
          <w:szCs w:val="21"/>
          <w:highlight w:val="none"/>
        </w:rPr>
        <w:t xml:space="preserve">17.6 </w:t>
      </w:r>
      <w:r>
        <w:rPr>
          <w:rFonts w:hint="eastAsia" w:ascii="宋体" w:hAnsi="宋体" w:eastAsia="宋体" w:cs="宋体"/>
          <w:b/>
          <w:bCs/>
          <w:szCs w:val="21"/>
          <w:lang w:val="en-US" w:eastAsia="zh-CN"/>
        </w:rPr>
        <w:t>最终</w:t>
      </w:r>
      <w:r>
        <w:rPr>
          <w:rFonts w:hint="eastAsia" w:ascii="宋体" w:hAnsi="宋体" w:eastAsia="宋体" w:cs="宋体"/>
          <w:b/>
          <w:bCs/>
          <w:color w:val="auto"/>
          <w:szCs w:val="21"/>
          <w:highlight w:val="none"/>
        </w:rPr>
        <w:t>结清</w:t>
      </w:r>
      <w:bookmarkEnd w:id="1785"/>
    </w:p>
    <w:p w14:paraId="607A7F06">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786" w:name="_Toc221951269"/>
      <w:r>
        <w:rPr>
          <w:rFonts w:hint="eastAsia" w:ascii="宋体" w:hAnsi="宋体" w:eastAsia="宋体" w:cs="宋体"/>
          <w:color w:val="auto"/>
          <w:sz w:val="21"/>
          <w:szCs w:val="21"/>
          <w:highlight w:val="none"/>
        </w:rPr>
        <w:t>17.6.1 最终结清申请单</w:t>
      </w:r>
      <w:bookmarkEnd w:id="1786"/>
    </w:p>
    <w:p w14:paraId="7757964D">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787" w:name="_Toc221951270"/>
      <w:r>
        <w:rPr>
          <w:rFonts w:hint="eastAsia" w:ascii="宋体" w:hAnsi="宋体" w:eastAsia="宋体" w:cs="宋体"/>
          <w:color w:val="auto"/>
          <w:sz w:val="21"/>
          <w:szCs w:val="21"/>
          <w:highlight w:val="none"/>
        </w:rPr>
        <w:t>（1）承包人应提交最终结清申请单一式</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rPr>
        <w:t>份。</w:t>
      </w:r>
      <w:bookmarkEnd w:id="1787"/>
    </w:p>
    <w:p w14:paraId="1E9BB64E">
      <w:pPr>
        <w:widowControl w:val="0"/>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szCs w:val="21"/>
          <w:lang w:eastAsia="zh-CN"/>
        </w:rPr>
        <w:t>（</w:t>
      </w:r>
      <w:r>
        <w:rPr>
          <w:rFonts w:hint="eastAsia" w:ascii="宋体" w:hAnsi="宋体" w:eastAsia="宋体" w:cs="宋体"/>
          <w:szCs w:val="21"/>
          <w:lang w:val="en-US" w:eastAsia="zh-CN"/>
        </w:rPr>
        <w:t>2</w:t>
      </w:r>
      <w:r>
        <w:rPr>
          <w:rFonts w:hint="eastAsia" w:ascii="宋体" w:hAnsi="宋体" w:eastAsia="宋体" w:cs="宋体"/>
          <w:szCs w:val="21"/>
          <w:lang w:eastAsia="zh-CN"/>
        </w:rPr>
        <w:t>）</w:t>
      </w:r>
      <w:r>
        <w:rPr>
          <w:rFonts w:hint="eastAsia" w:ascii="宋体" w:hAnsi="宋体" w:eastAsia="宋体" w:cs="宋体"/>
          <w:color w:val="auto"/>
          <w:szCs w:val="21"/>
          <w:highlight w:val="none"/>
        </w:rPr>
        <w:t>竣工财务决算</w:t>
      </w:r>
    </w:p>
    <w:p w14:paraId="3F74ECC6">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承包人应为竣工财务决算编制提供的资料：</w:t>
      </w:r>
      <w:r>
        <w:rPr>
          <w:rFonts w:hint="eastAsia" w:ascii="宋体" w:hAnsi="宋体" w:eastAsia="宋体" w:cs="宋体"/>
          <w:color w:val="auto"/>
          <w:sz w:val="21"/>
          <w:szCs w:val="21"/>
          <w:highlight w:val="none"/>
          <w:u w:val="none"/>
        </w:rPr>
        <w:t>准确，完整、齐全的有关技术材料、工程结算的经济文件、施工图及变更与签证等。</w:t>
      </w:r>
    </w:p>
    <w:p w14:paraId="72E16440">
      <w:pPr>
        <w:widowControl w:val="0"/>
        <w:wordWrap w:val="0"/>
        <w:spacing w:line="360" w:lineRule="auto"/>
        <w:ind w:firstLine="420" w:firstLineChars="200"/>
        <w:jc w:val="left"/>
        <w:rPr>
          <w:rFonts w:hint="eastAsia" w:ascii="宋体" w:hAnsi="宋体" w:eastAsia="宋体" w:cs="宋体"/>
          <w:color w:val="auto"/>
          <w:szCs w:val="21"/>
          <w:highlight w:val="none"/>
          <w:u w:val="none"/>
          <w:lang w:val="en-US" w:eastAsia="zh-CN"/>
        </w:rPr>
      </w:pPr>
      <w:r>
        <w:rPr>
          <w:rFonts w:hint="eastAsia" w:ascii="宋体" w:hAnsi="宋体" w:eastAsia="宋体" w:cs="宋体"/>
          <w:szCs w:val="21"/>
          <w:lang w:eastAsia="zh-CN"/>
        </w:rPr>
        <w:t>（</w:t>
      </w:r>
      <w:r>
        <w:rPr>
          <w:rFonts w:hint="eastAsia" w:ascii="宋体" w:hAnsi="宋体" w:eastAsia="宋体" w:cs="宋体"/>
          <w:szCs w:val="21"/>
          <w:lang w:val="en-US" w:eastAsia="zh-CN"/>
        </w:rPr>
        <w:t>3</w:t>
      </w:r>
      <w:r>
        <w:rPr>
          <w:rFonts w:hint="eastAsia" w:ascii="宋体" w:hAnsi="宋体" w:eastAsia="宋体" w:cs="宋体"/>
          <w:szCs w:val="21"/>
          <w:lang w:eastAsia="zh-CN"/>
        </w:rPr>
        <w:t>）</w:t>
      </w:r>
      <w:r>
        <w:rPr>
          <w:rFonts w:hint="eastAsia" w:ascii="宋体" w:hAnsi="宋体" w:eastAsia="宋体" w:cs="宋体"/>
          <w:color w:val="auto"/>
          <w:szCs w:val="21"/>
          <w:highlight w:val="none"/>
          <w:lang w:val="en-US" w:eastAsia="zh-CN"/>
        </w:rPr>
        <w:t>工程款支付担保：</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p>
    <w:p w14:paraId="2DF2B9A0">
      <w:pPr>
        <w:widowControl w:val="0"/>
        <w:wordWrap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szCs w:val="21"/>
          <w:lang w:val="en-US" w:eastAsia="zh-CN"/>
        </w:rPr>
        <w:t>（4）</w:t>
      </w:r>
      <w:r>
        <w:rPr>
          <w:rFonts w:hint="eastAsia" w:ascii="宋体" w:hAnsi="宋体" w:eastAsia="宋体" w:cs="宋体"/>
          <w:color w:val="auto"/>
          <w:szCs w:val="21"/>
          <w:highlight w:val="none"/>
          <w:lang w:val="en-US" w:eastAsia="zh-CN"/>
        </w:rPr>
        <w:t>施工安全生产专项</w:t>
      </w:r>
    </w:p>
    <w:p w14:paraId="748E6293">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执行河南省水利厅关于加强水利工程施工安全生产专项计列使用管理的通知（豫水建〔2025〕11号），并提供安全生产专项费使用方案，其他未尽事宜双方协商。</w:t>
      </w:r>
    </w:p>
    <w:p w14:paraId="19C5CAB1">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788" w:name="_Toc229305399"/>
      <w:bookmarkStart w:id="1789" w:name="_Toc222031043"/>
      <w:bookmarkStart w:id="1790" w:name="_Toc222032710"/>
      <w:bookmarkStart w:id="1791" w:name="_Toc222029541"/>
      <w:bookmarkStart w:id="1792" w:name="_Toc221951271"/>
      <w:bookmarkStart w:id="1793" w:name="_Toc222033892"/>
      <w:bookmarkStart w:id="1794" w:name="_Toc268299812"/>
      <w:bookmarkStart w:id="1795" w:name="_Toc427509956"/>
      <w:bookmarkStart w:id="1796" w:name="_Toc271870490"/>
      <w:bookmarkStart w:id="1797" w:name="_Toc31363"/>
      <w:bookmarkStart w:id="1798" w:name="_Toc6463"/>
      <w:bookmarkStart w:id="1799" w:name="_Toc25241"/>
      <w:bookmarkStart w:id="1800" w:name="_Toc3451238"/>
      <w:bookmarkStart w:id="1801" w:name="_Toc427509456"/>
      <w:bookmarkStart w:id="1802" w:name="_Toc27831"/>
      <w:bookmarkStart w:id="1803" w:name="_Toc21777"/>
      <w:bookmarkStart w:id="1804" w:name="_Toc267492152"/>
      <w:bookmarkStart w:id="1805" w:name="_Toc332378915"/>
      <w:r>
        <w:rPr>
          <w:rFonts w:hint="eastAsia" w:ascii="宋体" w:hAnsi="宋体" w:eastAsia="宋体" w:cs="宋体"/>
          <w:b/>
          <w:bCs/>
          <w:color w:val="auto"/>
          <w:sz w:val="21"/>
          <w:szCs w:val="21"/>
          <w:highlight w:val="none"/>
        </w:rPr>
        <w:t>18 竣工验收</w:t>
      </w:r>
      <w:bookmarkEnd w:id="1788"/>
      <w:bookmarkEnd w:id="1789"/>
      <w:bookmarkEnd w:id="1790"/>
      <w:bookmarkEnd w:id="1791"/>
      <w:bookmarkEnd w:id="1792"/>
      <w:bookmarkEnd w:id="1793"/>
      <w:r>
        <w:rPr>
          <w:rFonts w:hint="eastAsia" w:ascii="宋体" w:hAnsi="宋体" w:eastAsia="宋体" w:cs="宋体"/>
          <w:b/>
          <w:bCs/>
          <w:color w:val="auto"/>
          <w:sz w:val="21"/>
          <w:szCs w:val="21"/>
          <w:highlight w:val="none"/>
        </w:rPr>
        <w:t>（验收）</w:t>
      </w:r>
      <w:bookmarkEnd w:id="1794"/>
      <w:bookmarkEnd w:id="1795"/>
      <w:bookmarkEnd w:id="1796"/>
      <w:bookmarkEnd w:id="1797"/>
      <w:bookmarkEnd w:id="1798"/>
      <w:bookmarkEnd w:id="1799"/>
      <w:bookmarkEnd w:id="1800"/>
      <w:bookmarkEnd w:id="1801"/>
      <w:bookmarkEnd w:id="1802"/>
      <w:bookmarkEnd w:id="1803"/>
      <w:bookmarkEnd w:id="1804"/>
      <w:bookmarkEnd w:id="1805"/>
    </w:p>
    <w:p w14:paraId="5DC5F7A2">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18.1 </w:t>
      </w:r>
      <w:r>
        <w:rPr>
          <w:rFonts w:hint="eastAsia" w:ascii="宋体" w:hAnsi="宋体" w:eastAsia="宋体" w:cs="宋体"/>
          <w:b/>
          <w:bCs/>
          <w:szCs w:val="21"/>
        </w:rPr>
        <w:t>验收及类别</w:t>
      </w:r>
    </w:p>
    <w:p w14:paraId="7555CC50">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验收包括“施工质量验收”“合同工程验收”“阶段验收”“专项验收”“专业验收”及“竣工验收”</w:t>
      </w:r>
      <w:r>
        <w:rPr>
          <w:rFonts w:hint="eastAsia" w:ascii="宋体" w:hAnsi="宋体" w:eastAsia="宋体" w:cs="宋体"/>
          <w:color w:val="auto"/>
          <w:sz w:val="21"/>
          <w:szCs w:val="21"/>
          <w:highlight w:val="none"/>
        </w:rPr>
        <w:t>。验收条件为：（1）工程已完建；（2）按规定进行了评定或验收；（3）合同约定的其他条件。验收程序为：（1）听取被验及有关单位汇报；（2）检查完成情况、质量及相关档案资料；（3）讨论通过验收结论</w:t>
      </w:r>
      <w:r>
        <w:rPr>
          <w:rFonts w:hint="eastAsia" w:ascii="宋体" w:hAnsi="宋体" w:eastAsia="宋体" w:cs="宋体"/>
          <w:color w:val="auto"/>
          <w:sz w:val="21"/>
          <w:szCs w:val="21"/>
          <w:highlight w:val="none"/>
          <w:lang w:eastAsia="zh-CN"/>
        </w:rPr>
        <w:t>。</w:t>
      </w:r>
    </w:p>
    <w:p w14:paraId="2E113B51">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806" w:name="_Toc221951272"/>
      <w:r>
        <w:rPr>
          <w:rFonts w:hint="eastAsia" w:ascii="宋体" w:hAnsi="宋体" w:eastAsia="宋体" w:cs="宋体"/>
          <w:b/>
          <w:bCs/>
          <w:color w:val="auto"/>
          <w:szCs w:val="21"/>
          <w:highlight w:val="none"/>
        </w:rPr>
        <w:t>18.2 分部工程验收</w:t>
      </w:r>
      <w:bookmarkEnd w:id="1806"/>
    </w:p>
    <w:p w14:paraId="7AD5A9BB">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rPr>
      </w:pPr>
      <w:bookmarkStart w:id="1807" w:name="_Toc221951274"/>
      <w:r>
        <w:rPr>
          <w:rFonts w:hint="eastAsia" w:ascii="宋体" w:hAnsi="宋体" w:eastAsia="宋体" w:cs="宋体"/>
          <w:color w:val="auto"/>
          <w:sz w:val="21"/>
          <w:szCs w:val="21"/>
          <w:highlight w:val="none"/>
        </w:rPr>
        <w:t>18.2.2 本工程由发包人主持的分部工程验收为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，其余由监理人主持。</w:t>
      </w:r>
    </w:p>
    <w:p w14:paraId="1926F69A">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18.3 单位工程验收</w:t>
      </w:r>
    </w:p>
    <w:p w14:paraId="59BA3095">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18.3.4 提前投入使用的单位工程包括：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根据实际情况确定 </w:t>
      </w:r>
      <w:r>
        <w:rPr>
          <w:rFonts w:hint="eastAsia" w:ascii="宋体" w:hAnsi="宋体" w:eastAsia="宋体" w:cs="宋体"/>
          <w:color w:val="auto"/>
          <w:sz w:val="21"/>
          <w:szCs w:val="21"/>
          <w:highlight w:val="none"/>
        </w:rPr>
        <w:t>。</w:t>
      </w:r>
    </w:p>
    <w:p w14:paraId="2CD6FF4C">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18.5 阶段验收</w:t>
      </w:r>
    </w:p>
    <w:p w14:paraId="64136701">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18.5.1 本合同工程阶段验收类别包括：</w:t>
      </w:r>
      <w:bookmarkEnd w:id="1807"/>
      <w:bookmarkStart w:id="1808" w:name="_Toc221951282"/>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7BE162C">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18.6 </w:t>
      </w:r>
      <w:bookmarkEnd w:id="1808"/>
      <w:r>
        <w:rPr>
          <w:rFonts w:hint="eastAsia" w:ascii="宋体" w:hAnsi="宋体" w:eastAsia="宋体" w:cs="宋体"/>
          <w:b/>
          <w:bCs/>
          <w:color w:val="auto"/>
          <w:szCs w:val="21"/>
          <w:highlight w:val="none"/>
        </w:rPr>
        <w:t>专项验收</w:t>
      </w:r>
    </w:p>
    <w:p w14:paraId="0B721F94">
      <w:pPr>
        <w:widowControl w:val="0"/>
        <w:wordWrap w:val="0"/>
        <w:spacing w:line="360" w:lineRule="auto"/>
        <w:ind w:firstLine="420" w:firstLineChars="200"/>
        <w:contextualSpacing w:val="0"/>
        <w:jc w:val="left"/>
        <w:rPr>
          <w:rFonts w:hint="eastAsia" w:ascii="宋体" w:hAnsi="宋体" w:eastAsia="宋体" w:cs="宋体"/>
          <w:color w:val="auto"/>
          <w:kern w:val="2"/>
          <w:sz w:val="21"/>
          <w:szCs w:val="21"/>
          <w:highlight w:val="none"/>
        </w:rPr>
      </w:pPr>
      <w:bookmarkStart w:id="1809" w:name="_Toc221951283"/>
      <w:r>
        <w:rPr>
          <w:rFonts w:hint="eastAsia" w:ascii="宋体" w:hAnsi="宋体" w:eastAsia="宋体" w:cs="宋体"/>
          <w:color w:val="auto"/>
          <w:sz w:val="21"/>
          <w:szCs w:val="21"/>
          <w:highlight w:val="none"/>
        </w:rPr>
        <w:t xml:space="preserve">18.6.2 </w:t>
      </w:r>
      <w:bookmarkEnd w:id="1809"/>
      <w:r>
        <w:rPr>
          <w:rFonts w:hint="eastAsia" w:ascii="宋体" w:hAnsi="宋体" w:eastAsia="宋体" w:cs="宋体"/>
          <w:color w:val="auto"/>
          <w:sz w:val="21"/>
          <w:szCs w:val="21"/>
          <w:highlight w:val="none"/>
        </w:rPr>
        <w:t>本合同工程专项验收类别包括：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76BC735">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18.7 竣工验收</w:t>
      </w:r>
    </w:p>
    <w:p w14:paraId="5F29F128">
      <w:pPr>
        <w:widowControl w:val="0"/>
        <w:wordWrap w:val="0"/>
        <w:spacing w:line="360" w:lineRule="auto"/>
        <w:ind w:firstLine="420" w:firstLineChars="200"/>
        <w:contextualSpacing w:val="0"/>
        <w:jc w:val="left"/>
        <w:outlineLvl w:val="9"/>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18.7.3 本工程</w:t>
      </w:r>
      <w:r>
        <w:rPr>
          <w:rFonts w:hint="eastAsia" w:ascii="宋体" w:hAnsi="宋体" w:eastAsia="宋体" w:cs="宋体"/>
          <w:color w:val="auto"/>
          <w:sz w:val="21"/>
          <w:szCs w:val="21"/>
          <w:highlight w:val="none"/>
          <w:u w:val="none"/>
        </w:rPr>
        <w:t xml:space="preserve"> 需要 </w:t>
      </w:r>
      <w:r>
        <w:rPr>
          <w:rFonts w:hint="eastAsia" w:ascii="宋体" w:hAnsi="宋体" w:eastAsia="宋体" w:cs="宋体"/>
          <w:color w:val="auto"/>
          <w:sz w:val="21"/>
          <w:szCs w:val="21"/>
          <w:highlight w:val="none"/>
        </w:rPr>
        <w:t>竣工验收技术鉴定</w:t>
      </w:r>
      <w:r>
        <w:rPr>
          <w:rFonts w:hint="eastAsia" w:ascii="宋体" w:hAnsi="宋体" w:eastAsia="宋体" w:cs="宋体"/>
          <w:color w:val="auto"/>
          <w:kern w:val="2"/>
          <w:sz w:val="21"/>
          <w:szCs w:val="21"/>
          <w:highlight w:val="none"/>
        </w:rPr>
        <w:t>。</w:t>
      </w:r>
    </w:p>
    <w:p w14:paraId="0B271918">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18.8 施工期运行</w:t>
      </w:r>
    </w:p>
    <w:p w14:paraId="721B6143">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18.8.1 需要在施工期运行的单位工程或工程设备为：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1758443">
      <w:pPr>
        <w:widowControl w:val="0"/>
        <w:wordWrap w:val="0"/>
        <w:spacing w:line="360" w:lineRule="auto"/>
        <w:ind w:firstLine="0" w:firstLineChars="0"/>
        <w:jc w:val="left"/>
        <w:rPr>
          <w:rFonts w:hint="eastAsia" w:ascii="宋体" w:hAnsi="宋体" w:eastAsia="宋体" w:cs="宋体"/>
          <w:color w:val="auto"/>
          <w:szCs w:val="21"/>
          <w:highlight w:val="none"/>
        </w:rPr>
      </w:pPr>
      <w:bookmarkStart w:id="1810" w:name="_Toc221951285"/>
      <w:r>
        <w:rPr>
          <w:rFonts w:hint="eastAsia" w:ascii="宋体" w:hAnsi="宋体" w:eastAsia="宋体" w:cs="宋体"/>
          <w:b/>
          <w:bCs/>
          <w:color w:val="auto"/>
          <w:szCs w:val="21"/>
          <w:highlight w:val="none"/>
        </w:rPr>
        <w:t>18.9 试运行</w:t>
      </w:r>
      <w:bookmarkEnd w:id="1810"/>
    </w:p>
    <w:p w14:paraId="7A1AF741">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811" w:name="_Toc221951286"/>
      <w:r>
        <w:rPr>
          <w:rFonts w:hint="eastAsia" w:ascii="宋体" w:hAnsi="宋体" w:eastAsia="宋体" w:cs="宋体"/>
          <w:color w:val="auto"/>
          <w:sz w:val="21"/>
          <w:szCs w:val="21"/>
          <w:highlight w:val="none"/>
        </w:rPr>
        <w:t xml:space="preserve">18.9.1 </w:t>
      </w:r>
      <w:bookmarkEnd w:id="1811"/>
      <w:bookmarkStart w:id="1812" w:name="_Toc221951287"/>
      <w:r>
        <w:rPr>
          <w:rFonts w:hint="eastAsia" w:ascii="宋体" w:hAnsi="宋体" w:eastAsia="宋体" w:cs="宋体"/>
          <w:color w:val="auto"/>
          <w:sz w:val="21"/>
          <w:szCs w:val="21"/>
          <w:highlight w:val="none"/>
        </w:rPr>
        <w:t>试运行的组织：</w:t>
      </w:r>
      <w:r>
        <w:rPr>
          <w:rFonts w:hint="eastAsia" w:ascii="宋体" w:hAnsi="宋体" w:eastAsia="宋体" w:cs="宋体"/>
          <w:color w:val="auto"/>
          <w:sz w:val="21"/>
          <w:szCs w:val="21"/>
          <w:highlight w:val="none"/>
          <w:u w:val="single"/>
        </w:rPr>
        <w:t xml:space="preserve"> 由发包人负责组织 </w:t>
      </w:r>
      <w:bookmarkEnd w:id="1812"/>
      <w:r>
        <w:rPr>
          <w:rFonts w:hint="eastAsia" w:ascii="宋体" w:hAnsi="宋体" w:eastAsia="宋体" w:cs="宋体"/>
          <w:color w:val="auto"/>
          <w:sz w:val="21"/>
          <w:szCs w:val="21"/>
          <w:highlight w:val="none"/>
        </w:rPr>
        <w:t>；</w:t>
      </w:r>
      <w:bookmarkStart w:id="1813" w:name="_Toc221951288"/>
      <w:r>
        <w:rPr>
          <w:rFonts w:hint="eastAsia" w:ascii="宋体" w:hAnsi="宋体" w:eastAsia="宋体" w:cs="宋体"/>
          <w:color w:val="auto"/>
          <w:sz w:val="21"/>
          <w:szCs w:val="21"/>
          <w:highlight w:val="none"/>
        </w:rPr>
        <w:t>费用承担：</w:t>
      </w:r>
      <w:r>
        <w:rPr>
          <w:rFonts w:hint="eastAsia" w:ascii="宋体" w:hAnsi="宋体" w:eastAsia="宋体" w:cs="宋体"/>
          <w:color w:val="auto"/>
          <w:sz w:val="21"/>
          <w:szCs w:val="21"/>
          <w:highlight w:val="none"/>
          <w:u w:val="single"/>
        </w:rPr>
        <w:t xml:space="preserve">由承包人承担所需全部费用  </w:t>
      </w:r>
      <w:r>
        <w:rPr>
          <w:rFonts w:hint="eastAsia" w:ascii="宋体" w:hAnsi="宋体" w:eastAsia="宋体" w:cs="宋体"/>
          <w:color w:val="auto"/>
          <w:sz w:val="21"/>
          <w:szCs w:val="21"/>
          <w:highlight w:val="none"/>
        </w:rPr>
        <w:t>。</w:t>
      </w:r>
      <w:bookmarkEnd w:id="1813"/>
    </w:p>
    <w:p w14:paraId="25FAB839">
      <w:pPr>
        <w:widowControl w:val="0"/>
        <w:wordWrap w:val="0"/>
        <w:spacing w:line="360" w:lineRule="auto"/>
        <w:ind w:firstLine="0" w:firstLineChars="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18.12专业验收</w:t>
      </w:r>
    </w:p>
    <w:p w14:paraId="296E7AA3">
      <w:pPr>
        <w:widowControl w:val="0"/>
        <w:wordWrap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本合同工程</w:t>
      </w:r>
      <w:r>
        <w:rPr>
          <w:rFonts w:hint="eastAsia" w:ascii="宋体" w:hAnsi="宋体" w:eastAsia="宋体" w:cs="宋体"/>
          <w:color w:val="auto"/>
          <w:sz w:val="21"/>
          <w:szCs w:val="21"/>
          <w:highlight w:val="none"/>
          <w:lang w:val="en-US" w:eastAsia="zh-CN"/>
        </w:rPr>
        <w:t>专业</w:t>
      </w:r>
      <w:r>
        <w:rPr>
          <w:rFonts w:hint="eastAsia" w:ascii="宋体" w:hAnsi="宋体" w:eastAsia="宋体" w:cs="宋体"/>
          <w:color w:val="auto"/>
          <w:sz w:val="21"/>
          <w:szCs w:val="21"/>
          <w:highlight w:val="none"/>
        </w:rPr>
        <w:t>验收类别包括：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AC9FF7B">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814" w:name="_Toc3451239"/>
      <w:bookmarkStart w:id="1815" w:name="_Toc27083"/>
      <w:bookmarkStart w:id="1816" w:name="_Toc28152"/>
      <w:bookmarkStart w:id="1817" w:name="_Toc332378916"/>
      <w:bookmarkStart w:id="1818" w:name="_Toc427509457"/>
      <w:bookmarkStart w:id="1819" w:name="_Toc268299813"/>
      <w:bookmarkStart w:id="1820" w:name="_Toc427509957"/>
      <w:bookmarkStart w:id="1821" w:name="_Toc267492153"/>
      <w:bookmarkStart w:id="1822" w:name="_Toc22248"/>
      <w:bookmarkStart w:id="1823" w:name="_Toc271870491"/>
      <w:bookmarkStart w:id="1824" w:name="_Toc89"/>
      <w:bookmarkStart w:id="1825" w:name="_Toc1000"/>
      <w:r>
        <w:rPr>
          <w:rFonts w:hint="eastAsia" w:ascii="宋体" w:hAnsi="宋体" w:eastAsia="宋体" w:cs="宋体"/>
          <w:b/>
          <w:bCs/>
          <w:color w:val="auto"/>
          <w:sz w:val="21"/>
          <w:szCs w:val="21"/>
          <w:highlight w:val="none"/>
        </w:rPr>
        <w:t>19 缺陷责任与保修责任</w:t>
      </w:r>
      <w:bookmarkEnd w:id="1814"/>
      <w:bookmarkEnd w:id="1815"/>
      <w:bookmarkEnd w:id="1816"/>
      <w:bookmarkEnd w:id="1817"/>
      <w:bookmarkEnd w:id="1818"/>
      <w:bookmarkEnd w:id="1819"/>
      <w:bookmarkEnd w:id="1820"/>
      <w:bookmarkEnd w:id="1821"/>
      <w:bookmarkEnd w:id="1822"/>
      <w:bookmarkEnd w:id="1823"/>
      <w:bookmarkEnd w:id="1824"/>
      <w:bookmarkEnd w:id="1825"/>
    </w:p>
    <w:p w14:paraId="62E38FA8">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本工程缺陷责任期（工程质量保修期）计算如下：</w:t>
      </w:r>
      <w:r>
        <w:rPr>
          <w:rFonts w:hint="eastAsia" w:ascii="宋体" w:hAnsi="宋体" w:eastAsia="宋体" w:cs="宋体"/>
          <w:sz w:val="21"/>
          <w:szCs w:val="21"/>
        </w:rPr>
        <w:t>本工程合同工程完工验收证书签发之日起两年</w:t>
      </w:r>
      <w:r>
        <w:rPr>
          <w:rFonts w:hint="eastAsia" w:ascii="宋体" w:hAnsi="宋体" w:eastAsia="宋体" w:cs="宋体"/>
          <w:b w:val="0"/>
          <w:bCs w:val="0"/>
          <w:color w:val="auto"/>
          <w:sz w:val="21"/>
          <w:szCs w:val="21"/>
          <w:highlight w:val="none"/>
          <w:u w:val="none"/>
          <w:lang w:eastAsia="zh-CN"/>
        </w:rPr>
        <w:t>。</w:t>
      </w:r>
    </w:p>
    <w:p w14:paraId="238BAB56">
      <w:pPr>
        <w:widowControl w:val="0"/>
        <w:wordWrap w:val="0"/>
        <w:spacing w:before="0" w:after="0"/>
        <w:ind w:firstLine="0" w:firstLineChars="0"/>
        <w:jc w:val="left"/>
        <w:rPr>
          <w:rFonts w:hint="eastAsia" w:ascii="宋体" w:hAnsi="宋体" w:eastAsia="宋体" w:cs="宋体"/>
          <w:b/>
          <w:bCs/>
          <w:strike w:val="0"/>
          <w:dstrike w:val="0"/>
          <w:color w:val="auto"/>
          <w:sz w:val="21"/>
          <w:szCs w:val="21"/>
          <w:highlight w:val="none"/>
        </w:rPr>
      </w:pPr>
      <w:bookmarkStart w:id="1826" w:name="_Toc15049"/>
      <w:bookmarkStart w:id="1827" w:name="_Toc26247"/>
      <w:bookmarkStart w:id="1828" w:name="_Toc271870492"/>
      <w:bookmarkStart w:id="1829" w:name="_Toc427509458"/>
      <w:bookmarkStart w:id="1830" w:name="_Toc221951299"/>
      <w:bookmarkStart w:id="1831" w:name="_Toc222029542"/>
      <w:bookmarkStart w:id="1832" w:name="_Toc267492154"/>
      <w:bookmarkStart w:id="1833" w:name="_Toc29423"/>
      <w:bookmarkStart w:id="1834" w:name="_Toc222032711"/>
      <w:bookmarkStart w:id="1835" w:name="_Toc332378917"/>
      <w:bookmarkStart w:id="1836" w:name="_Toc5140"/>
      <w:bookmarkStart w:id="1837" w:name="_Toc427509958"/>
      <w:bookmarkStart w:id="1838" w:name="_Toc222031044"/>
      <w:bookmarkStart w:id="1839" w:name="_Toc3451240"/>
      <w:bookmarkStart w:id="1840" w:name="_Toc222033893"/>
      <w:bookmarkStart w:id="1841" w:name="_Toc31790"/>
      <w:bookmarkStart w:id="1842" w:name="_Toc229305400"/>
      <w:bookmarkStart w:id="1843" w:name="_Toc268299814"/>
      <w:r>
        <w:rPr>
          <w:rFonts w:hint="eastAsia" w:ascii="宋体" w:hAnsi="宋体" w:eastAsia="宋体" w:cs="宋体"/>
          <w:b/>
          <w:bCs/>
          <w:strike w:val="0"/>
          <w:dstrike w:val="0"/>
          <w:color w:val="auto"/>
          <w:sz w:val="21"/>
          <w:szCs w:val="21"/>
          <w:highlight w:val="none"/>
        </w:rPr>
        <w:t>20 保险</w:t>
      </w:r>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p>
    <w:p w14:paraId="5381057C">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844" w:name="_Toc1368"/>
      <w:bookmarkStart w:id="1845" w:name="_Toc221951321"/>
      <w:bookmarkStart w:id="1846" w:name="_Toc221951327"/>
      <w:r>
        <w:rPr>
          <w:rFonts w:hint="eastAsia" w:ascii="宋体" w:hAnsi="宋体" w:eastAsia="宋体" w:cs="宋体"/>
          <w:b/>
          <w:bCs/>
          <w:color w:val="auto"/>
          <w:szCs w:val="21"/>
          <w:highlight w:val="none"/>
        </w:rPr>
        <w:t>20.1 工程保险</w:t>
      </w:r>
      <w:bookmarkEnd w:id="1844"/>
      <w:bookmarkEnd w:id="1845"/>
    </w:p>
    <w:p w14:paraId="05F3A74C">
      <w:pPr>
        <w:widowControl w:val="0"/>
        <w:wordWrap w:val="0"/>
        <w:spacing w:line="360" w:lineRule="auto"/>
        <w:ind w:firstLine="420" w:firstLineChars="200"/>
        <w:contextualSpacing w:val="0"/>
        <w:jc w:val="left"/>
        <w:rPr>
          <w:rFonts w:hint="default" w:ascii="宋体" w:hAnsi="宋体" w:eastAsia="宋体" w:cs="宋体"/>
          <w:sz w:val="21"/>
          <w:szCs w:val="21"/>
          <w:lang w:val="en-US" w:eastAsia="zh-CN"/>
        </w:rPr>
      </w:pPr>
      <w:bookmarkStart w:id="1847" w:name="_Toc221951323"/>
      <w:r>
        <w:rPr>
          <w:rFonts w:hint="eastAsia" w:ascii="宋体" w:hAnsi="宋体" w:eastAsia="宋体" w:cs="宋体"/>
          <w:sz w:val="21"/>
          <w:szCs w:val="21"/>
          <w:lang w:val="en-US" w:eastAsia="zh-CN"/>
        </w:rPr>
        <w:t>🈶承包人按规定投保</w:t>
      </w:r>
    </w:p>
    <w:p w14:paraId="20728426">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848" w:name="_Toc9861"/>
      <w:r>
        <w:rPr>
          <w:rFonts w:hint="eastAsia" w:ascii="宋体" w:hAnsi="宋体" w:eastAsia="宋体" w:cs="宋体"/>
          <w:b/>
          <w:bCs/>
          <w:color w:val="auto"/>
          <w:szCs w:val="21"/>
          <w:highlight w:val="none"/>
        </w:rPr>
        <w:t>20.4 第三者责任险</w:t>
      </w:r>
      <w:bookmarkEnd w:id="1847"/>
      <w:bookmarkEnd w:id="1848"/>
    </w:p>
    <w:p w14:paraId="2168BB8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849" w:name="_Toc221951325"/>
      <w:r>
        <w:rPr>
          <w:rFonts w:hint="eastAsia" w:ascii="宋体" w:hAnsi="宋体" w:eastAsia="宋体" w:cs="宋体"/>
          <w:color w:val="auto"/>
          <w:sz w:val="21"/>
          <w:szCs w:val="21"/>
          <w:highlight w:val="none"/>
        </w:rPr>
        <w:t>20.4.2第三者责任险保险费率：</w:t>
      </w:r>
      <w:r>
        <w:rPr>
          <w:rFonts w:hint="eastAsia" w:ascii="宋体" w:hAnsi="宋体" w:eastAsia="宋体" w:cs="宋体"/>
          <w:color w:val="auto"/>
          <w:sz w:val="21"/>
          <w:szCs w:val="21"/>
          <w:highlight w:val="none"/>
          <w:u w:val="none"/>
        </w:rPr>
        <w:t>发包人确定</w:t>
      </w:r>
      <w:r>
        <w:rPr>
          <w:rFonts w:hint="eastAsia" w:ascii="宋体" w:hAnsi="宋体" w:eastAsia="宋体" w:cs="宋体"/>
          <w:color w:val="auto"/>
          <w:sz w:val="21"/>
          <w:szCs w:val="21"/>
          <w:highlight w:val="none"/>
        </w:rPr>
        <w:t>；</w:t>
      </w:r>
    </w:p>
    <w:p w14:paraId="1E28EE8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第三者责任险保险金额：</w:t>
      </w:r>
      <w:r>
        <w:rPr>
          <w:rFonts w:hint="eastAsia" w:ascii="宋体" w:hAnsi="宋体" w:eastAsia="宋体" w:cs="宋体"/>
          <w:color w:val="auto"/>
          <w:sz w:val="21"/>
          <w:szCs w:val="21"/>
          <w:highlight w:val="none"/>
          <w:u w:val="none"/>
        </w:rPr>
        <w:t>发包人确定</w:t>
      </w:r>
      <w:r>
        <w:rPr>
          <w:rFonts w:hint="eastAsia" w:ascii="宋体" w:hAnsi="宋体" w:eastAsia="宋体" w:cs="宋体"/>
          <w:color w:val="auto"/>
          <w:sz w:val="21"/>
          <w:szCs w:val="21"/>
          <w:highlight w:val="none"/>
        </w:rPr>
        <w:t>。</w:t>
      </w:r>
    </w:p>
    <w:p w14:paraId="4857415A">
      <w:pPr>
        <w:widowControl w:val="0"/>
        <w:wordWrap w:val="0"/>
        <w:spacing w:line="360" w:lineRule="auto"/>
        <w:ind w:firstLine="0" w:firstLineChars="0"/>
        <w:jc w:val="left"/>
        <w:rPr>
          <w:rFonts w:hint="eastAsia" w:ascii="宋体" w:hAnsi="宋体" w:eastAsia="宋体" w:cs="宋体"/>
          <w:b/>
          <w:bCs/>
          <w:color w:val="auto"/>
          <w:szCs w:val="21"/>
          <w:highlight w:val="none"/>
        </w:rPr>
      </w:pPr>
      <w:bookmarkStart w:id="1850" w:name="_Toc22899"/>
      <w:r>
        <w:rPr>
          <w:rFonts w:hint="eastAsia" w:ascii="宋体" w:hAnsi="宋体" w:eastAsia="宋体" w:cs="宋体"/>
          <w:b/>
          <w:bCs/>
          <w:color w:val="auto"/>
          <w:szCs w:val="21"/>
          <w:highlight w:val="none"/>
        </w:rPr>
        <w:t>20.5 其他保险</w:t>
      </w:r>
      <w:bookmarkEnd w:id="1849"/>
      <w:bookmarkEnd w:id="1850"/>
    </w:p>
    <w:p w14:paraId="612291E9">
      <w:pPr>
        <w:widowControl w:val="0"/>
        <w:wordWrap w:val="0"/>
        <w:spacing w:line="360" w:lineRule="auto"/>
        <w:ind w:firstLine="420" w:firstLineChars="200"/>
        <w:contextualSpacing w:val="0"/>
        <w:jc w:val="left"/>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需要投保的其他内容：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安全生产责任险及其他保险</w:t>
      </w:r>
      <w:r>
        <w:rPr>
          <w:rFonts w:hint="eastAsia" w:ascii="宋体" w:hAnsi="宋体" w:eastAsia="宋体" w:cs="宋体"/>
          <w:color w:val="auto"/>
          <w:sz w:val="21"/>
          <w:szCs w:val="21"/>
          <w:highlight w:val="none"/>
          <w:u w:val="single"/>
        </w:rPr>
        <w:t>投保时由</w:t>
      </w:r>
      <w:r>
        <w:rPr>
          <w:rFonts w:hint="eastAsia" w:ascii="宋体" w:hAnsi="宋体" w:eastAsia="宋体" w:cs="宋体"/>
          <w:color w:val="auto"/>
          <w:sz w:val="21"/>
          <w:szCs w:val="21"/>
          <w:highlight w:val="none"/>
          <w:u w:val="single"/>
          <w:lang w:val="en-US" w:eastAsia="zh-CN"/>
        </w:rPr>
        <w:t>承包人购买，保险方案由</w:t>
      </w:r>
      <w:r>
        <w:rPr>
          <w:rFonts w:hint="eastAsia" w:ascii="宋体" w:hAnsi="宋体" w:eastAsia="宋体" w:cs="宋体"/>
          <w:color w:val="auto"/>
          <w:sz w:val="21"/>
          <w:szCs w:val="21"/>
          <w:highlight w:val="none"/>
          <w:u w:val="single"/>
        </w:rPr>
        <w:t xml:space="preserve">发包人与承包人共同协商确定  </w:t>
      </w:r>
      <w:r>
        <w:rPr>
          <w:rFonts w:hint="eastAsia" w:ascii="宋体" w:hAnsi="宋体" w:eastAsia="宋体" w:cs="宋体"/>
          <w:color w:val="auto"/>
          <w:sz w:val="21"/>
          <w:szCs w:val="21"/>
          <w:highlight w:val="none"/>
        </w:rPr>
        <w:t>；</w:t>
      </w:r>
    </w:p>
    <w:p w14:paraId="63F4523B">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20.6 对各项保险的一般要求</w:t>
      </w:r>
      <w:bookmarkEnd w:id="1846"/>
    </w:p>
    <w:p w14:paraId="533EF199">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rPr>
      </w:pPr>
      <w:bookmarkStart w:id="1851" w:name="_Toc221951328"/>
      <w:r>
        <w:rPr>
          <w:rFonts w:hint="eastAsia" w:ascii="宋体" w:hAnsi="宋体" w:eastAsia="宋体" w:cs="宋体"/>
          <w:color w:val="auto"/>
          <w:sz w:val="21"/>
          <w:szCs w:val="21"/>
          <w:highlight w:val="none"/>
        </w:rPr>
        <w:t>20.6.1 保险凭证</w:t>
      </w:r>
      <w:bookmarkEnd w:id="1851"/>
    </w:p>
    <w:p w14:paraId="18A7C194">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852" w:name="_Toc221951329"/>
      <w:r>
        <w:rPr>
          <w:rFonts w:hint="eastAsia" w:ascii="宋体" w:hAnsi="宋体" w:eastAsia="宋体" w:cs="宋体"/>
          <w:color w:val="auto"/>
          <w:sz w:val="21"/>
          <w:szCs w:val="21"/>
          <w:highlight w:val="none"/>
        </w:rPr>
        <w:t>承包人提交保险凭证的期限：</w:t>
      </w:r>
      <w:r>
        <w:rPr>
          <w:rFonts w:hint="eastAsia" w:ascii="宋体" w:hAnsi="宋体" w:eastAsia="宋体" w:cs="宋体"/>
          <w:color w:val="auto"/>
          <w:sz w:val="21"/>
          <w:szCs w:val="21"/>
          <w:highlight w:val="none"/>
          <w:u w:val="none"/>
        </w:rPr>
        <w:t>接到开工通知后的7天内</w:t>
      </w:r>
      <w:bookmarkEnd w:id="1852"/>
      <w:r>
        <w:rPr>
          <w:rFonts w:hint="eastAsia" w:ascii="宋体" w:hAnsi="宋体" w:eastAsia="宋体" w:cs="宋体"/>
          <w:color w:val="auto"/>
          <w:sz w:val="21"/>
          <w:szCs w:val="21"/>
          <w:highlight w:val="none"/>
        </w:rPr>
        <w:t>；</w:t>
      </w:r>
    </w:p>
    <w:p w14:paraId="7824B181">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853" w:name="_Toc221951330"/>
      <w:r>
        <w:rPr>
          <w:rFonts w:hint="eastAsia" w:ascii="宋体" w:hAnsi="宋体" w:eastAsia="宋体" w:cs="宋体"/>
          <w:color w:val="auto"/>
          <w:sz w:val="21"/>
          <w:szCs w:val="21"/>
          <w:highlight w:val="none"/>
        </w:rPr>
        <w:t>保险条件：</w:t>
      </w:r>
      <w:r>
        <w:rPr>
          <w:rFonts w:hint="eastAsia" w:ascii="宋体" w:hAnsi="宋体" w:eastAsia="宋体" w:cs="宋体"/>
          <w:color w:val="auto"/>
          <w:sz w:val="21"/>
          <w:szCs w:val="21"/>
          <w:highlight w:val="none"/>
          <w:u w:val="single"/>
        </w:rPr>
        <w:t xml:space="preserve"> 应满足工程需要，符合本合同规定  </w:t>
      </w:r>
      <w:r>
        <w:rPr>
          <w:rFonts w:hint="eastAsia" w:ascii="宋体" w:hAnsi="宋体" w:eastAsia="宋体" w:cs="宋体"/>
          <w:color w:val="auto"/>
          <w:sz w:val="21"/>
          <w:szCs w:val="21"/>
          <w:highlight w:val="none"/>
        </w:rPr>
        <w:t>。</w:t>
      </w:r>
      <w:bookmarkEnd w:id="1853"/>
    </w:p>
    <w:p w14:paraId="19F2A1F6">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bookmarkStart w:id="1854" w:name="_Toc221951331"/>
      <w:r>
        <w:rPr>
          <w:rFonts w:hint="eastAsia" w:ascii="宋体" w:hAnsi="宋体" w:eastAsia="宋体" w:cs="宋体"/>
          <w:color w:val="auto"/>
          <w:sz w:val="21"/>
          <w:szCs w:val="21"/>
          <w:highlight w:val="none"/>
        </w:rPr>
        <w:t>20.6.4 保险金不足的补偿</w:t>
      </w:r>
      <w:bookmarkEnd w:id="1854"/>
    </w:p>
    <w:p w14:paraId="0DAAC66A">
      <w:pPr>
        <w:widowControl w:val="0"/>
        <w:wordWrap w:val="0"/>
        <w:spacing w:line="360" w:lineRule="auto"/>
        <w:ind w:left="0" w:leftChars="0" w:firstLine="420" w:firstLineChars="200"/>
        <w:contextualSpacing w:val="0"/>
        <w:jc w:val="left"/>
        <w:rPr>
          <w:rFonts w:hint="eastAsia" w:ascii="宋体" w:hAnsi="宋体" w:eastAsia="宋体" w:cs="宋体"/>
          <w:color w:val="auto"/>
          <w:sz w:val="21"/>
          <w:szCs w:val="21"/>
          <w:highlight w:val="none"/>
        </w:rPr>
      </w:pPr>
      <w:bookmarkStart w:id="1855" w:name="_Toc221951332"/>
      <w:r>
        <w:rPr>
          <w:rFonts w:hint="eastAsia" w:ascii="宋体" w:hAnsi="宋体" w:eastAsia="宋体" w:cs="宋体"/>
          <w:color w:val="auto"/>
          <w:sz w:val="21"/>
          <w:szCs w:val="21"/>
          <w:highlight w:val="none"/>
        </w:rPr>
        <w:t>承包人负责补偿的范围与金额：</w:t>
      </w:r>
      <w:bookmarkEnd w:id="1855"/>
      <w:r>
        <w:rPr>
          <w:rFonts w:hint="eastAsia" w:ascii="宋体" w:hAnsi="宋体" w:eastAsia="宋体" w:cs="宋体"/>
          <w:color w:val="auto"/>
          <w:sz w:val="21"/>
          <w:szCs w:val="21"/>
          <w:highlight w:val="none"/>
          <w:u w:val="single"/>
        </w:rPr>
        <w:t xml:space="preserve">  由承包人确定  </w:t>
      </w:r>
      <w:r>
        <w:rPr>
          <w:rFonts w:hint="eastAsia" w:ascii="宋体" w:hAnsi="宋体" w:eastAsia="宋体" w:cs="宋体"/>
          <w:color w:val="auto"/>
          <w:sz w:val="21"/>
          <w:szCs w:val="21"/>
          <w:highlight w:val="none"/>
        </w:rPr>
        <w:t>；</w:t>
      </w:r>
    </w:p>
    <w:p w14:paraId="03390C3A">
      <w:pPr>
        <w:widowControl w:val="0"/>
        <w:wordWrap w:val="0"/>
        <w:spacing w:line="360" w:lineRule="auto"/>
        <w:ind w:left="0" w:leftChars="0"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发包人负责补偿的范围与金额：</w:t>
      </w:r>
      <w:r>
        <w:rPr>
          <w:rFonts w:hint="eastAsia" w:ascii="宋体" w:hAnsi="宋体" w:eastAsia="宋体" w:cs="宋体"/>
          <w:color w:val="auto"/>
          <w:sz w:val="21"/>
          <w:szCs w:val="21"/>
          <w:highlight w:val="none"/>
          <w:u w:val="single"/>
        </w:rPr>
        <w:t xml:space="preserve">  由发包人与承包人共同协商  </w:t>
      </w:r>
      <w:r>
        <w:rPr>
          <w:rFonts w:hint="eastAsia" w:ascii="宋体" w:hAnsi="宋体" w:eastAsia="宋体" w:cs="宋体"/>
          <w:color w:val="auto"/>
          <w:sz w:val="21"/>
          <w:szCs w:val="21"/>
          <w:highlight w:val="none"/>
        </w:rPr>
        <w:t>。</w:t>
      </w:r>
    </w:p>
    <w:p w14:paraId="61A755BD">
      <w:pPr>
        <w:widowControl w:val="0"/>
        <w:wordWrap w:val="0"/>
        <w:spacing w:before="0" w:after="0"/>
        <w:ind w:firstLine="0" w:firstLineChars="0"/>
        <w:jc w:val="left"/>
        <w:rPr>
          <w:rFonts w:hint="eastAsia" w:ascii="宋体" w:hAnsi="宋体" w:eastAsia="宋体" w:cs="宋体"/>
          <w:b/>
          <w:bCs/>
          <w:color w:val="auto"/>
          <w:sz w:val="21"/>
          <w:szCs w:val="21"/>
          <w:highlight w:val="none"/>
        </w:rPr>
      </w:pPr>
      <w:bookmarkStart w:id="1856" w:name="_Toc3451241"/>
      <w:bookmarkStart w:id="1857" w:name="_Toc2400"/>
      <w:bookmarkStart w:id="1858" w:name="_Toc427509459"/>
      <w:bookmarkStart w:id="1859" w:name="_Toc221951334"/>
      <w:bookmarkStart w:id="1860" w:name="_Toc17613"/>
      <w:bookmarkStart w:id="1861" w:name="_Toc332378918"/>
      <w:bookmarkStart w:id="1862" w:name="_Toc25083"/>
      <w:bookmarkStart w:id="1863" w:name="_Toc271870493"/>
      <w:bookmarkStart w:id="1864" w:name="_Toc222032712"/>
      <w:bookmarkStart w:id="1865" w:name="_Toc267492155"/>
      <w:bookmarkStart w:id="1866" w:name="_Toc222029543"/>
      <w:bookmarkStart w:id="1867" w:name="_Toc222033894"/>
      <w:bookmarkStart w:id="1868" w:name="_Toc222031045"/>
      <w:bookmarkStart w:id="1869" w:name="_Toc427509959"/>
      <w:bookmarkStart w:id="1870" w:name="_Toc268299815"/>
      <w:bookmarkStart w:id="1871" w:name="_Toc229305401"/>
      <w:bookmarkStart w:id="1872" w:name="_Toc2521"/>
      <w:bookmarkStart w:id="1873" w:name="_Toc12905"/>
      <w:r>
        <w:rPr>
          <w:rFonts w:hint="eastAsia" w:ascii="宋体" w:hAnsi="宋体" w:eastAsia="宋体" w:cs="宋体"/>
          <w:b/>
          <w:bCs/>
          <w:color w:val="auto"/>
          <w:sz w:val="21"/>
          <w:szCs w:val="21"/>
          <w:highlight w:val="none"/>
        </w:rPr>
        <w:t>24. 争议的解决</w:t>
      </w:r>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p>
    <w:p w14:paraId="2F09B260">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24.1 争议的解决方式</w:t>
      </w:r>
    </w:p>
    <w:p w14:paraId="4A55C09E">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合同当事人友好协商解决不成、不愿提请争议评审或不接受争议评审组意见的，约定的合同争议解决方式：</w:t>
      </w:r>
      <w:r>
        <w:rPr>
          <w:rFonts w:hint="eastAsia" w:ascii="宋体" w:hAnsi="宋体" w:eastAsia="宋体" w:cs="宋体"/>
          <w:color w:val="auto"/>
          <w:sz w:val="21"/>
          <w:szCs w:val="21"/>
          <w:highlight w:val="none"/>
          <w:u w:val="none"/>
        </w:rPr>
        <w:t>直接向</w:t>
      </w:r>
      <w:r>
        <w:rPr>
          <w:rFonts w:hint="eastAsia" w:ascii="宋体" w:hAnsi="宋体" w:eastAsia="宋体" w:cs="宋体"/>
          <w:color w:val="auto"/>
          <w:sz w:val="21"/>
          <w:szCs w:val="21"/>
          <w:highlight w:val="none"/>
          <w:u w:val="none"/>
          <w:lang w:val="en-US" w:eastAsia="zh-CN"/>
        </w:rPr>
        <w:t>项目法人机构所在地</w:t>
      </w:r>
      <w:r>
        <w:rPr>
          <w:rFonts w:hint="eastAsia" w:ascii="宋体" w:hAnsi="宋体" w:eastAsia="宋体" w:cs="宋体"/>
          <w:color w:val="auto"/>
          <w:sz w:val="21"/>
          <w:szCs w:val="21"/>
          <w:highlight w:val="none"/>
          <w:u w:val="none"/>
        </w:rPr>
        <w:t>人民法院提请诉讼。合同争议协调期间，承包人不得以任何方式中止所承担的工程建设活动。</w:t>
      </w:r>
    </w:p>
    <w:p w14:paraId="12C46468">
      <w:pPr>
        <w:widowControl/>
        <w:spacing w:line="360" w:lineRule="auto"/>
        <w:ind w:firstLine="424" w:firstLineChars="177"/>
        <w:contextualSpacing/>
        <w:jc w:val="left"/>
        <w:rPr>
          <w:rFonts w:hint="eastAsia" w:ascii="宋体" w:hAnsi="宋体" w:eastAsia="宋体" w:cs="宋体"/>
          <w:color w:val="auto"/>
          <w:sz w:val="24"/>
          <w:szCs w:val="24"/>
          <w:highlight w:val="none"/>
          <w:u w:val="single"/>
        </w:rPr>
      </w:pPr>
    </w:p>
    <w:p w14:paraId="7CF37A4D">
      <w:pPr>
        <w:widowControl/>
        <w:spacing w:line="360" w:lineRule="auto"/>
        <w:contextualSpacing/>
        <w:jc w:val="left"/>
        <w:rPr>
          <w:rFonts w:hint="eastAsia" w:ascii="宋体" w:hAnsi="宋体" w:eastAsia="宋体" w:cs="宋体"/>
          <w:color w:val="auto"/>
          <w:szCs w:val="22"/>
          <w:highlight w:val="none"/>
        </w:rPr>
      </w:pPr>
      <w:bookmarkStart w:id="1874" w:name="_Toc168475883"/>
      <w:bookmarkStart w:id="1875" w:name="_Toc168476286"/>
      <w:bookmarkStart w:id="1876" w:name="_Toc144974826"/>
    </w:p>
    <w:p w14:paraId="00BBC22F">
      <w:pPr>
        <w:widowControl/>
        <w:jc w:val="left"/>
        <w:rPr>
          <w:rFonts w:hint="eastAsia" w:ascii="宋体" w:hAnsi="宋体" w:eastAsia="宋体" w:cs="宋体"/>
          <w:bCs w:val="0"/>
          <w:color w:val="auto"/>
          <w:szCs w:val="22"/>
          <w:highlight w:val="none"/>
        </w:rPr>
      </w:pPr>
      <w:bookmarkStart w:id="1877" w:name="_Toc23876"/>
      <w:bookmarkStart w:id="1878" w:name="_Toc19596"/>
      <w:bookmarkStart w:id="1879" w:name="_Toc229305402"/>
      <w:r>
        <w:rPr>
          <w:rFonts w:hint="eastAsia" w:ascii="宋体" w:hAnsi="宋体" w:eastAsia="宋体" w:cs="宋体"/>
          <w:bCs w:val="0"/>
          <w:color w:val="auto"/>
          <w:szCs w:val="22"/>
          <w:highlight w:val="none"/>
        </w:rPr>
        <w:br w:type="page"/>
      </w:r>
    </w:p>
    <w:p w14:paraId="6D212980">
      <w:pPr>
        <w:widowControl/>
        <w:spacing w:before="0" w:after="0"/>
        <w:ind w:firstLine="3795" w:firstLineChars="1800"/>
        <w:jc w:val="left"/>
        <w:outlineLvl w:val="9"/>
        <w:rPr>
          <w:rFonts w:hint="eastAsia" w:ascii="宋体" w:hAnsi="宋体" w:eastAsia="宋体" w:cs="宋体"/>
          <w:b/>
          <w:bCs/>
          <w:color w:val="auto"/>
          <w:sz w:val="21"/>
          <w:szCs w:val="21"/>
          <w:highlight w:val="none"/>
        </w:rPr>
      </w:pPr>
      <w:bookmarkStart w:id="1880" w:name="_Toc1547"/>
      <w:r>
        <w:rPr>
          <w:rFonts w:hint="eastAsia" w:ascii="宋体" w:hAnsi="宋体" w:eastAsia="宋体" w:cs="宋体"/>
          <w:b/>
          <w:bCs/>
          <w:color w:val="auto"/>
          <w:sz w:val="21"/>
          <w:szCs w:val="21"/>
          <w:highlight w:val="none"/>
        </w:rPr>
        <w:t>第三节 合同附件格式</w:t>
      </w:r>
      <w:bookmarkEnd w:id="1874"/>
      <w:bookmarkEnd w:id="1875"/>
      <w:bookmarkEnd w:id="1876"/>
      <w:bookmarkEnd w:id="1877"/>
      <w:bookmarkEnd w:id="1878"/>
      <w:bookmarkEnd w:id="1879"/>
      <w:bookmarkEnd w:id="1880"/>
    </w:p>
    <w:p w14:paraId="302BC513">
      <w:pPr>
        <w:widowControl/>
        <w:jc w:val="left"/>
        <w:outlineLvl w:val="9"/>
        <w:rPr>
          <w:rFonts w:hint="eastAsia" w:ascii="宋体" w:hAnsi="宋体" w:eastAsia="宋体" w:cs="宋体"/>
          <w:b/>
          <w:bCs/>
          <w:color w:val="auto"/>
          <w:sz w:val="21"/>
          <w:szCs w:val="21"/>
          <w:highlight w:val="none"/>
        </w:rPr>
      </w:pPr>
      <w:bookmarkStart w:id="1881" w:name="_Toc144974827"/>
      <w:bookmarkStart w:id="1882" w:name="_Toc168475884"/>
      <w:bookmarkStart w:id="1883" w:name="_Toc168476287"/>
      <w:bookmarkStart w:id="1884" w:name="_Toc11770"/>
      <w:bookmarkStart w:id="1885" w:name="_Toc403835106"/>
      <w:bookmarkStart w:id="1886" w:name="_Toc271870495"/>
      <w:bookmarkStart w:id="1887" w:name="_Toc19013"/>
      <w:bookmarkStart w:id="1888" w:name="_Toc17138"/>
      <w:bookmarkStart w:id="1889" w:name="_Toc23990"/>
      <w:bookmarkStart w:id="1890" w:name="_Toc1748"/>
      <w:bookmarkStart w:id="1891" w:name="_Toc332378920"/>
      <w:bookmarkStart w:id="1892" w:name="_Toc3177"/>
      <w:bookmarkStart w:id="1893" w:name="_Toc266885982"/>
      <w:bookmarkStart w:id="1894" w:name="_Toc36069738"/>
      <w:bookmarkStart w:id="1895" w:name="_Toc19179"/>
      <w:bookmarkStart w:id="1896" w:name="_Toc3451243"/>
      <w:bookmarkStart w:id="1897" w:name="_Toc16721"/>
      <w:bookmarkStart w:id="1898" w:name="_Toc22246"/>
      <w:bookmarkStart w:id="1899" w:name="_Toc29951"/>
      <w:bookmarkStart w:id="1900" w:name="_Toc427509461"/>
      <w:bookmarkStart w:id="1901" w:name="_Toc427509961"/>
      <w:bookmarkStart w:id="1902" w:name="_Toc266859678"/>
      <w:r>
        <w:rPr>
          <w:rFonts w:hint="eastAsia" w:ascii="宋体" w:hAnsi="宋体" w:eastAsia="宋体" w:cs="宋体"/>
          <w:b/>
          <w:bCs/>
          <w:color w:val="auto"/>
          <w:sz w:val="21"/>
          <w:szCs w:val="21"/>
          <w:highlight w:val="none"/>
        </w:rPr>
        <w:t>附件一：合同协议书</w:t>
      </w:r>
      <w:bookmarkEnd w:id="1881"/>
      <w:bookmarkEnd w:id="1882"/>
      <w:bookmarkEnd w:id="1883"/>
      <w:r>
        <w:rPr>
          <w:rFonts w:hint="eastAsia" w:ascii="宋体" w:hAnsi="宋体" w:eastAsia="宋体" w:cs="宋体"/>
          <w:b/>
          <w:bCs/>
          <w:color w:val="auto"/>
          <w:sz w:val="21"/>
          <w:szCs w:val="21"/>
          <w:highlight w:val="none"/>
        </w:rPr>
        <w:t>（格式）</w:t>
      </w:r>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p>
    <w:p w14:paraId="4EF77A84">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合同协议书（格式）</w:t>
      </w:r>
    </w:p>
    <w:p w14:paraId="682C5D76">
      <w:pPr>
        <w:widowControl/>
        <w:jc w:val="center"/>
        <w:rPr>
          <w:rFonts w:hint="eastAsia" w:ascii="宋体" w:hAnsi="宋体" w:eastAsia="宋体" w:cs="宋体"/>
          <w:b/>
          <w:color w:val="auto"/>
          <w:sz w:val="21"/>
          <w:szCs w:val="21"/>
          <w:highlight w:val="none"/>
        </w:rPr>
      </w:pPr>
    </w:p>
    <w:p w14:paraId="53AD4F08">
      <w:pPr>
        <w:widowControl w:val="0"/>
        <w:wordWrap w:val="0"/>
        <w:spacing w:beforeLines="0" w:line="360" w:lineRule="auto"/>
        <w:ind w:firstLine="42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rPr>
        <w:t>依据国家有关</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（发包人名称，以下简称“发包人”）为实施</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，已接受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（承包人名称，以下简称“承包人”）对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标的投标，并确定为中标人。双方经友好协商，达成如下协议。</w:t>
      </w:r>
    </w:p>
    <w:p w14:paraId="58EA4A84">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1. 本协议书与下列文件一起构成合同文件：</w:t>
      </w:r>
    </w:p>
    <w:p w14:paraId="1D0BF48C">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（1）中标通知书；</w:t>
      </w:r>
    </w:p>
    <w:p w14:paraId="087C5E27">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（2）投标函及投标函附录；</w:t>
      </w:r>
    </w:p>
    <w:p w14:paraId="1CA6FA16">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（3）专用合同条款；</w:t>
      </w:r>
    </w:p>
    <w:p w14:paraId="08D4B3F8">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（4）通用合同条款；</w:t>
      </w:r>
    </w:p>
    <w:p w14:paraId="0BF9EF1F">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（5）技术标准和要求；</w:t>
      </w:r>
    </w:p>
    <w:p w14:paraId="29047641">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（6）图纸；</w:t>
      </w:r>
    </w:p>
    <w:p w14:paraId="23F3662A">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（7）已标价工程量清单；</w:t>
      </w:r>
    </w:p>
    <w:p w14:paraId="08059A9A">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（8）其他合同文件。</w:t>
      </w:r>
    </w:p>
    <w:p w14:paraId="0AFF5D28">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2. 上述文件互相补充和解释，如有不明确或不一致之处，以合同约定次序在先者为准。</w:t>
      </w:r>
    </w:p>
    <w:p w14:paraId="372708EB">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3. 签约合同价：人民币（大写）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 xml:space="preserve"> ）。</w:t>
      </w:r>
    </w:p>
    <w:p w14:paraId="7E098687">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4. 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，技术负责人：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 xml:space="preserve"> 。 </w:t>
      </w:r>
    </w:p>
    <w:p w14:paraId="5534111D">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5. 工程质量符合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标准。</w:t>
      </w:r>
    </w:p>
    <w:p w14:paraId="6215DA0C">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6. 承包人承诺按合同约定承担工程的实施、完成及缺陷修复。</w:t>
      </w:r>
    </w:p>
    <w:p w14:paraId="55DC5016">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7. 发包人承诺按合同约定的条件、时间和方式向承包人支付合同价款。</w:t>
      </w:r>
    </w:p>
    <w:p w14:paraId="59683EE1">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u w:val="single"/>
          <w:lang w:val="en-US" w:eastAsia="zh-CN"/>
        </w:rPr>
      </w:pPr>
      <w:r>
        <w:rPr>
          <w:rFonts w:hint="eastAsia" w:ascii="宋体" w:hAnsi="宋体" w:eastAsia="宋体" w:cs="宋体"/>
          <w:color w:val="auto"/>
          <w:spacing w:val="-10"/>
          <w:sz w:val="21"/>
          <w:szCs w:val="21"/>
          <w:highlight w:val="none"/>
        </w:rPr>
        <w:t xml:space="preserve">8. 承包人应按照监理人指示开工，工期为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eastAsia="宋体" w:cs="宋体"/>
          <w:color w:val="auto"/>
          <w:spacing w:val="-10"/>
          <w:sz w:val="21"/>
          <w:szCs w:val="21"/>
          <w:highlight w:val="none"/>
        </w:rPr>
        <w:t>。</w:t>
      </w:r>
      <w:r>
        <w:rPr>
          <w:rFonts w:hint="eastAsia" w:ascii="宋体" w:hAnsi="宋体" w:eastAsia="宋体" w:cs="宋体"/>
          <w:color w:val="auto"/>
          <w:spacing w:val="-10"/>
          <w:sz w:val="21"/>
          <w:szCs w:val="21"/>
          <w:highlight w:val="none"/>
          <w:lang w:val="en-US" w:eastAsia="zh-CN"/>
        </w:rPr>
        <w:t>计划开工日期：</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eastAsia="宋体" w:cs="宋体"/>
          <w:color w:val="auto"/>
          <w:spacing w:val="-10"/>
          <w:sz w:val="21"/>
          <w:szCs w:val="21"/>
          <w:highlight w:val="none"/>
          <w:lang w:val="en-US" w:eastAsia="zh-CN"/>
        </w:rPr>
        <w:t>计划完工日期：</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eastAsia="宋体" w:cs="宋体"/>
          <w:color w:val="auto"/>
          <w:spacing w:val="-10"/>
          <w:sz w:val="21"/>
          <w:szCs w:val="21"/>
          <w:highlight w:val="none"/>
          <w:u w:val="none"/>
          <w:lang w:val="en-US" w:eastAsia="zh-CN"/>
        </w:rPr>
        <w:t>。</w:t>
      </w:r>
    </w:p>
    <w:p w14:paraId="45994294">
      <w:pPr>
        <w:widowControl w:val="0"/>
        <w:wordWrap w:val="0"/>
        <w:spacing w:beforeLines="0" w:line="360" w:lineRule="auto"/>
        <w:ind w:firstLine="38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9. </w:t>
      </w:r>
      <w:r>
        <w:rPr>
          <w:rFonts w:hint="eastAsia" w:ascii="宋体" w:hAnsi="宋体" w:eastAsia="宋体" w:cs="宋体"/>
          <w:color w:val="auto"/>
          <w:sz w:val="21"/>
          <w:szCs w:val="21"/>
          <w:highlight w:val="none"/>
        </w:rPr>
        <w:t>本合同书一式捌份，正本贰份，双方各执壹份；副本陆份，双方各执叁份。</w:t>
      </w:r>
    </w:p>
    <w:p w14:paraId="0EF9CD0B">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10. 合同未尽事宜，双方另行签订补充协议。补充协议是合同的组成部分。</w:t>
      </w:r>
    </w:p>
    <w:p w14:paraId="4C842CAD">
      <w:pPr>
        <w:widowControl w:val="0"/>
        <w:wordWrap w:val="0"/>
        <w:spacing w:beforeLines="0" w:line="360" w:lineRule="auto"/>
        <w:ind w:firstLine="378" w:firstLineChars="200"/>
        <w:jc w:val="left"/>
        <w:rPr>
          <w:rFonts w:hint="eastAsia" w:ascii="宋体" w:hAnsi="宋体" w:eastAsia="宋体" w:cs="宋体"/>
          <w:color w:val="auto"/>
          <w:w w:val="90"/>
          <w:sz w:val="21"/>
          <w:szCs w:val="21"/>
          <w:highlight w:val="none"/>
        </w:rPr>
      </w:pPr>
    </w:p>
    <w:p w14:paraId="45F12CF6">
      <w:pPr>
        <w:widowControl w:val="0"/>
        <w:wordWrap w:val="0"/>
        <w:spacing w:beforeLines="0" w:line="360" w:lineRule="auto"/>
        <w:ind w:firstLine="420" w:firstLineChars="200"/>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 xml:space="preserve">   发 包 人</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承 包 </w:t>
      </w:r>
      <w:r>
        <w:rPr>
          <w:rFonts w:hint="eastAsia" w:ascii="宋体" w:hAnsi="宋体" w:eastAsia="宋体" w:cs="宋体"/>
          <w:color w:val="auto"/>
          <w:sz w:val="21"/>
          <w:szCs w:val="21"/>
          <w:highlight w:val="none"/>
          <w:lang w:val="zh-CN"/>
        </w:rPr>
        <w:t>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（盖章）</w:t>
      </w:r>
    </w:p>
    <w:p w14:paraId="455E88D0">
      <w:pPr>
        <w:widowControl w:val="0"/>
        <w:wordWrap w:val="0"/>
        <w:spacing w:beforeLines="0" w:line="360" w:lineRule="auto"/>
        <w:ind w:firstLine="420" w:firstLineChars="200"/>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（签字）</w:t>
      </w:r>
    </w:p>
    <w:p w14:paraId="00C44E2D">
      <w:pPr>
        <w:widowControl w:val="0"/>
        <w:wordWrap w:val="0"/>
        <w:spacing w:beforeLines="0" w:line="360" w:lineRule="auto"/>
        <w:ind w:firstLine="420" w:firstLineChars="200"/>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或委托代理人：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或委托代理人：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（签字）</w:t>
      </w:r>
      <w:r>
        <w:rPr>
          <w:rFonts w:hint="eastAsia" w:ascii="宋体" w:hAnsi="宋体" w:eastAsia="宋体" w:cs="宋体"/>
          <w:color w:val="auto"/>
          <w:sz w:val="21"/>
          <w:szCs w:val="21"/>
          <w:highlight w:val="none"/>
          <w:u w:val="single"/>
        </w:rPr>
        <w:t xml:space="preserve">    </w:t>
      </w:r>
    </w:p>
    <w:p w14:paraId="30347F3B">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2E3741A">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电    话：</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电    话：</w:t>
      </w:r>
      <w:r>
        <w:rPr>
          <w:rFonts w:hint="eastAsia" w:ascii="宋体" w:hAnsi="宋体" w:eastAsia="宋体" w:cs="宋体"/>
          <w:color w:val="auto"/>
          <w:sz w:val="21"/>
          <w:szCs w:val="21"/>
          <w:highlight w:val="none"/>
          <w:u w:val="single"/>
        </w:rPr>
        <w:t xml:space="preserve">                        </w:t>
      </w:r>
    </w:p>
    <w:p w14:paraId="25A8B2E3">
      <w:pPr>
        <w:widowControl w:val="0"/>
        <w:wordWrap w:val="0"/>
        <w:spacing w:beforeLines="0" w:line="360" w:lineRule="auto"/>
        <w:ind w:firstLine="420" w:firstLineChars="200"/>
        <w:jc w:val="left"/>
        <w:rPr>
          <w:rFonts w:hint="eastAsia" w:ascii="宋体" w:hAnsi="宋体" w:eastAsia="宋体" w:cs="宋体"/>
          <w:color w:val="auto"/>
          <w:spacing w:val="-20"/>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开户银行：</w:t>
      </w:r>
      <w:r>
        <w:rPr>
          <w:rFonts w:hint="eastAsia" w:ascii="宋体" w:hAnsi="宋体" w:eastAsia="宋体" w:cs="宋体"/>
          <w:color w:val="auto"/>
          <w:spacing w:val="-20"/>
          <w:sz w:val="21"/>
          <w:szCs w:val="21"/>
          <w:highlight w:val="none"/>
          <w:u w:val="single"/>
        </w:rPr>
        <w:t xml:space="preserve">                                </w:t>
      </w:r>
      <w:r>
        <w:rPr>
          <w:rFonts w:hint="eastAsia" w:ascii="宋体" w:hAnsi="宋体" w:eastAsia="宋体" w:cs="宋体"/>
          <w:color w:val="auto"/>
          <w:spacing w:val="-20"/>
          <w:sz w:val="21"/>
          <w:szCs w:val="21"/>
          <w:highlight w:val="none"/>
        </w:rPr>
        <w:t xml:space="preserve">           </w:t>
      </w:r>
      <w:r>
        <w:rPr>
          <w:rFonts w:hint="eastAsia" w:ascii="宋体" w:hAnsi="宋体" w:eastAsia="宋体" w:cs="宋体"/>
          <w:color w:val="auto"/>
          <w:spacing w:val="-20"/>
          <w:sz w:val="21"/>
          <w:szCs w:val="21"/>
          <w:highlight w:val="none"/>
          <w:lang w:val="en-US" w:eastAsia="zh-CN"/>
        </w:rPr>
        <w:t xml:space="preserve"> </w:t>
      </w:r>
      <w:r>
        <w:rPr>
          <w:rFonts w:hint="eastAsia" w:ascii="宋体" w:hAnsi="宋体" w:eastAsia="宋体" w:cs="宋体"/>
          <w:color w:val="auto"/>
          <w:spacing w:val="-20"/>
          <w:sz w:val="21"/>
          <w:szCs w:val="21"/>
          <w:highlight w:val="none"/>
        </w:rPr>
        <w:t xml:space="preserve"> </w:t>
      </w:r>
      <w:r>
        <w:rPr>
          <w:rFonts w:hint="eastAsia" w:ascii="宋体" w:hAnsi="宋体" w:eastAsia="宋体" w:cs="宋体"/>
          <w:color w:val="auto"/>
          <w:sz w:val="21"/>
          <w:szCs w:val="21"/>
          <w:highlight w:val="none"/>
          <w:lang w:val="zh-CN"/>
        </w:rPr>
        <w:t>开户银行：</w:t>
      </w:r>
      <w:r>
        <w:rPr>
          <w:rFonts w:hint="eastAsia" w:ascii="宋体" w:hAnsi="宋体" w:eastAsia="宋体" w:cs="宋体"/>
          <w:color w:val="auto"/>
          <w:spacing w:val="-20"/>
          <w:sz w:val="21"/>
          <w:szCs w:val="21"/>
          <w:highlight w:val="none"/>
          <w:u w:val="single"/>
        </w:rPr>
        <w:t xml:space="preserve">                           </w:t>
      </w:r>
      <w:r>
        <w:rPr>
          <w:rFonts w:hint="eastAsia" w:ascii="宋体" w:hAnsi="宋体" w:eastAsia="宋体" w:cs="宋体"/>
          <w:color w:val="auto"/>
          <w:spacing w:val="-20"/>
          <w:sz w:val="21"/>
          <w:szCs w:val="21"/>
          <w:highlight w:val="none"/>
          <w:u w:val="single"/>
          <w:lang w:val="en-US" w:eastAsia="zh-CN"/>
        </w:rPr>
        <w:t xml:space="preserve">   </w:t>
      </w:r>
      <w:r>
        <w:rPr>
          <w:rFonts w:hint="eastAsia" w:ascii="宋体" w:hAnsi="宋体" w:eastAsia="宋体" w:cs="宋体"/>
          <w:color w:val="auto"/>
          <w:spacing w:val="-20"/>
          <w:sz w:val="21"/>
          <w:szCs w:val="21"/>
          <w:highlight w:val="none"/>
          <w:u w:val="single"/>
        </w:rPr>
        <w:t xml:space="preserve">    </w:t>
      </w:r>
    </w:p>
    <w:p w14:paraId="0EB84CE4">
      <w:pPr>
        <w:widowControl w:val="0"/>
        <w:wordWrap w:val="0"/>
        <w:spacing w:beforeLines="0" w:line="360" w:lineRule="auto"/>
        <w:ind w:firstLine="420" w:firstLineChars="200"/>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20"/>
          <w:sz w:val="21"/>
          <w:szCs w:val="21"/>
          <w:highlight w:val="none"/>
          <w:u w:val="single"/>
        </w:rPr>
        <w:t xml:space="preserve">                             </w:t>
      </w:r>
      <w:r>
        <w:rPr>
          <w:rFonts w:hint="eastAsia" w:ascii="宋体" w:hAnsi="宋体" w:eastAsia="宋体" w:cs="宋体"/>
          <w:color w:val="auto"/>
          <w:spacing w:val="-20"/>
          <w:sz w:val="21"/>
          <w:szCs w:val="21"/>
          <w:highlight w:val="none"/>
        </w:rPr>
        <w:t xml:space="preserve">           </w:t>
      </w:r>
      <w:r>
        <w:rPr>
          <w:rFonts w:hint="eastAsia" w:ascii="宋体" w:hAnsi="宋体" w:eastAsia="宋体" w:cs="宋体"/>
          <w:color w:val="auto"/>
          <w:spacing w:val="-20"/>
          <w:sz w:val="21"/>
          <w:szCs w:val="21"/>
          <w:highlight w:val="none"/>
          <w:lang w:val="en-US" w:eastAsia="zh-CN"/>
        </w:rPr>
        <w:t xml:space="preserve"> </w:t>
      </w:r>
      <w:r>
        <w:rPr>
          <w:rFonts w:hint="eastAsia" w:ascii="宋体" w:hAnsi="宋体" w:eastAsia="宋体" w:cs="宋体"/>
          <w:color w:val="auto"/>
          <w:sz w:val="21"/>
          <w:szCs w:val="21"/>
          <w:highlight w:val="none"/>
          <w:lang w:val="zh-CN"/>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47CB54DC">
      <w:pPr>
        <w:widowControl w:val="0"/>
        <w:wordWrap w:val="0"/>
        <w:spacing w:beforeLines="0" w:after="120"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年    月</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日</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年</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月</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日</w:t>
      </w:r>
    </w:p>
    <w:p w14:paraId="7048565C">
      <w:pPr>
        <w:keepNext w:val="0"/>
        <w:keepLines w:val="0"/>
        <w:widowControl/>
        <w:suppressLineNumbers w:val="0"/>
        <w:spacing w:before="0" w:beforeAutospacing="1" w:after="0" w:afterAutospacing="1" w:line="360" w:lineRule="auto"/>
        <w:jc w:val="left"/>
        <w:outlineLvl w:val="9"/>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附件二：项目经理履职考核评分表</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262"/>
        <w:gridCol w:w="6046"/>
      </w:tblGrid>
      <w:tr w14:paraId="622C9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172204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工程名称</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154D603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驻马店市薄山水库除险加固工程（一期）</w:t>
            </w:r>
            <w:r>
              <w:rPr>
                <w:rFonts w:hint="eastAsia" w:ascii="宋体" w:hAnsi="宋体" w:eastAsia="宋体" w:cs="宋体"/>
                <w:color w:val="auto"/>
                <w:sz w:val="21"/>
                <w:szCs w:val="21"/>
                <w:highlight w:val="none"/>
                <w:u w:val="single"/>
                <w:lang w:val="en-US" w:eastAsia="zh-CN"/>
              </w:rPr>
              <w:t xml:space="preserve">       标段</w:t>
            </w:r>
          </w:p>
        </w:tc>
      </w:tr>
      <w:tr w14:paraId="76000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675E82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合同编号</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5B9F0FA">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17181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7CD95C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承包人单位名称</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1D7FA8AC">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5E1E9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1ABBD2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项目经理姓名</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79D48556">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040F7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7938D0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项目经理执业资格</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02659D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□一级建造师 证书编号：</w:t>
            </w:r>
          </w:p>
        </w:tc>
      </w:tr>
      <w:tr w14:paraId="21628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0087DE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安全考核合格证书编号（B证）</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419E5AF1">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003FD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14C5B9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本次考核周期</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5865D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____年____月____日 - ____年____月____日</w:t>
            </w:r>
          </w:p>
        </w:tc>
      </w:tr>
      <w:tr w14:paraId="5EBB2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0B7EE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考核类型</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0984D1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□季度考核</w:t>
            </w:r>
          </w:p>
        </w:tc>
      </w:tr>
    </w:tbl>
    <w:p w14:paraId="19479DF3">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br w:type="page"/>
      </w:r>
    </w:p>
    <w:p w14:paraId="2905BCCD">
      <w:pPr>
        <w:keepNext w:val="0"/>
        <w:keepLines w:val="0"/>
        <w:widowControl/>
        <w:suppressLineNumbers w:val="0"/>
        <w:spacing w:before="0" w:after="0" w:line="360" w:lineRule="auto"/>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考核内容及评分标准</w:t>
      </w:r>
    </w:p>
    <w:p w14:paraId="4BC26F82">
      <w:pPr>
        <w:keepNext w:val="0"/>
        <w:keepLines w:val="0"/>
        <w:widowControl/>
        <w:suppressLineNumbers w:val="0"/>
        <w:spacing w:line="360" w:lineRule="auto"/>
        <w:jc w:val="left"/>
        <w:rPr>
          <w:rFonts w:hint="eastAsia" w:ascii="宋体" w:hAnsi="宋体" w:eastAsia="宋体" w:cs="宋体"/>
          <w:color w:val="auto"/>
          <w:szCs w:val="21"/>
          <w:highlight w:val="none"/>
        </w:rPr>
      </w:pPr>
      <w:r>
        <w:rPr>
          <w:rFonts w:hint="eastAsia" w:ascii="宋体" w:hAnsi="宋体" w:eastAsia="宋体" w:cs="宋体"/>
          <w:b/>
          <w:color w:val="auto"/>
          <w:kern w:val="0"/>
          <w:sz w:val="21"/>
          <w:szCs w:val="21"/>
          <w:highlight w:val="none"/>
          <w:lang w:val="en-US" w:eastAsia="zh-CN" w:bidi="ar"/>
        </w:rPr>
        <w:t>考核总分：</w:t>
      </w:r>
      <w:r>
        <w:rPr>
          <w:rFonts w:hint="eastAsia" w:ascii="宋体" w:hAnsi="宋体" w:eastAsia="宋体" w:cs="宋体"/>
          <w:color w:val="auto"/>
          <w:kern w:val="0"/>
          <w:sz w:val="21"/>
          <w:szCs w:val="21"/>
          <w:highlight w:val="none"/>
          <w:lang w:val="en-US" w:eastAsia="zh-CN" w:bidi="ar"/>
        </w:rPr>
        <w:t>每季度末考核一次，总分</w:t>
      </w:r>
      <w:r>
        <w:rPr>
          <w:rFonts w:hint="eastAsia" w:ascii="宋体" w:hAnsi="宋体" w:eastAsia="宋体" w:cs="宋体"/>
          <w:b/>
          <w:color w:val="auto"/>
          <w:kern w:val="0"/>
          <w:sz w:val="21"/>
          <w:szCs w:val="21"/>
          <w:highlight w:val="none"/>
          <w:lang w:val="en-US" w:eastAsia="zh-CN" w:bidi="ar"/>
        </w:rPr>
        <w:t>100分</w:t>
      </w:r>
      <w:r>
        <w:rPr>
          <w:rFonts w:hint="eastAsia" w:ascii="宋体" w:hAnsi="宋体" w:eastAsia="宋体" w:cs="宋体"/>
          <w:color w:val="auto"/>
          <w:kern w:val="0"/>
          <w:sz w:val="21"/>
          <w:szCs w:val="21"/>
          <w:highlight w:val="none"/>
          <w:lang w:val="en-US" w:eastAsia="zh-CN" w:bidi="ar"/>
        </w:rPr>
        <w:t>，考核结果分为优秀（≥90分）、良好（80-89分）、合格（61-79分）、不合格（≤60分）四个等级。</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603"/>
        <w:gridCol w:w="555"/>
        <w:gridCol w:w="2881"/>
        <w:gridCol w:w="3228"/>
        <w:gridCol w:w="1045"/>
      </w:tblGrid>
      <w:tr w14:paraId="5BA4D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blHeader/>
        </w:trPr>
        <w:tc>
          <w:tcPr>
            <w:tcW w:w="0" w:type="auto"/>
            <w:shd w:val="clear" w:color="auto" w:fill="F2F3F5"/>
            <w:tcMar>
              <w:top w:w="120" w:type="dxa"/>
              <w:left w:w="120" w:type="dxa"/>
              <w:bottom w:w="120" w:type="dxa"/>
              <w:right w:w="120" w:type="dxa"/>
            </w:tcMar>
            <w:vAlign w:val="top"/>
          </w:tcPr>
          <w:p w14:paraId="5418EC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考核维度</w:t>
            </w:r>
          </w:p>
        </w:tc>
        <w:tc>
          <w:tcPr>
            <w:tcW w:w="551" w:type="dxa"/>
            <w:shd w:val="clear" w:color="auto" w:fill="F2F3F5"/>
            <w:tcMar>
              <w:top w:w="120" w:type="dxa"/>
              <w:left w:w="120" w:type="dxa"/>
              <w:bottom w:w="120" w:type="dxa"/>
              <w:right w:w="120" w:type="dxa"/>
            </w:tcMar>
            <w:vAlign w:val="top"/>
          </w:tcPr>
          <w:p w14:paraId="7AFA87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分值</w:t>
            </w:r>
          </w:p>
        </w:tc>
        <w:tc>
          <w:tcPr>
            <w:tcW w:w="2881" w:type="dxa"/>
            <w:shd w:val="clear" w:color="auto" w:fill="F2F3F5"/>
            <w:tcMar>
              <w:top w:w="120" w:type="dxa"/>
              <w:left w:w="120" w:type="dxa"/>
              <w:bottom w:w="120" w:type="dxa"/>
              <w:right w:w="120" w:type="dxa"/>
            </w:tcMar>
            <w:vAlign w:val="top"/>
          </w:tcPr>
          <w:p w14:paraId="14E46B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考核指标</w:t>
            </w:r>
          </w:p>
        </w:tc>
        <w:tc>
          <w:tcPr>
            <w:tcW w:w="3228" w:type="dxa"/>
            <w:shd w:val="clear" w:color="auto" w:fill="F2F3F5"/>
            <w:tcMar>
              <w:top w:w="120" w:type="dxa"/>
              <w:left w:w="120" w:type="dxa"/>
              <w:bottom w:w="120" w:type="dxa"/>
              <w:right w:w="120" w:type="dxa"/>
            </w:tcMar>
            <w:vAlign w:val="top"/>
          </w:tcPr>
          <w:p w14:paraId="2F8934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评分及处罚标准</w:t>
            </w:r>
          </w:p>
        </w:tc>
        <w:tc>
          <w:tcPr>
            <w:tcW w:w="1045" w:type="dxa"/>
            <w:shd w:val="clear" w:color="auto" w:fill="F2F3F5"/>
            <w:tcMar>
              <w:top w:w="120" w:type="dxa"/>
              <w:left w:w="120" w:type="dxa"/>
              <w:bottom w:w="120" w:type="dxa"/>
              <w:right w:w="120" w:type="dxa"/>
            </w:tcMar>
            <w:vAlign w:val="top"/>
          </w:tcPr>
          <w:p w14:paraId="355C0F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考核</w:t>
            </w:r>
          </w:p>
          <w:p w14:paraId="466936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得分</w:t>
            </w:r>
          </w:p>
        </w:tc>
      </w:tr>
      <w:tr w14:paraId="0FBC1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17DDD8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一、履职到岗情况</w:t>
            </w:r>
          </w:p>
        </w:tc>
        <w:tc>
          <w:tcPr>
            <w:tcW w:w="551" w:type="dxa"/>
            <w:shd w:val="clear" w:color="auto" w:fill="auto"/>
            <w:tcMar>
              <w:top w:w="120" w:type="dxa"/>
              <w:left w:w="120" w:type="dxa"/>
              <w:bottom w:w="120" w:type="dxa"/>
              <w:right w:w="120" w:type="dxa"/>
            </w:tcMar>
            <w:vAlign w:val="top"/>
          </w:tcPr>
          <w:p w14:paraId="572095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25</w:t>
            </w:r>
          </w:p>
        </w:tc>
        <w:tc>
          <w:tcPr>
            <w:tcW w:w="2881" w:type="dxa"/>
            <w:shd w:val="clear" w:color="auto" w:fill="auto"/>
            <w:tcMar>
              <w:top w:w="120" w:type="dxa"/>
              <w:left w:w="120" w:type="dxa"/>
              <w:bottom w:w="120" w:type="dxa"/>
              <w:right w:w="120" w:type="dxa"/>
            </w:tcMar>
            <w:vAlign w:val="top"/>
          </w:tcPr>
          <w:p w14:paraId="23BB629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1.每月现场在岗天数不少于21天，严格按合同约定到岗履职，离岗需提前向发包人、监理单位履行书面报批手续 </w:t>
            </w:r>
          </w:p>
          <w:p w14:paraId="57E170C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2.按时参加建管、监理例会及专题会议，不迟到、不早退、不无故缺席 </w:t>
            </w:r>
          </w:p>
          <w:p w14:paraId="4B22746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3.按要求接受各种稽查、审计、检查等，并及时提供相关资料</w:t>
            </w:r>
          </w:p>
          <w:p w14:paraId="615B94E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p>
        </w:tc>
        <w:tc>
          <w:tcPr>
            <w:tcW w:w="3228" w:type="dxa"/>
            <w:shd w:val="clear" w:color="auto" w:fill="auto"/>
            <w:tcMar>
              <w:top w:w="120" w:type="dxa"/>
              <w:left w:w="120" w:type="dxa"/>
              <w:bottom w:w="120" w:type="dxa"/>
              <w:right w:w="120" w:type="dxa"/>
            </w:tcMar>
            <w:vAlign w:val="top"/>
          </w:tcPr>
          <w:p w14:paraId="56D8EF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b/>
                <w:color w:val="auto"/>
                <w:kern w:val="0"/>
                <w:sz w:val="21"/>
                <w:szCs w:val="21"/>
                <w:highlight w:val="none"/>
                <w:lang w:val="en-US" w:eastAsia="zh-CN" w:bidi="ar"/>
              </w:rPr>
              <w:t>每月在岗不足21天，每缺勤1天，罚款2000元</w:t>
            </w:r>
            <w:r>
              <w:rPr>
                <w:rFonts w:hint="eastAsia" w:ascii="宋体" w:hAnsi="宋体" w:eastAsia="宋体" w:cs="宋体"/>
                <w:color w:val="auto"/>
                <w:kern w:val="0"/>
                <w:sz w:val="21"/>
                <w:szCs w:val="21"/>
                <w:highlight w:val="none"/>
                <w:lang w:val="en-US" w:eastAsia="zh-CN" w:bidi="ar"/>
              </w:rPr>
              <w:t xml:space="preserve">，同时扣5分/天；未经批准擅自离岗、脱岗，双倍扣分并追加罚款 </w:t>
            </w:r>
          </w:p>
          <w:p w14:paraId="56AD1C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b/>
                <w:color w:val="auto"/>
                <w:kern w:val="0"/>
                <w:sz w:val="21"/>
                <w:szCs w:val="21"/>
                <w:highlight w:val="none"/>
                <w:lang w:val="en-US" w:eastAsia="zh-CN" w:bidi="ar"/>
              </w:rPr>
              <w:t>参会每迟到/早退1次</w:t>
            </w:r>
            <w:r>
              <w:rPr>
                <w:rFonts w:hint="eastAsia" w:ascii="宋体" w:hAnsi="宋体" w:eastAsia="宋体" w:cs="宋体"/>
                <w:color w:val="auto"/>
                <w:kern w:val="0"/>
                <w:sz w:val="21"/>
                <w:szCs w:val="21"/>
                <w:highlight w:val="none"/>
                <w:lang w:val="en-US" w:eastAsia="zh-CN" w:bidi="ar"/>
              </w:rPr>
              <w:t xml:space="preserve">，扣2分/次；无故缺席会议，扣3分/次 </w:t>
            </w:r>
          </w:p>
          <w:p w14:paraId="5FFA90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3.不配合或不积极提供相关资料的，每次扣5分</w:t>
            </w:r>
          </w:p>
        </w:tc>
        <w:tc>
          <w:tcPr>
            <w:tcW w:w="1045" w:type="dxa"/>
            <w:shd w:val="clear" w:color="auto" w:fill="auto"/>
            <w:tcMar>
              <w:top w:w="120" w:type="dxa"/>
              <w:left w:w="120" w:type="dxa"/>
              <w:bottom w:w="120" w:type="dxa"/>
              <w:right w:w="120" w:type="dxa"/>
            </w:tcMar>
            <w:vAlign w:val="top"/>
          </w:tcPr>
          <w:p w14:paraId="358B1FE6">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0D70C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48FF10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二、工程进度管理</w:t>
            </w:r>
          </w:p>
        </w:tc>
        <w:tc>
          <w:tcPr>
            <w:tcW w:w="551" w:type="dxa"/>
            <w:shd w:val="clear" w:color="auto" w:fill="auto"/>
            <w:tcMar>
              <w:top w:w="120" w:type="dxa"/>
              <w:left w:w="120" w:type="dxa"/>
              <w:bottom w:w="120" w:type="dxa"/>
              <w:right w:w="120" w:type="dxa"/>
            </w:tcMar>
            <w:vAlign w:val="top"/>
          </w:tcPr>
          <w:p w14:paraId="1DDC09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w:t>
            </w:r>
          </w:p>
        </w:tc>
        <w:tc>
          <w:tcPr>
            <w:tcW w:w="2881" w:type="dxa"/>
            <w:shd w:val="clear" w:color="auto" w:fill="auto"/>
            <w:tcMar>
              <w:top w:w="120" w:type="dxa"/>
              <w:left w:w="120" w:type="dxa"/>
              <w:bottom w:w="120" w:type="dxa"/>
              <w:right w:w="120" w:type="dxa"/>
            </w:tcMar>
            <w:vAlign w:val="top"/>
          </w:tcPr>
          <w:p w14:paraId="25A2BE1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1.按合同工期及施工计划组织施工，严控施工进度，保障整体工期推进 </w:t>
            </w:r>
          </w:p>
          <w:p w14:paraId="75A60B4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2.及时落实进度纠偏措施，保障节点工期按时完成 </w:t>
            </w:r>
          </w:p>
          <w:p w14:paraId="47A1C92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3.按时上报施工进度计划及进度报表，数据真实准确</w:t>
            </w:r>
          </w:p>
        </w:tc>
        <w:tc>
          <w:tcPr>
            <w:tcW w:w="3228" w:type="dxa"/>
            <w:shd w:val="clear" w:color="auto" w:fill="auto"/>
            <w:tcMar>
              <w:top w:w="120" w:type="dxa"/>
              <w:left w:w="120" w:type="dxa"/>
              <w:bottom w:w="120" w:type="dxa"/>
              <w:right w:w="120" w:type="dxa"/>
            </w:tcMar>
            <w:vAlign w:val="top"/>
          </w:tcPr>
          <w:p w14:paraId="628C5A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1.关键节点工期延误，每延误1天扣2分；总工期延误，每延误1天扣5分 </w:t>
            </w:r>
          </w:p>
          <w:p w14:paraId="7C3B9E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2.进度滞后未采取有效纠偏措施，每次扣5分 </w:t>
            </w:r>
          </w:p>
          <w:p w14:paraId="70D632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3.未按时上报进度资料或数据不实，每次扣2分</w:t>
            </w:r>
          </w:p>
        </w:tc>
        <w:tc>
          <w:tcPr>
            <w:tcW w:w="1045" w:type="dxa"/>
            <w:shd w:val="clear" w:color="auto" w:fill="auto"/>
            <w:tcMar>
              <w:top w:w="120" w:type="dxa"/>
              <w:left w:w="120" w:type="dxa"/>
              <w:bottom w:w="120" w:type="dxa"/>
              <w:right w:w="120" w:type="dxa"/>
            </w:tcMar>
            <w:vAlign w:val="top"/>
          </w:tcPr>
          <w:p w14:paraId="011B5FE5">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024C8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0BE89D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三、工程质量管理</w:t>
            </w:r>
          </w:p>
        </w:tc>
        <w:tc>
          <w:tcPr>
            <w:tcW w:w="551" w:type="dxa"/>
            <w:shd w:val="clear" w:color="auto" w:fill="auto"/>
            <w:tcMar>
              <w:top w:w="120" w:type="dxa"/>
              <w:left w:w="120" w:type="dxa"/>
              <w:bottom w:w="120" w:type="dxa"/>
              <w:right w:w="120" w:type="dxa"/>
            </w:tcMar>
            <w:vAlign w:val="top"/>
          </w:tcPr>
          <w:p w14:paraId="1BC658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25</w:t>
            </w:r>
          </w:p>
        </w:tc>
        <w:tc>
          <w:tcPr>
            <w:tcW w:w="2881" w:type="dxa"/>
            <w:shd w:val="clear" w:color="auto" w:fill="auto"/>
            <w:tcMar>
              <w:top w:w="120" w:type="dxa"/>
              <w:left w:w="120" w:type="dxa"/>
              <w:bottom w:w="120" w:type="dxa"/>
              <w:right w:w="120" w:type="dxa"/>
            </w:tcMar>
            <w:vAlign w:val="top"/>
          </w:tcPr>
          <w:p w14:paraId="562ADE4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1.严格按照设计图纸、施工规范及技术标准组织施工 </w:t>
            </w:r>
          </w:p>
          <w:p w14:paraId="71F5F99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2.工程质量出现质量缺陷 </w:t>
            </w:r>
          </w:p>
          <w:p w14:paraId="1E78907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3.及时整改质量问题</w:t>
            </w:r>
          </w:p>
          <w:p w14:paraId="59010C2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4.出现质量事故</w:t>
            </w:r>
          </w:p>
        </w:tc>
        <w:tc>
          <w:tcPr>
            <w:tcW w:w="3228" w:type="dxa"/>
            <w:shd w:val="clear" w:color="auto" w:fill="auto"/>
            <w:tcMar>
              <w:top w:w="120" w:type="dxa"/>
              <w:left w:w="120" w:type="dxa"/>
              <w:bottom w:w="120" w:type="dxa"/>
              <w:right w:w="120" w:type="dxa"/>
            </w:tcMar>
            <w:vAlign w:val="top"/>
          </w:tcPr>
          <w:p w14:paraId="7B053F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1.未按照设计图纸施工、违反施工规范技术标准，每次扣5分 </w:t>
            </w:r>
          </w:p>
          <w:p w14:paraId="15D787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2.出现工程质量缺陷，每处扣5分</w:t>
            </w:r>
          </w:p>
          <w:p w14:paraId="69D813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3.质量问题逾期未整改，每次扣5分</w:t>
            </w:r>
          </w:p>
          <w:p w14:paraId="007722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4.出现质量事故，一次性扣除40分，判定项目经理为不合格标准</w:t>
            </w:r>
          </w:p>
        </w:tc>
        <w:tc>
          <w:tcPr>
            <w:tcW w:w="1045" w:type="dxa"/>
            <w:shd w:val="clear" w:color="auto" w:fill="auto"/>
            <w:tcMar>
              <w:top w:w="120" w:type="dxa"/>
              <w:left w:w="120" w:type="dxa"/>
              <w:bottom w:w="120" w:type="dxa"/>
              <w:right w:w="120" w:type="dxa"/>
            </w:tcMar>
            <w:vAlign w:val="top"/>
          </w:tcPr>
          <w:p w14:paraId="626C188A">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55599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7AEE64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四、安全生产与文明施工</w:t>
            </w:r>
          </w:p>
        </w:tc>
        <w:tc>
          <w:tcPr>
            <w:tcW w:w="551" w:type="dxa"/>
            <w:shd w:val="clear" w:color="auto" w:fill="auto"/>
            <w:tcMar>
              <w:top w:w="120" w:type="dxa"/>
              <w:left w:w="120" w:type="dxa"/>
              <w:bottom w:w="120" w:type="dxa"/>
              <w:right w:w="120" w:type="dxa"/>
            </w:tcMar>
            <w:vAlign w:val="top"/>
          </w:tcPr>
          <w:p w14:paraId="2D5198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w:t>
            </w:r>
          </w:p>
        </w:tc>
        <w:tc>
          <w:tcPr>
            <w:tcW w:w="2881" w:type="dxa"/>
            <w:shd w:val="clear" w:color="auto" w:fill="auto"/>
            <w:tcMar>
              <w:top w:w="120" w:type="dxa"/>
              <w:left w:w="120" w:type="dxa"/>
              <w:bottom w:w="120" w:type="dxa"/>
              <w:right w:w="120" w:type="dxa"/>
            </w:tcMar>
            <w:vAlign w:val="top"/>
          </w:tcPr>
          <w:p w14:paraId="16D5160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1.执行现场安全文明施工要求做好现场扬尘、噪音、环境卫生管控（绿色施工及环境水土保持措施）</w:t>
            </w:r>
          </w:p>
          <w:p w14:paraId="534D4D6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2.及时整改安全隐患，配合各类安全检查</w:t>
            </w:r>
          </w:p>
          <w:p w14:paraId="6D07880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3.落实安全生产责任制，无安全责任事故</w:t>
            </w:r>
          </w:p>
        </w:tc>
        <w:tc>
          <w:tcPr>
            <w:tcW w:w="3228" w:type="dxa"/>
            <w:shd w:val="clear" w:color="auto" w:fill="auto"/>
            <w:tcMar>
              <w:top w:w="120" w:type="dxa"/>
              <w:left w:w="120" w:type="dxa"/>
              <w:bottom w:w="120" w:type="dxa"/>
              <w:right w:w="120" w:type="dxa"/>
            </w:tcMar>
            <w:vAlign w:val="top"/>
          </w:tcPr>
          <w:p w14:paraId="36632A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1.现场安全文明施工、绿色施工及环境水土保持不达标，酌情扣3-8分 </w:t>
            </w:r>
          </w:p>
          <w:p w14:paraId="608D8B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2.安全隐患整改不到位，不配合各类安全检查，每次扣5分</w:t>
            </w:r>
          </w:p>
          <w:p w14:paraId="532CA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3.未落实安全生产责任制，发生安全事故，一次性扣除40分，判定项目经理为不合格标准 </w:t>
            </w:r>
          </w:p>
          <w:p w14:paraId="3A9F4E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p>
        </w:tc>
        <w:tc>
          <w:tcPr>
            <w:tcW w:w="1045" w:type="dxa"/>
            <w:shd w:val="clear" w:color="auto" w:fill="auto"/>
            <w:tcMar>
              <w:top w:w="120" w:type="dxa"/>
              <w:left w:w="120" w:type="dxa"/>
              <w:bottom w:w="120" w:type="dxa"/>
              <w:right w:w="120" w:type="dxa"/>
            </w:tcMar>
            <w:vAlign w:val="top"/>
          </w:tcPr>
          <w:p w14:paraId="19C43213">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37DB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252953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五、协调管理与资料报送</w:t>
            </w:r>
          </w:p>
        </w:tc>
        <w:tc>
          <w:tcPr>
            <w:tcW w:w="551" w:type="dxa"/>
            <w:shd w:val="clear" w:color="auto" w:fill="auto"/>
            <w:tcMar>
              <w:top w:w="120" w:type="dxa"/>
              <w:left w:w="120" w:type="dxa"/>
              <w:bottom w:w="120" w:type="dxa"/>
              <w:right w:w="120" w:type="dxa"/>
            </w:tcMar>
            <w:vAlign w:val="top"/>
          </w:tcPr>
          <w:p w14:paraId="3C0E9E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881" w:type="dxa"/>
            <w:shd w:val="clear" w:color="auto" w:fill="auto"/>
            <w:tcMar>
              <w:top w:w="120" w:type="dxa"/>
              <w:left w:w="120" w:type="dxa"/>
              <w:bottom w:w="120" w:type="dxa"/>
              <w:right w:w="120" w:type="dxa"/>
            </w:tcMar>
            <w:vAlign w:val="top"/>
          </w:tcPr>
          <w:p w14:paraId="6D9090B2">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有效协调施工现场各方工作（有效协调解决工程施工问题），配合发包、监理单位日常管理 </w:t>
            </w:r>
          </w:p>
          <w:p w14:paraId="003F3AEF">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建立和完善工程档案管理制度，规范工程资料管理及存档程序。</w:t>
            </w:r>
          </w:p>
          <w:p w14:paraId="49A6373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3.按时报送工程签证、变更、验收等各类工程资料，资料规范完整 </w:t>
            </w:r>
          </w:p>
          <w:p w14:paraId="76F2AE2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4.严格执行发包人现场管理指令，高效落实各项工作要求</w:t>
            </w:r>
          </w:p>
        </w:tc>
        <w:tc>
          <w:tcPr>
            <w:tcW w:w="3228" w:type="dxa"/>
            <w:shd w:val="clear" w:color="auto" w:fill="auto"/>
            <w:tcMar>
              <w:top w:w="120" w:type="dxa"/>
              <w:left w:w="120" w:type="dxa"/>
              <w:bottom w:w="120" w:type="dxa"/>
              <w:right w:w="120" w:type="dxa"/>
            </w:tcMar>
            <w:vAlign w:val="top"/>
          </w:tcPr>
          <w:p w14:paraId="4013B6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1.协调不力影响工程正常推进，每次扣3-5分 </w:t>
            </w:r>
          </w:p>
          <w:p w14:paraId="319603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2.工程档案管理不规范，每次扣2-4分</w:t>
            </w:r>
          </w:p>
          <w:p w14:paraId="35FE47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3.资料报送滞后、内容不完整、填写不规范，每次扣2-4分 </w:t>
            </w:r>
          </w:p>
          <w:p w14:paraId="52D62B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4.拒不执行合理管理指令，每次扣5分</w:t>
            </w:r>
          </w:p>
        </w:tc>
        <w:tc>
          <w:tcPr>
            <w:tcW w:w="1045" w:type="dxa"/>
            <w:shd w:val="clear" w:color="auto" w:fill="auto"/>
            <w:tcMar>
              <w:top w:w="120" w:type="dxa"/>
              <w:left w:w="120" w:type="dxa"/>
              <w:bottom w:w="120" w:type="dxa"/>
              <w:right w:w="120" w:type="dxa"/>
            </w:tcMar>
            <w:vAlign w:val="top"/>
          </w:tcPr>
          <w:p w14:paraId="4E6D05D5">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20CE5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528B27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六、合同履约与职业素养</w:t>
            </w:r>
          </w:p>
        </w:tc>
        <w:tc>
          <w:tcPr>
            <w:tcW w:w="551" w:type="dxa"/>
            <w:shd w:val="clear" w:color="auto" w:fill="auto"/>
            <w:tcMar>
              <w:top w:w="120" w:type="dxa"/>
              <w:left w:w="120" w:type="dxa"/>
              <w:bottom w:w="120" w:type="dxa"/>
              <w:right w:w="120" w:type="dxa"/>
            </w:tcMar>
            <w:vAlign w:val="top"/>
          </w:tcPr>
          <w:p w14:paraId="645481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881" w:type="dxa"/>
            <w:shd w:val="clear" w:color="auto" w:fill="auto"/>
            <w:tcMar>
              <w:top w:w="120" w:type="dxa"/>
              <w:left w:w="120" w:type="dxa"/>
              <w:bottom w:w="120" w:type="dxa"/>
              <w:right w:w="120" w:type="dxa"/>
            </w:tcMar>
            <w:vAlign w:val="top"/>
          </w:tcPr>
          <w:p w14:paraId="4D94889D">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严格履行工程施工合同约定条款，无违约行为 </w:t>
            </w:r>
          </w:p>
          <w:p w14:paraId="6A7C191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2.恪守职业规范，廉洁从业，无违规违纪、谋取不正当利益行为 </w:t>
            </w:r>
          </w:p>
          <w:p w14:paraId="0A180AE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3.维护发包人与项目合法权益，保障项目稳步推进</w:t>
            </w:r>
          </w:p>
        </w:tc>
        <w:tc>
          <w:tcPr>
            <w:tcW w:w="3228" w:type="dxa"/>
            <w:shd w:val="clear" w:color="auto" w:fill="auto"/>
            <w:tcMar>
              <w:top w:w="120" w:type="dxa"/>
              <w:left w:w="120" w:type="dxa"/>
              <w:bottom w:w="120" w:type="dxa"/>
              <w:right w:w="120" w:type="dxa"/>
            </w:tcMar>
            <w:vAlign w:val="top"/>
          </w:tcPr>
          <w:p w14:paraId="38EDCD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1.违反合同约定条款，酌情扣4-8分 </w:t>
            </w:r>
          </w:p>
          <w:p w14:paraId="413395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2.存在违规违纪、不廉洁行为，本项不得分 </w:t>
            </w:r>
          </w:p>
          <w:p w14:paraId="4FE1D9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3.履职过程损害项目合法权益，每次扣5分</w:t>
            </w:r>
          </w:p>
        </w:tc>
        <w:tc>
          <w:tcPr>
            <w:tcW w:w="1045" w:type="dxa"/>
            <w:shd w:val="clear" w:color="auto" w:fill="auto"/>
            <w:tcMar>
              <w:top w:w="120" w:type="dxa"/>
              <w:left w:w="120" w:type="dxa"/>
              <w:bottom w:w="120" w:type="dxa"/>
              <w:right w:w="120" w:type="dxa"/>
            </w:tcMar>
            <w:vAlign w:val="top"/>
          </w:tcPr>
          <w:p w14:paraId="064467B9">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09456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65EC31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考核</w:t>
            </w:r>
          </w:p>
          <w:p w14:paraId="7300FC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总分</w:t>
            </w:r>
          </w:p>
        </w:tc>
        <w:tc>
          <w:tcPr>
            <w:tcW w:w="551" w:type="dxa"/>
            <w:shd w:val="clear" w:color="auto" w:fill="auto"/>
            <w:tcMar>
              <w:top w:w="120" w:type="dxa"/>
              <w:left w:w="120" w:type="dxa"/>
              <w:bottom w:w="120" w:type="dxa"/>
              <w:right w:w="120" w:type="dxa"/>
            </w:tcMar>
            <w:vAlign w:val="top"/>
          </w:tcPr>
          <w:p w14:paraId="0F73E8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881" w:type="dxa"/>
            <w:shd w:val="clear" w:color="auto" w:fill="auto"/>
            <w:tcMar>
              <w:top w:w="120" w:type="dxa"/>
              <w:left w:w="120" w:type="dxa"/>
              <w:bottom w:w="120" w:type="dxa"/>
              <w:right w:w="120" w:type="dxa"/>
            </w:tcMar>
            <w:vAlign w:val="top"/>
          </w:tcPr>
          <w:p w14:paraId="4BEAC0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tc>
        <w:tc>
          <w:tcPr>
            <w:tcW w:w="3228" w:type="dxa"/>
            <w:shd w:val="clear" w:color="auto" w:fill="auto"/>
            <w:tcMar>
              <w:top w:w="120" w:type="dxa"/>
              <w:left w:w="120" w:type="dxa"/>
              <w:bottom w:w="120" w:type="dxa"/>
              <w:right w:w="120" w:type="dxa"/>
            </w:tcMar>
            <w:vAlign w:val="top"/>
          </w:tcPr>
          <w:p w14:paraId="407B49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tc>
        <w:tc>
          <w:tcPr>
            <w:tcW w:w="1045" w:type="dxa"/>
            <w:shd w:val="clear" w:color="auto" w:fill="auto"/>
            <w:tcMar>
              <w:top w:w="120" w:type="dxa"/>
              <w:left w:w="120" w:type="dxa"/>
              <w:bottom w:w="120" w:type="dxa"/>
              <w:right w:w="120" w:type="dxa"/>
            </w:tcMar>
            <w:vAlign w:val="top"/>
          </w:tcPr>
          <w:p w14:paraId="7896DD21">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bl>
    <w:p w14:paraId="5D86437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7B1171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ascii="Calibri" w:hAnsi="Calibri" w:eastAsia="宋体" w:cs="Times New Roman"/>
          <w:b w:val="0"/>
          <w:bCs w:val="0"/>
          <w:color w:val="auto"/>
          <w:kern w:val="2"/>
          <w:sz w:val="21"/>
          <w:szCs w:val="22"/>
          <w:highlight w:val="none"/>
          <w:lang w:val="en-US" w:eastAsia="zh-CN" w:bidi="ar-SA"/>
        </w:rPr>
      </w:pPr>
    </w:p>
    <w:p w14:paraId="5779DEF4">
      <w:pPr>
        <w:widowControl/>
        <w:jc w:val="left"/>
        <w:rPr>
          <w:rFonts w:ascii="Calibri" w:hAnsi="Calibri" w:eastAsia="宋体" w:cs="Times New Roman"/>
          <w:color w:val="auto"/>
          <w:szCs w:val="22"/>
          <w:highlight w:val="none"/>
        </w:rPr>
      </w:pPr>
    </w:p>
    <w:p w14:paraId="217B89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ascii="Calibri" w:hAnsi="Calibri" w:eastAsia="宋体" w:cs="Times New Roman"/>
          <w:b w:val="0"/>
          <w:bCs w:val="0"/>
          <w:color w:val="auto"/>
          <w:kern w:val="2"/>
          <w:sz w:val="21"/>
          <w:szCs w:val="22"/>
          <w:highlight w:val="none"/>
          <w:lang w:val="en-US" w:eastAsia="zh-CN" w:bidi="ar-SA"/>
        </w:rPr>
      </w:pPr>
    </w:p>
    <w:p w14:paraId="589351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ascii="Calibri" w:hAnsi="Calibri" w:eastAsia="宋体" w:cs="Times New Roman"/>
          <w:b w:val="0"/>
          <w:bCs w:val="0"/>
          <w:color w:val="auto"/>
          <w:kern w:val="2"/>
          <w:sz w:val="21"/>
          <w:szCs w:val="22"/>
          <w:highlight w:val="none"/>
          <w:lang w:val="en-US" w:eastAsia="zh-CN" w:bidi="ar-SA"/>
        </w:rPr>
      </w:pPr>
      <w:r>
        <w:rPr>
          <w:rFonts w:ascii="Calibri" w:hAnsi="Calibri" w:eastAsia="宋体" w:cs="Times New Roman"/>
          <w:b w:val="0"/>
          <w:bCs w:val="0"/>
          <w:color w:val="auto"/>
          <w:kern w:val="2"/>
          <w:sz w:val="21"/>
          <w:szCs w:val="22"/>
          <w:highlight w:val="none"/>
          <w:lang w:val="en-US" w:eastAsia="zh-CN" w:bidi="ar-SA"/>
        </w:rPr>
        <w:br w:type="page"/>
      </w:r>
    </w:p>
    <w:p w14:paraId="4578C53D">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0" w:firstLineChars="0"/>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考核不合格处理</w:t>
      </w:r>
    </w:p>
    <w:p w14:paraId="792AAA92">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b w:val="0"/>
          <w:color w:val="auto"/>
          <w:kern w:val="0"/>
          <w:sz w:val="21"/>
          <w:szCs w:val="21"/>
          <w:highlight w:val="none"/>
          <w:lang w:val="en-US" w:eastAsia="zh-CN" w:bidi="ar"/>
        </w:rPr>
        <w:t>单次考核不合格（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b w:val="0"/>
          <w:color w:val="auto"/>
          <w:kern w:val="0"/>
          <w:sz w:val="21"/>
          <w:szCs w:val="21"/>
          <w:highlight w:val="none"/>
          <w:lang w:val="en-US" w:eastAsia="zh-CN" w:bidi="ar"/>
        </w:rPr>
        <w:t>60分）</w:t>
      </w:r>
    </w:p>
    <w:p w14:paraId="5020DFB7">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发包人向承包人正式出具</w:t>
      </w:r>
      <w:r>
        <w:rPr>
          <w:rFonts w:hint="eastAsia" w:ascii="宋体" w:hAnsi="宋体" w:eastAsia="宋体" w:cs="宋体"/>
          <w:b w:val="0"/>
          <w:color w:val="auto"/>
          <w:kern w:val="0"/>
          <w:sz w:val="21"/>
          <w:szCs w:val="21"/>
          <w:highlight w:val="none"/>
          <w:lang w:val="en-US" w:eastAsia="zh-CN" w:bidi="ar"/>
        </w:rPr>
        <w:t>整改通知书</w:t>
      </w:r>
      <w:r>
        <w:rPr>
          <w:rFonts w:hint="eastAsia" w:ascii="宋体" w:hAnsi="宋体" w:eastAsia="宋体" w:cs="宋体"/>
          <w:color w:val="auto"/>
          <w:kern w:val="0"/>
          <w:sz w:val="21"/>
          <w:szCs w:val="21"/>
          <w:highlight w:val="none"/>
          <w:lang w:val="en-US" w:eastAsia="zh-CN" w:bidi="ar"/>
        </w:rPr>
        <w:t>，要求项目经理限期7日内完成整改，并提交书面整改报告；在岗缺勤、会议迟到罚款同步在工程进度款中直接扣除；发包人对项目经理进行约谈警告。</w:t>
      </w:r>
    </w:p>
    <w:p w14:paraId="67157B7E">
      <w:pPr>
        <w:keepNext w:val="0"/>
        <w:keepLines w:val="0"/>
        <w:pageBreakBefore w:val="0"/>
        <w:widowControl w:val="0"/>
        <w:numPr>
          <w:ilvl w:val="1"/>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b w:val="0"/>
          <w:color w:val="auto"/>
          <w:kern w:val="0"/>
          <w:sz w:val="21"/>
          <w:szCs w:val="21"/>
          <w:highlight w:val="none"/>
          <w:lang w:val="en-US" w:eastAsia="zh-CN" w:bidi="ar"/>
        </w:rPr>
        <w:t>2.连续两次/累计三次考核不合格</w:t>
      </w:r>
    </w:p>
    <w:p w14:paraId="1E08D946">
      <w:pPr>
        <w:keepNext w:val="0"/>
        <w:keepLines w:val="0"/>
        <w:pageBreakBefore w:val="0"/>
        <w:widowControl w:val="0"/>
        <w:numPr>
          <w:ilvl w:val="1"/>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责令承包人</w:t>
      </w:r>
      <w:r>
        <w:rPr>
          <w:rFonts w:hint="eastAsia" w:ascii="宋体" w:hAnsi="宋体" w:eastAsia="宋体" w:cs="宋体"/>
          <w:b w:val="0"/>
          <w:color w:val="auto"/>
          <w:kern w:val="0"/>
          <w:sz w:val="21"/>
          <w:szCs w:val="21"/>
          <w:highlight w:val="none"/>
          <w:lang w:val="en-US" w:eastAsia="zh-CN" w:bidi="ar"/>
        </w:rPr>
        <w:t>限期更换项目经理</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同时向发包人缴纳50万元</w:t>
      </w:r>
      <w:r>
        <w:rPr>
          <w:rFonts w:hint="eastAsia" w:ascii="宋体" w:hAnsi="宋体" w:eastAsia="宋体" w:cs="宋体"/>
          <w:color w:val="auto"/>
          <w:sz w:val="21"/>
          <w:szCs w:val="21"/>
          <w:highlight w:val="none"/>
          <w:lang w:val="en-US" w:eastAsia="zh-CN"/>
        </w:rPr>
        <w:t>违约金</w:t>
      </w:r>
      <w:r>
        <w:rPr>
          <w:rFonts w:hint="eastAsia" w:ascii="宋体" w:hAnsi="宋体" w:eastAsia="宋体" w:cs="宋体"/>
          <w:color w:val="auto"/>
          <w:sz w:val="21"/>
          <w:szCs w:val="21"/>
          <w:highlight w:val="none"/>
        </w:rPr>
        <w:t>，试用期3个月，直至发包人满意</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更换的项目经理不得低于原项目经理资格条件和业绩经历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
        </w:rPr>
        <w:t>承担由此造成的工期延误、损失赔偿等全部责任；暂停支付工程进度款，直至整改到位、新项目经理到岗履职。</w:t>
      </w:r>
    </w:p>
    <w:p w14:paraId="5C32730F">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b w:val="0"/>
          <w:color w:val="auto"/>
          <w:kern w:val="0"/>
          <w:sz w:val="21"/>
          <w:szCs w:val="21"/>
          <w:highlight w:val="none"/>
          <w:lang w:val="en-US" w:eastAsia="zh-CN" w:bidi="ar"/>
        </w:rPr>
        <w:t>3.严重不合格情形（发生质量/安全事故、长期缺勤脱岗、拒不执行整改要求）</w:t>
      </w:r>
    </w:p>
    <w:p w14:paraId="1CCAA173">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直接要求承包人</w:t>
      </w:r>
      <w:r>
        <w:rPr>
          <w:rFonts w:hint="eastAsia" w:ascii="宋体" w:hAnsi="宋体" w:eastAsia="宋体" w:cs="宋体"/>
          <w:b w:val="0"/>
          <w:color w:val="auto"/>
          <w:kern w:val="0"/>
          <w:sz w:val="21"/>
          <w:szCs w:val="21"/>
          <w:highlight w:val="none"/>
          <w:lang w:val="en-US" w:eastAsia="zh-CN" w:bidi="ar"/>
        </w:rPr>
        <w:t>立即更换项目经理</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同时向发包人缴纳50万元</w:t>
      </w:r>
      <w:r>
        <w:rPr>
          <w:rFonts w:hint="eastAsia" w:ascii="宋体" w:hAnsi="宋体" w:eastAsia="宋体" w:cs="宋体"/>
          <w:color w:val="auto"/>
          <w:sz w:val="21"/>
          <w:szCs w:val="21"/>
          <w:highlight w:val="none"/>
          <w:lang w:val="en-US" w:eastAsia="zh-CN"/>
        </w:rPr>
        <w:t>违约金</w:t>
      </w:r>
      <w:r>
        <w:rPr>
          <w:rFonts w:hint="eastAsia" w:ascii="宋体" w:hAnsi="宋体" w:eastAsia="宋体" w:cs="宋体"/>
          <w:color w:val="auto"/>
          <w:sz w:val="21"/>
          <w:szCs w:val="21"/>
          <w:highlight w:val="none"/>
        </w:rPr>
        <w:t>，试用期3个月，直至发包人满意</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更换的项目经理不得低于原项目经理资格条件和业绩经历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
        </w:rPr>
        <w:t>暂停支付工程进度款，直至整改到位、新项目经理到岗履职；追究承包人违约责任，因事故、缺勤延误造成的所有经济损失、工期延误损失均由承包人全额承担；</w:t>
      </w:r>
    </w:p>
    <w:p w14:paraId="70ED736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0" w:firstLineChars="200"/>
        <w:jc w:val="left"/>
        <w:outlineLvl w:val="9"/>
        <w:rPr>
          <w:rFonts w:hint="eastAsia" w:ascii="宋体" w:hAnsi="宋体" w:eastAsia="宋体" w:cs="宋体"/>
          <w:b w:val="0"/>
          <w:bCs w:val="0"/>
          <w:color w:val="auto"/>
          <w:kern w:val="2"/>
          <w:sz w:val="21"/>
          <w:szCs w:val="21"/>
          <w:highlight w:val="none"/>
          <w:lang w:val="en-US" w:eastAsia="zh-CN" w:bidi="ar-SA"/>
        </w:rPr>
      </w:pPr>
    </w:p>
    <w:p w14:paraId="5E1B4421">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0" w:firstLineChars="200"/>
        <w:jc w:val="left"/>
        <w:outlineLvl w:val="9"/>
        <w:rPr>
          <w:rFonts w:hint="eastAsia" w:ascii="宋体" w:hAnsi="宋体" w:eastAsia="宋体" w:cs="宋体"/>
          <w:b w:val="0"/>
          <w:bCs w:val="0"/>
          <w:color w:val="auto"/>
          <w:kern w:val="2"/>
          <w:sz w:val="21"/>
          <w:szCs w:val="21"/>
          <w:highlight w:val="none"/>
          <w:lang w:val="en-US" w:eastAsia="zh-CN" w:bidi="ar-SA"/>
        </w:rPr>
      </w:pPr>
    </w:p>
    <w:p w14:paraId="40ABB87A">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0" w:firstLineChars="200"/>
        <w:jc w:val="left"/>
        <w:outlineLvl w:val="9"/>
        <w:rPr>
          <w:rFonts w:hint="eastAsia" w:ascii="宋体" w:hAnsi="宋体" w:eastAsia="宋体" w:cs="宋体"/>
          <w:b w:val="0"/>
          <w:bCs w:val="0"/>
          <w:color w:val="auto"/>
          <w:kern w:val="2"/>
          <w:sz w:val="21"/>
          <w:szCs w:val="21"/>
          <w:highlight w:val="none"/>
          <w:lang w:val="en-US" w:eastAsia="zh-CN" w:bidi="ar-SA"/>
        </w:rPr>
      </w:pPr>
    </w:p>
    <w:p w14:paraId="602712A5">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考核小组签字：__________ 日期：____年____月____日</w:t>
      </w:r>
    </w:p>
    <w:p w14:paraId="3290B5A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0" w:firstLineChars="200"/>
        <w:jc w:val="left"/>
        <w:outlineLvl w:val="9"/>
        <w:rPr>
          <w:rFonts w:hint="eastAsia" w:ascii="宋体" w:hAnsi="宋体" w:eastAsia="宋体" w:cs="宋体"/>
          <w:b w:val="0"/>
          <w:bCs w:val="0"/>
          <w:color w:val="auto"/>
          <w:kern w:val="2"/>
          <w:sz w:val="21"/>
          <w:szCs w:val="21"/>
          <w:highlight w:val="none"/>
          <w:lang w:val="en-US" w:eastAsia="zh-CN" w:bidi="ar-SA"/>
        </w:rPr>
      </w:pPr>
    </w:p>
    <w:p w14:paraId="08A530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br w:type="page"/>
      </w:r>
    </w:p>
    <w:p w14:paraId="55B9799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2" w:firstLineChars="200"/>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考核结果确认</w:t>
      </w:r>
    </w:p>
    <w:p w14:paraId="1C022559">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最终考核得分：__________</w:t>
      </w:r>
    </w:p>
    <w:p w14:paraId="62BF42D1">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考核等级：□优秀 □良好 □合格 □不合格</w:t>
      </w:r>
    </w:p>
    <w:p w14:paraId="5D8EC0F8">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缺勤/迟到天数：__________</w:t>
      </w:r>
    </w:p>
    <w:p w14:paraId="0DD34788">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对应罚款金额：__________</w:t>
      </w:r>
    </w:p>
    <w:p w14:paraId="6DDFEBED">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发包人处理意见：□同意继续履职 □要求限期整改 □建议承包人更换项目经理 □按约定执行处罚 □其他：__________</w:t>
      </w:r>
    </w:p>
    <w:p w14:paraId="2DA1E0ED">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Chars="0" w:firstLine="420" w:firstLineChars="200"/>
        <w:jc w:val="both"/>
        <w:rPr>
          <w:rFonts w:hint="eastAsia" w:ascii="宋体" w:hAnsi="宋体" w:eastAsia="宋体" w:cs="宋体"/>
          <w:color w:val="auto"/>
          <w:szCs w:val="21"/>
          <w:highlight w:val="none"/>
        </w:rPr>
      </w:pPr>
    </w:p>
    <w:p w14:paraId="472D56DC">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备注：</w:t>
      </w:r>
    </w:p>
    <w:p w14:paraId="7ECB95D2">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
        </w:rPr>
        <w:t>本记录表一式三份，发包人、监理单位、承包人各留存一份，作为项目经理履职考核、合同履约及违约处罚的依据；</w:t>
      </w:r>
    </w:p>
    <w:p w14:paraId="4A0CC5D9">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
        </w:rPr>
        <w:t>所有罚款、违约金均参照双方签订的《建设工程施工合同》相关条款执行，直接从工程进度款中扣除。</w:t>
      </w:r>
    </w:p>
    <w:p w14:paraId="1F3534A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7D162DA0">
      <w:pPr>
        <w:keepNext w:val="0"/>
        <w:keepLines w:val="0"/>
        <w:pageBreakBefore w:val="0"/>
        <w:widowControl w:val="0"/>
        <w:kinsoku/>
        <w:wordWrap/>
        <w:overflowPunct/>
        <w:topLinePunct w:val="0"/>
        <w:autoSpaceDE/>
        <w:autoSpaceDN/>
        <w:bidi w:val="0"/>
        <w:adjustRightInd/>
        <w:snapToGrid/>
        <w:spacing w:beforeAutospacing="0" w:afterAutospacing="0"/>
        <w:ind w:left="0" w:firstLine="0" w:firstLineChars="0"/>
        <w:jc w:val="both"/>
        <w:rPr>
          <w:rFonts w:ascii="Calibri" w:hAnsi="Calibri" w:eastAsia="宋体" w:cs="Times New Roman"/>
          <w:color w:val="auto"/>
          <w:szCs w:val="24"/>
          <w:highlight w:val="none"/>
        </w:rPr>
      </w:pPr>
    </w:p>
    <w:p w14:paraId="62F53DF1">
      <w:pPr>
        <w:keepNext w:val="0"/>
        <w:keepLines w:val="0"/>
        <w:pageBreakBefore w:val="0"/>
        <w:widowControl w:val="0"/>
        <w:kinsoku/>
        <w:wordWrap/>
        <w:overflowPunct/>
        <w:topLinePunct w:val="0"/>
        <w:autoSpaceDE/>
        <w:autoSpaceDN/>
        <w:bidi w:val="0"/>
        <w:adjustRightInd/>
        <w:snapToGrid/>
        <w:spacing w:beforeAutospacing="0" w:afterAutospacing="0"/>
        <w:ind w:left="0" w:firstLine="0" w:firstLineChars="0"/>
        <w:jc w:val="both"/>
        <w:rPr>
          <w:rFonts w:ascii="Calibri" w:hAnsi="Calibri" w:eastAsia="宋体" w:cs="Times New Roman"/>
          <w:color w:val="auto"/>
          <w:szCs w:val="24"/>
          <w:highlight w:val="none"/>
        </w:rPr>
      </w:pPr>
    </w:p>
    <w:p w14:paraId="33909333">
      <w:pPr>
        <w:keepNext w:val="0"/>
        <w:keepLines w:val="0"/>
        <w:pageBreakBefore w:val="0"/>
        <w:widowControl w:val="0"/>
        <w:kinsoku/>
        <w:wordWrap/>
        <w:overflowPunct/>
        <w:topLinePunct w:val="0"/>
        <w:autoSpaceDE/>
        <w:autoSpaceDN/>
        <w:bidi w:val="0"/>
        <w:adjustRightInd/>
        <w:snapToGrid/>
        <w:spacing w:beforeAutospacing="0" w:afterAutospacing="0"/>
        <w:ind w:left="0" w:firstLine="0" w:firstLineChars="0"/>
        <w:jc w:val="both"/>
        <w:rPr>
          <w:rFonts w:ascii="Calibri" w:hAnsi="Calibri" w:eastAsia="宋体" w:cs="Times New Roman"/>
          <w:color w:val="auto"/>
          <w:szCs w:val="24"/>
          <w:highlight w:val="none"/>
        </w:rPr>
      </w:pPr>
    </w:p>
    <w:p w14:paraId="33F2E0EE">
      <w:pPr>
        <w:keepNext w:val="0"/>
        <w:keepLines w:val="0"/>
        <w:pageBreakBefore w:val="0"/>
        <w:widowControl w:val="0"/>
        <w:kinsoku/>
        <w:wordWrap/>
        <w:overflowPunct/>
        <w:topLinePunct w:val="0"/>
        <w:autoSpaceDE/>
        <w:autoSpaceDN/>
        <w:bidi w:val="0"/>
        <w:adjustRightInd/>
        <w:snapToGrid/>
        <w:spacing w:beforeAutospacing="0" w:afterAutospacing="0"/>
        <w:ind w:left="0" w:firstLine="0" w:firstLineChars="0"/>
        <w:jc w:val="both"/>
        <w:rPr>
          <w:rFonts w:ascii="Calibri" w:hAnsi="Calibri" w:eastAsia="宋体" w:cs="Times New Roman"/>
          <w:color w:val="auto"/>
          <w:szCs w:val="24"/>
          <w:highlight w:val="none"/>
        </w:rPr>
      </w:pPr>
    </w:p>
    <w:p w14:paraId="3262F374">
      <w:pPr>
        <w:widowControl/>
        <w:jc w:val="left"/>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br w:type="page"/>
      </w:r>
    </w:p>
    <w:p w14:paraId="252A08A5">
      <w:pPr>
        <w:keepNext w:val="0"/>
        <w:keepLines w:val="0"/>
        <w:widowControl/>
        <w:suppressLineNumbers w:val="0"/>
        <w:spacing w:before="0" w:beforeAutospacing="1" w:after="0" w:afterAutospacing="1" w:line="360" w:lineRule="auto"/>
        <w:jc w:val="left"/>
        <w:outlineLvl w:val="9"/>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附件三：技术负责人履职考核评分表</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262"/>
        <w:gridCol w:w="6046"/>
      </w:tblGrid>
      <w:tr w14:paraId="039C0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61C769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工程名称</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721A783">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驻马店市薄山水库除险加固工程（一期）</w:t>
            </w:r>
            <w:r>
              <w:rPr>
                <w:rFonts w:hint="eastAsia" w:ascii="宋体" w:hAnsi="宋体" w:eastAsia="宋体" w:cs="宋体"/>
                <w:color w:val="auto"/>
                <w:sz w:val="21"/>
                <w:szCs w:val="21"/>
                <w:highlight w:val="none"/>
                <w:u w:val="single"/>
                <w:lang w:val="en-US" w:eastAsia="zh-CN"/>
              </w:rPr>
              <w:t xml:space="preserve">      标段</w:t>
            </w:r>
          </w:p>
        </w:tc>
      </w:tr>
      <w:tr w14:paraId="48500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096147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合同编号</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6EE69D5">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7160E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A7C5B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承包人单位名称</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239BCD2B">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4F441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151878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技术负责人姓名</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644DC4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p>
        </w:tc>
      </w:tr>
      <w:tr w14:paraId="607FE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98428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技术负责人执业资格</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48639F9">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□XX证书 证书编号：</w:t>
            </w:r>
          </w:p>
        </w:tc>
      </w:tr>
      <w:tr w14:paraId="2CE98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68C66B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本次考核周期</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40E17E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____年____月____日 - ____年____月____日</w:t>
            </w:r>
          </w:p>
        </w:tc>
      </w:tr>
      <w:tr w14:paraId="73363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245BF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考核类型</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7E0958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 □季度考核 </w:t>
            </w:r>
          </w:p>
        </w:tc>
      </w:tr>
    </w:tbl>
    <w:p w14:paraId="7A4C54AD">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34E627D7">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4F06D1AF">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1449C8E0">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7C8C7A27">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1FCC7B7D">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br w:type="page"/>
      </w:r>
    </w:p>
    <w:p w14:paraId="1842A6BA">
      <w:pPr>
        <w:keepNext w:val="0"/>
        <w:keepLines w:val="0"/>
        <w:widowControl/>
        <w:suppressLineNumbers w:val="0"/>
        <w:spacing w:before="0" w:after="0" w:line="360" w:lineRule="auto"/>
        <w:jc w:val="both"/>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考核内容及评分标准</w:t>
      </w:r>
    </w:p>
    <w:p w14:paraId="04D1805C">
      <w:pPr>
        <w:keepNext w:val="0"/>
        <w:keepLines w:val="0"/>
        <w:widowControl/>
        <w:suppressLineNumbers w:val="0"/>
        <w:spacing w:line="360" w:lineRule="auto"/>
        <w:jc w:val="left"/>
        <w:rPr>
          <w:rFonts w:hint="eastAsia" w:ascii="宋体" w:hAnsi="宋体" w:eastAsia="宋体" w:cs="宋体"/>
          <w:color w:val="auto"/>
          <w:szCs w:val="21"/>
          <w:highlight w:val="none"/>
        </w:rPr>
      </w:pPr>
      <w:r>
        <w:rPr>
          <w:rFonts w:hint="eastAsia" w:ascii="宋体" w:hAnsi="宋体" w:eastAsia="宋体" w:cs="宋体"/>
          <w:b/>
          <w:color w:val="auto"/>
          <w:kern w:val="0"/>
          <w:sz w:val="21"/>
          <w:szCs w:val="21"/>
          <w:highlight w:val="none"/>
          <w:lang w:val="en-US" w:eastAsia="zh-CN" w:bidi="ar"/>
        </w:rPr>
        <w:t>考核总分：</w:t>
      </w:r>
      <w:r>
        <w:rPr>
          <w:rFonts w:hint="eastAsia" w:ascii="宋体" w:hAnsi="宋体" w:eastAsia="宋体" w:cs="宋体"/>
          <w:color w:val="auto"/>
          <w:kern w:val="0"/>
          <w:sz w:val="21"/>
          <w:szCs w:val="21"/>
          <w:highlight w:val="none"/>
          <w:lang w:val="en-US" w:eastAsia="zh-CN" w:bidi="ar"/>
        </w:rPr>
        <w:t>每季度末考核一次，总分</w:t>
      </w:r>
      <w:r>
        <w:rPr>
          <w:rFonts w:hint="eastAsia" w:ascii="宋体" w:hAnsi="宋体" w:eastAsia="宋体" w:cs="宋体"/>
          <w:b/>
          <w:color w:val="auto"/>
          <w:kern w:val="0"/>
          <w:sz w:val="21"/>
          <w:szCs w:val="21"/>
          <w:highlight w:val="none"/>
          <w:lang w:val="en-US" w:eastAsia="zh-CN" w:bidi="ar"/>
        </w:rPr>
        <w:t>100分</w:t>
      </w:r>
      <w:r>
        <w:rPr>
          <w:rFonts w:hint="eastAsia" w:ascii="宋体" w:hAnsi="宋体" w:eastAsia="宋体" w:cs="宋体"/>
          <w:color w:val="auto"/>
          <w:kern w:val="0"/>
          <w:sz w:val="21"/>
          <w:szCs w:val="21"/>
          <w:highlight w:val="none"/>
          <w:lang w:val="en-US" w:eastAsia="zh-CN" w:bidi="ar"/>
        </w:rPr>
        <w:t>，考核结果分为优秀（≥90分）、良好（80-89分）、合格（61-79分）、不合格（≤60分）四个等级。</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57"/>
        <w:gridCol w:w="577"/>
        <w:gridCol w:w="3657"/>
        <w:gridCol w:w="3358"/>
        <w:gridCol w:w="663"/>
      </w:tblGrid>
      <w:tr w14:paraId="609B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blHeader/>
        </w:trPr>
        <w:tc>
          <w:tcPr>
            <w:tcW w:w="0" w:type="auto"/>
            <w:shd w:val="clear" w:color="auto" w:fill="F2F3F5"/>
            <w:tcMar>
              <w:top w:w="120" w:type="dxa"/>
              <w:left w:w="120" w:type="dxa"/>
              <w:bottom w:w="120" w:type="dxa"/>
              <w:right w:w="120" w:type="dxa"/>
            </w:tcMar>
            <w:vAlign w:val="top"/>
          </w:tcPr>
          <w:p w14:paraId="20D471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考核维度</w:t>
            </w:r>
          </w:p>
        </w:tc>
        <w:tc>
          <w:tcPr>
            <w:tcW w:w="0" w:type="auto"/>
            <w:shd w:val="clear" w:color="auto" w:fill="F2F3F5"/>
            <w:tcMar>
              <w:top w:w="120" w:type="dxa"/>
              <w:left w:w="120" w:type="dxa"/>
              <w:bottom w:w="120" w:type="dxa"/>
              <w:right w:w="120" w:type="dxa"/>
            </w:tcMar>
            <w:vAlign w:val="top"/>
          </w:tcPr>
          <w:p w14:paraId="00D40A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分值</w:t>
            </w:r>
          </w:p>
        </w:tc>
        <w:tc>
          <w:tcPr>
            <w:tcW w:w="3657" w:type="dxa"/>
            <w:shd w:val="clear" w:color="auto" w:fill="F2F3F5"/>
            <w:tcMar>
              <w:top w:w="120" w:type="dxa"/>
              <w:left w:w="120" w:type="dxa"/>
              <w:bottom w:w="120" w:type="dxa"/>
              <w:right w:w="120" w:type="dxa"/>
            </w:tcMar>
            <w:vAlign w:val="top"/>
          </w:tcPr>
          <w:p w14:paraId="0C57A3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考核指标</w:t>
            </w:r>
          </w:p>
        </w:tc>
        <w:tc>
          <w:tcPr>
            <w:tcW w:w="3358" w:type="dxa"/>
            <w:shd w:val="clear" w:color="auto" w:fill="F2F3F5"/>
            <w:tcMar>
              <w:top w:w="120" w:type="dxa"/>
              <w:left w:w="120" w:type="dxa"/>
              <w:bottom w:w="120" w:type="dxa"/>
              <w:right w:w="120" w:type="dxa"/>
            </w:tcMar>
            <w:vAlign w:val="top"/>
          </w:tcPr>
          <w:p w14:paraId="148EBB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评分及处罚标准</w:t>
            </w:r>
          </w:p>
        </w:tc>
        <w:tc>
          <w:tcPr>
            <w:tcW w:w="663" w:type="dxa"/>
            <w:shd w:val="clear" w:color="auto" w:fill="F2F3F5"/>
            <w:tcMar>
              <w:top w:w="120" w:type="dxa"/>
              <w:left w:w="120" w:type="dxa"/>
              <w:bottom w:w="120" w:type="dxa"/>
              <w:right w:w="120" w:type="dxa"/>
            </w:tcMar>
            <w:vAlign w:val="top"/>
          </w:tcPr>
          <w:p w14:paraId="4265EC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考核</w:t>
            </w:r>
          </w:p>
          <w:p w14:paraId="6D0F21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得分</w:t>
            </w:r>
          </w:p>
        </w:tc>
      </w:tr>
      <w:tr w14:paraId="59DD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3524D2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一、履职到岗情况</w:t>
            </w:r>
          </w:p>
        </w:tc>
        <w:tc>
          <w:tcPr>
            <w:tcW w:w="0" w:type="auto"/>
            <w:shd w:val="clear" w:color="auto" w:fill="auto"/>
            <w:tcMar>
              <w:top w:w="120" w:type="dxa"/>
              <w:left w:w="120" w:type="dxa"/>
              <w:bottom w:w="120" w:type="dxa"/>
              <w:right w:w="120" w:type="dxa"/>
            </w:tcMar>
            <w:vAlign w:val="top"/>
          </w:tcPr>
          <w:p w14:paraId="279D50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w:t>
            </w:r>
          </w:p>
        </w:tc>
        <w:tc>
          <w:tcPr>
            <w:tcW w:w="3657" w:type="dxa"/>
            <w:shd w:val="clear" w:color="auto" w:fill="auto"/>
            <w:tcMar>
              <w:top w:w="120" w:type="dxa"/>
              <w:left w:w="120" w:type="dxa"/>
              <w:bottom w:w="120" w:type="dxa"/>
              <w:right w:w="120" w:type="dxa"/>
            </w:tcMar>
            <w:vAlign w:val="top"/>
          </w:tcPr>
          <w:p w14:paraId="5ED2877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1.每月现场在岗天数不少于21天，严格按合同及岗位要求到岗履职，离岗需提前向发包人、监理单位履行书面报批手续 </w:t>
            </w:r>
          </w:p>
          <w:p w14:paraId="2B37125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2.按时参加发包人、监理例会及专项工程会议，不迟到、不早退、不无故缺席 </w:t>
            </w:r>
          </w:p>
          <w:p w14:paraId="5CB1C5C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3.按要求接受各种稽查、审计、检查等，并及时提供相关资料</w:t>
            </w:r>
          </w:p>
          <w:p w14:paraId="6A9AFE7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p>
        </w:tc>
        <w:tc>
          <w:tcPr>
            <w:tcW w:w="3358" w:type="dxa"/>
            <w:shd w:val="clear" w:color="auto" w:fill="auto"/>
            <w:tcMar>
              <w:top w:w="120" w:type="dxa"/>
              <w:left w:w="120" w:type="dxa"/>
              <w:bottom w:w="120" w:type="dxa"/>
              <w:right w:w="120" w:type="dxa"/>
            </w:tcMar>
            <w:vAlign w:val="top"/>
          </w:tcPr>
          <w:p w14:paraId="3D2F05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b/>
                <w:color w:val="auto"/>
                <w:kern w:val="0"/>
                <w:sz w:val="21"/>
                <w:szCs w:val="21"/>
                <w:highlight w:val="none"/>
                <w:lang w:val="en-US" w:eastAsia="zh-CN" w:bidi="ar"/>
              </w:rPr>
              <w:t>每月在岗不足21天，每缺勤1天，罚款1000元</w:t>
            </w:r>
            <w:r>
              <w:rPr>
                <w:rFonts w:hint="eastAsia" w:ascii="宋体" w:hAnsi="宋体" w:eastAsia="宋体" w:cs="宋体"/>
                <w:color w:val="auto"/>
                <w:kern w:val="0"/>
                <w:sz w:val="21"/>
                <w:szCs w:val="21"/>
                <w:highlight w:val="none"/>
                <w:lang w:val="en-US" w:eastAsia="zh-CN" w:bidi="ar"/>
              </w:rPr>
              <w:t xml:space="preserve">，同时扣3分/天；未经批准擅自离岗、脱岗，双倍扣分并追加罚款 </w:t>
            </w:r>
          </w:p>
          <w:p w14:paraId="6E600A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b/>
                <w:color w:val="auto"/>
                <w:kern w:val="0"/>
                <w:sz w:val="21"/>
                <w:szCs w:val="21"/>
                <w:highlight w:val="none"/>
                <w:lang w:val="en-US" w:eastAsia="zh-CN" w:bidi="ar"/>
              </w:rPr>
              <w:t>参会每迟到/早退1次</w:t>
            </w:r>
            <w:r>
              <w:rPr>
                <w:rFonts w:hint="eastAsia" w:ascii="宋体" w:hAnsi="宋体" w:eastAsia="宋体" w:cs="宋体"/>
                <w:color w:val="auto"/>
                <w:kern w:val="0"/>
                <w:sz w:val="21"/>
                <w:szCs w:val="21"/>
                <w:highlight w:val="none"/>
                <w:lang w:val="en-US" w:eastAsia="zh-CN" w:bidi="ar"/>
              </w:rPr>
              <w:t xml:space="preserve">，扣2分/次；无故缺席会议，扣3分/次 </w:t>
            </w:r>
          </w:p>
          <w:p w14:paraId="0D4EA5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sz w:val="21"/>
                <w:szCs w:val="21"/>
                <w:highlight w:val="none"/>
                <w:lang w:val="en-US" w:eastAsia="zh-CN"/>
              </w:rPr>
              <w:t>不配合或不积极提供相关资料的，每次扣5分</w:t>
            </w:r>
          </w:p>
        </w:tc>
        <w:tc>
          <w:tcPr>
            <w:tcW w:w="663" w:type="dxa"/>
            <w:shd w:val="clear" w:color="auto" w:fill="auto"/>
            <w:tcMar>
              <w:top w:w="120" w:type="dxa"/>
              <w:left w:w="120" w:type="dxa"/>
              <w:bottom w:w="120" w:type="dxa"/>
              <w:right w:w="120" w:type="dxa"/>
            </w:tcMar>
            <w:vAlign w:val="top"/>
          </w:tcPr>
          <w:p w14:paraId="4009A4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40195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608ED8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二、工程进度管控</w:t>
            </w:r>
          </w:p>
        </w:tc>
        <w:tc>
          <w:tcPr>
            <w:tcW w:w="0" w:type="auto"/>
            <w:shd w:val="clear" w:color="auto" w:fill="auto"/>
            <w:tcMar>
              <w:top w:w="120" w:type="dxa"/>
              <w:left w:w="120" w:type="dxa"/>
              <w:bottom w:w="120" w:type="dxa"/>
              <w:right w:w="120" w:type="dxa"/>
            </w:tcMar>
            <w:vAlign w:val="top"/>
          </w:tcPr>
          <w:p w14:paraId="389A47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3657" w:type="dxa"/>
            <w:shd w:val="clear" w:color="auto" w:fill="auto"/>
            <w:tcMar>
              <w:top w:w="120" w:type="dxa"/>
              <w:left w:w="120" w:type="dxa"/>
              <w:bottom w:w="120" w:type="dxa"/>
              <w:right w:w="120" w:type="dxa"/>
            </w:tcMar>
            <w:vAlign w:val="top"/>
          </w:tcPr>
          <w:p w14:paraId="1CDB0D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1.立足本职岗位，配合落实合同工期及施工计划推进工作 2.协助做好进度纠偏、工序衔接，保障节点工期按时完成 3.按时上报岗位相关进度资料、工作报表，数据真实准确</w:t>
            </w:r>
          </w:p>
        </w:tc>
        <w:tc>
          <w:tcPr>
            <w:tcW w:w="3358" w:type="dxa"/>
            <w:shd w:val="clear" w:color="auto" w:fill="auto"/>
            <w:tcMar>
              <w:top w:w="120" w:type="dxa"/>
              <w:left w:w="120" w:type="dxa"/>
              <w:bottom w:w="120" w:type="dxa"/>
              <w:right w:w="120" w:type="dxa"/>
            </w:tcMar>
            <w:vAlign w:val="top"/>
          </w:tcPr>
          <w:p w14:paraId="3C865C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1.因岗位失职影响工序推进、节点延误，每延误1天扣2分；总工期延误，每延误1天扣5分</w:t>
            </w:r>
          </w:p>
          <w:p w14:paraId="1B8B6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2.进度滞后未配合落实整改措施，每次扣5分 </w:t>
            </w:r>
          </w:p>
          <w:p w14:paraId="3D3A14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3.未按时上报岗位相关资料或数据不实，每次扣2分</w:t>
            </w:r>
          </w:p>
        </w:tc>
        <w:tc>
          <w:tcPr>
            <w:tcW w:w="663" w:type="dxa"/>
            <w:shd w:val="clear" w:color="auto" w:fill="auto"/>
            <w:tcMar>
              <w:top w:w="120" w:type="dxa"/>
              <w:left w:w="120" w:type="dxa"/>
              <w:bottom w:w="120" w:type="dxa"/>
              <w:right w:w="120" w:type="dxa"/>
            </w:tcMar>
            <w:vAlign w:val="top"/>
          </w:tcPr>
          <w:p w14:paraId="368169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12E45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39441F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三、工程质量管理</w:t>
            </w:r>
          </w:p>
        </w:tc>
        <w:tc>
          <w:tcPr>
            <w:tcW w:w="0" w:type="auto"/>
            <w:shd w:val="clear" w:color="auto" w:fill="auto"/>
            <w:tcMar>
              <w:top w:w="120" w:type="dxa"/>
              <w:left w:w="120" w:type="dxa"/>
              <w:bottom w:w="120" w:type="dxa"/>
              <w:right w:w="120" w:type="dxa"/>
            </w:tcMar>
            <w:vAlign w:val="top"/>
          </w:tcPr>
          <w:p w14:paraId="084811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25</w:t>
            </w:r>
          </w:p>
        </w:tc>
        <w:tc>
          <w:tcPr>
            <w:tcW w:w="3657" w:type="dxa"/>
            <w:shd w:val="clear" w:color="auto" w:fill="auto"/>
            <w:tcMar>
              <w:top w:w="120" w:type="dxa"/>
              <w:left w:w="120" w:type="dxa"/>
              <w:bottom w:w="120" w:type="dxa"/>
              <w:right w:w="120" w:type="dxa"/>
            </w:tcMar>
            <w:vAlign w:val="top"/>
          </w:tcPr>
          <w:p w14:paraId="25AF0A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1.严格按照设计图纸、施工规范及技术标准落实岗位工作，及时组织技术交底。</w:t>
            </w:r>
          </w:p>
          <w:p w14:paraId="6F3D3F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2.工程质量出现缺陷</w:t>
            </w:r>
          </w:p>
          <w:p w14:paraId="1388F4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3.及时配合完成质量问题整改</w:t>
            </w:r>
          </w:p>
          <w:p w14:paraId="73EB80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4.出现质量事故</w:t>
            </w:r>
          </w:p>
        </w:tc>
        <w:tc>
          <w:tcPr>
            <w:tcW w:w="3358" w:type="dxa"/>
            <w:shd w:val="clear" w:color="auto" w:fill="auto"/>
            <w:tcMar>
              <w:top w:w="120" w:type="dxa"/>
              <w:left w:w="120" w:type="dxa"/>
              <w:bottom w:w="120" w:type="dxa"/>
              <w:right w:w="120" w:type="dxa"/>
            </w:tcMar>
            <w:vAlign w:val="top"/>
          </w:tcPr>
          <w:p w14:paraId="0B7DED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1.未按规范落实岗位工作、违反施工要求，未组织技术交底，每次扣5分 </w:t>
            </w:r>
          </w:p>
          <w:p w14:paraId="5836CF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2.引发工程质量缺陷，每处扣5分</w:t>
            </w:r>
          </w:p>
          <w:p w14:paraId="3903DB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3.质量问题拒不配合整改、逾期整改，每次扣5分</w:t>
            </w:r>
          </w:p>
          <w:p w14:paraId="500682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4.引发质量事故，一次性扣除40分，判定技术负责人为不合格标准</w:t>
            </w:r>
          </w:p>
        </w:tc>
        <w:tc>
          <w:tcPr>
            <w:tcW w:w="663" w:type="dxa"/>
            <w:shd w:val="clear" w:color="auto" w:fill="auto"/>
            <w:tcMar>
              <w:top w:w="120" w:type="dxa"/>
              <w:left w:w="120" w:type="dxa"/>
              <w:bottom w:w="120" w:type="dxa"/>
              <w:right w:w="120" w:type="dxa"/>
            </w:tcMar>
            <w:vAlign w:val="top"/>
          </w:tcPr>
          <w:p w14:paraId="77E7B4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7F49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431DD4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四、安全生产与文明施工</w:t>
            </w:r>
          </w:p>
        </w:tc>
        <w:tc>
          <w:tcPr>
            <w:tcW w:w="0" w:type="auto"/>
            <w:shd w:val="clear" w:color="auto" w:fill="auto"/>
            <w:tcMar>
              <w:top w:w="120" w:type="dxa"/>
              <w:left w:w="120" w:type="dxa"/>
              <w:bottom w:w="120" w:type="dxa"/>
              <w:right w:w="120" w:type="dxa"/>
            </w:tcMar>
            <w:vAlign w:val="top"/>
          </w:tcPr>
          <w:p w14:paraId="7E1F95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3657" w:type="dxa"/>
            <w:shd w:val="clear" w:color="auto" w:fill="auto"/>
            <w:tcMar>
              <w:top w:w="120" w:type="dxa"/>
              <w:left w:w="120" w:type="dxa"/>
              <w:bottom w:w="120" w:type="dxa"/>
              <w:right w:w="120" w:type="dxa"/>
            </w:tcMar>
            <w:vAlign w:val="top"/>
          </w:tcPr>
          <w:p w14:paraId="3897712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1.执行现场文明施工标准，做好岗位相关现场管控工作 </w:t>
            </w:r>
          </w:p>
          <w:p w14:paraId="1D6B953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2.配合安全隐患排查整改，落实各项安全管理要求</w:t>
            </w:r>
          </w:p>
          <w:p w14:paraId="15C2602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3.落实岗位安全生产职责，严守现场安全管控要求，杜绝安全事故</w:t>
            </w:r>
          </w:p>
          <w:p w14:paraId="5E152D2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p>
        </w:tc>
        <w:tc>
          <w:tcPr>
            <w:tcW w:w="3358" w:type="dxa"/>
            <w:shd w:val="clear" w:color="auto" w:fill="auto"/>
            <w:tcMar>
              <w:top w:w="120" w:type="dxa"/>
              <w:left w:w="120" w:type="dxa"/>
              <w:bottom w:w="120" w:type="dxa"/>
              <w:right w:w="120" w:type="dxa"/>
            </w:tcMar>
            <w:vAlign w:val="top"/>
          </w:tcPr>
          <w:p w14:paraId="674919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1.现场文明施工岗位履职不达标，酌情扣3-8分 </w:t>
            </w:r>
          </w:p>
          <w:p w14:paraId="782531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2.安全隐患拒不配合整改、整改不到位，每次扣5分</w:t>
            </w:r>
          </w:p>
          <w:p w14:paraId="743D59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3.因岗位失职引发安全事故，一次性扣除40分，判定技术负责人为不合格标准 </w:t>
            </w:r>
          </w:p>
          <w:p w14:paraId="3CDCB3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p>
        </w:tc>
        <w:tc>
          <w:tcPr>
            <w:tcW w:w="663" w:type="dxa"/>
            <w:shd w:val="clear" w:color="auto" w:fill="auto"/>
            <w:tcMar>
              <w:top w:w="120" w:type="dxa"/>
              <w:left w:w="120" w:type="dxa"/>
              <w:bottom w:w="120" w:type="dxa"/>
              <w:right w:w="120" w:type="dxa"/>
            </w:tcMar>
            <w:vAlign w:val="top"/>
          </w:tcPr>
          <w:p w14:paraId="5ECA07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1710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2F991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五、协调配合与资料报送</w:t>
            </w:r>
          </w:p>
        </w:tc>
        <w:tc>
          <w:tcPr>
            <w:tcW w:w="0" w:type="auto"/>
            <w:shd w:val="clear" w:color="auto" w:fill="auto"/>
            <w:tcMar>
              <w:top w:w="120" w:type="dxa"/>
              <w:left w:w="120" w:type="dxa"/>
              <w:bottom w:w="120" w:type="dxa"/>
              <w:right w:w="120" w:type="dxa"/>
            </w:tcMar>
            <w:vAlign w:val="top"/>
          </w:tcPr>
          <w:p w14:paraId="37A193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3657" w:type="dxa"/>
            <w:shd w:val="clear" w:color="auto" w:fill="auto"/>
            <w:tcMar>
              <w:top w:w="120" w:type="dxa"/>
              <w:left w:w="120" w:type="dxa"/>
              <w:bottom w:w="120" w:type="dxa"/>
              <w:right w:w="120" w:type="dxa"/>
            </w:tcMar>
            <w:vAlign w:val="top"/>
          </w:tcPr>
          <w:p w14:paraId="476D6F9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1.配合施工现场各方管理，高效完成岗位协同工作 </w:t>
            </w:r>
          </w:p>
          <w:p w14:paraId="2C0CD86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2.按时报送岗位相关工程资料，资料规范、完整、有效 </w:t>
            </w:r>
          </w:p>
          <w:p w14:paraId="6167F68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3.严格执行发包人、监理现场管理指令，落实各项工作要求</w:t>
            </w:r>
          </w:p>
        </w:tc>
        <w:tc>
          <w:tcPr>
            <w:tcW w:w="3358" w:type="dxa"/>
            <w:shd w:val="clear" w:color="auto" w:fill="auto"/>
            <w:tcMar>
              <w:top w:w="120" w:type="dxa"/>
              <w:left w:w="120" w:type="dxa"/>
              <w:bottom w:w="120" w:type="dxa"/>
              <w:right w:w="120" w:type="dxa"/>
            </w:tcMar>
            <w:vAlign w:val="top"/>
          </w:tcPr>
          <w:p w14:paraId="5EBAAF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1.岗位协同不力、配合不到位影响工程推进，每次扣3-5分 </w:t>
            </w:r>
          </w:p>
          <w:p w14:paraId="285001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2.资料报送滞后、内容缺失、填写不规范，每次扣2-4分 </w:t>
            </w:r>
          </w:p>
          <w:p w14:paraId="513A42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3.拒不执行合理管理指令，每次扣5分</w:t>
            </w:r>
          </w:p>
        </w:tc>
        <w:tc>
          <w:tcPr>
            <w:tcW w:w="663" w:type="dxa"/>
            <w:shd w:val="clear" w:color="auto" w:fill="auto"/>
            <w:tcMar>
              <w:top w:w="120" w:type="dxa"/>
              <w:left w:w="120" w:type="dxa"/>
              <w:bottom w:w="120" w:type="dxa"/>
              <w:right w:w="120" w:type="dxa"/>
            </w:tcMar>
            <w:vAlign w:val="top"/>
          </w:tcPr>
          <w:p w14:paraId="0B770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6464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5FA577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六、合同履约与职业素养</w:t>
            </w:r>
          </w:p>
        </w:tc>
        <w:tc>
          <w:tcPr>
            <w:tcW w:w="0" w:type="auto"/>
            <w:shd w:val="clear" w:color="auto" w:fill="auto"/>
            <w:tcMar>
              <w:top w:w="120" w:type="dxa"/>
              <w:left w:w="120" w:type="dxa"/>
              <w:bottom w:w="120" w:type="dxa"/>
              <w:right w:w="120" w:type="dxa"/>
            </w:tcMar>
            <w:vAlign w:val="top"/>
          </w:tcPr>
          <w:p w14:paraId="439773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10</w:t>
            </w:r>
          </w:p>
        </w:tc>
        <w:tc>
          <w:tcPr>
            <w:tcW w:w="3657" w:type="dxa"/>
            <w:shd w:val="clear" w:color="auto" w:fill="auto"/>
            <w:tcMar>
              <w:top w:w="120" w:type="dxa"/>
              <w:left w:w="120" w:type="dxa"/>
              <w:bottom w:w="120" w:type="dxa"/>
              <w:right w:w="120" w:type="dxa"/>
            </w:tcMar>
            <w:vAlign w:val="top"/>
          </w:tcPr>
          <w:p w14:paraId="60FD177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1.严格履行合同约定及岗位履职要求，无岗位失职违约行为 </w:t>
            </w:r>
          </w:p>
          <w:p w14:paraId="418DDED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2.恪守职业规范，廉洁从业，无违规违纪、谋取不正当利益行为 </w:t>
            </w:r>
          </w:p>
          <w:p w14:paraId="13773D7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3.维护发包人与项目合法权益，严守项目管理各项规章制度</w:t>
            </w:r>
          </w:p>
          <w:p w14:paraId="2F93FF3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4.各类技术资料严格审核把关</w:t>
            </w:r>
          </w:p>
          <w:p w14:paraId="2DE9B77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5.组织处理施工中出现的技术难题，制定处理方案并监督落实</w:t>
            </w:r>
          </w:p>
          <w:p w14:paraId="15BFA99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6.组织推广应用“四新”技术</w:t>
            </w:r>
          </w:p>
        </w:tc>
        <w:tc>
          <w:tcPr>
            <w:tcW w:w="3358" w:type="dxa"/>
            <w:shd w:val="clear" w:color="auto" w:fill="auto"/>
            <w:tcMar>
              <w:top w:w="120" w:type="dxa"/>
              <w:left w:w="120" w:type="dxa"/>
              <w:bottom w:w="120" w:type="dxa"/>
              <w:right w:w="120" w:type="dxa"/>
            </w:tcMar>
            <w:vAlign w:val="top"/>
          </w:tcPr>
          <w:p w14:paraId="5E0BF1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1.违反合同约定、岗位管理条款，酌情扣4-8分 </w:t>
            </w:r>
          </w:p>
          <w:p w14:paraId="72866D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2.存在违规违纪、不廉洁行为，本项不得分 </w:t>
            </w:r>
          </w:p>
          <w:p w14:paraId="3778FD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3.履职过程损害项目合法权益，每次扣5分</w:t>
            </w:r>
          </w:p>
          <w:p w14:paraId="29E841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4.技术资料审核把关不严，报送资料有严重的技术缺陷，每次扣2分</w:t>
            </w:r>
          </w:p>
          <w:p w14:paraId="23CC75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5.技术难题处理不及时，造成影响进度、质量及安全，每次扣5分</w:t>
            </w:r>
          </w:p>
          <w:p w14:paraId="4627A1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6.未组织推广“四新”技术，每次扣2分</w:t>
            </w:r>
          </w:p>
        </w:tc>
        <w:tc>
          <w:tcPr>
            <w:tcW w:w="663" w:type="dxa"/>
            <w:shd w:val="clear" w:color="auto" w:fill="auto"/>
            <w:tcMar>
              <w:top w:w="120" w:type="dxa"/>
              <w:left w:w="120" w:type="dxa"/>
              <w:bottom w:w="120" w:type="dxa"/>
              <w:right w:w="120" w:type="dxa"/>
            </w:tcMar>
            <w:vAlign w:val="top"/>
          </w:tcPr>
          <w:p w14:paraId="4D1D66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219A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0AC656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考核</w:t>
            </w:r>
          </w:p>
          <w:p w14:paraId="6DA50F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总分</w:t>
            </w:r>
          </w:p>
        </w:tc>
        <w:tc>
          <w:tcPr>
            <w:tcW w:w="0" w:type="auto"/>
            <w:shd w:val="clear" w:color="auto" w:fill="auto"/>
            <w:tcMar>
              <w:top w:w="120" w:type="dxa"/>
              <w:left w:w="120" w:type="dxa"/>
              <w:bottom w:w="120" w:type="dxa"/>
              <w:right w:w="120" w:type="dxa"/>
            </w:tcMar>
            <w:vAlign w:val="top"/>
          </w:tcPr>
          <w:p w14:paraId="60CEE3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3657" w:type="dxa"/>
            <w:shd w:val="clear" w:color="auto" w:fill="auto"/>
            <w:tcMar>
              <w:top w:w="120" w:type="dxa"/>
              <w:left w:w="120" w:type="dxa"/>
              <w:bottom w:w="120" w:type="dxa"/>
              <w:right w:w="120" w:type="dxa"/>
            </w:tcMar>
            <w:vAlign w:val="top"/>
          </w:tcPr>
          <w:p w14:paraId="138B0F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tc>
        <w:tc>
          <w:tcPr>
            <w:tcW w:w="3358" w:type="dxa"/>
            <w:shd w:val="clear" w:color="auto" w:fill="auto"/>
            <w:tcMar>
              <w:top w:w="120" w:type="dxa"/>
              <w:left w:w="120" w:type="dxa"/>
              <w:bottom w:w="120" w:type="dxa"/>
              <w:right w:w="120" w:type="dxa"/>
            </w:tcMar>
            <w:vAlign w:val="top"/>
          </w:tcPr>
          <w:p w14:paraId="476B91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tc>
        <w:tc>
          <w:tcPr>
            <w:tcW w:w="663" w:type="dxa"/>
            <w:shd w:val="clear" w:color="auto" w:fill="auto"/>
            <w:tcMar>
              <w:top w:w="120" w:type="dxa"/>
              <w:left w:w="120" w:type="dxa"/>
              <w:bottom w:w="120" w:type="dxa"/>
              <w:right w:w="120" w:type="dxa"/>
            </w:tcMar>
            <w:vAlign w:val="top"/>
          </w:tcPr>
          <w:p w14:paraId="021A8734">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bl>
    <w:p w14:paraId="23BF9E7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4B28C4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val="0"/>
          <w:bCs w:val="0"/>
          <w:color w:val="auto"/>
          <w:kern w:val="2"/>
          <w:sz w:val="21"/>
          <w:szCs w:val="21"/>
          <w:highlight w:val="none"/>
          <w:lang w:val="en-US" w:eastAsia="zh-CN" w:bidi="ar-SA"/>
        </w:rPr>
      </w:pPr>
    </w:p>
    <w:p w14:paraId="6A3691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br w:type="page"/>
      </w:r>
    </w:p>
    <w:p w14:paraId="1AE27F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firstLineChars="0"/>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考核不合格处理</w:t>
      </w:r>
    </w:p>
    <w:p w14:paraId="42B0030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b/>
          <w:color w:val="auto"/>
          <w:kern w:val="0"/>
          <w:sz w:val="21"/>
          <w:szCs w:val="21"/>
          <w:highlight w:val="none"/>
          <w:lang w:val="en-US" w:eastAsia="zh-CN" w:bidi="ar"/>
        </w:rPr>
        <w:t>单次考核不合格（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b/>
          <w:color w:val="auto"/>
          <w:kern w:val="0"/>
          <w:sz w:val="21"/>
          <w:szCs w:val="21"/>
          <w:highlight w:val="none"/>
          <w:lang w:val="en-US" w:eastAsia="zh-CN" w:bidi="ar"/>
        </w:rPr>
        <w:t>60分）</w:t>
      </w:r>
    </w:p>
    <w:p w14:paraId="6BCCADC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发包人向承包人正式出具</w:t>
      </w:r>
      <w:r>
        <w:rPr>
          <w:rFonts w:hint="eastAsia" w:ascii="宋体" w:hAnsi="宋体" w:eastAsia="宋体" w:cs="宋体"/>
          <w:b/>
          <w:color w:val="auto"/>
          <w:kern w:val="0"/>
          <w:sz w:val="21"/>
          <w:szCs w:val="21"/>
          <w:highlight w:val="none"/>
          <w:lang w:val="en-US" w:eastAsia="zh-CN" w:bidi="ar"/>
        </w:rPr>
        <w:t>整改通知书</w:t>
      </w:r>
      <w:r>
        <w:rPr>
          <w:rFonts w:hint="eastAsia" w:ascii="宋体" w:hAnsi="宋体" w:eastAsia="宋体" w:cs="宋体"/>
          <w:color w:val="auto"/>
          <w:kern w:val="0"/>
          <w:sz w:val="21"/>
          <w:szCs w:val="21"/>
          <w:highlight w:val="none"/>
          <w:lang w:val="en-US" w:eastAsia="zh-CN" w:bidi="ar"/>
        </w:rPr>
        <w:t>，要求相关人员限期7日内完成整改，并提交书面整改报告；在岗缺勤、会议迟到罚款同步在工程进度款中直接扣除；发包人对相关人员进行约谈警告。</w:t>
      </w:r>
    </w:p>
    <w:p w14:paraId="763CB296">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b/>
          <w:color w:val="auto"/>
          <w:kern w:val="0"/>
          <w:sz w:val="21"/>
          <w:szCs w:val="21"/>
          <w:highlight w:val="none"/>
          <w:lang w:val="en-US" w:eastAsia="zh-CN" w:bidi="ar"/>
        </w:rPr>
        <w:t>2.连续两次/累计三次考核不合格</w:t>
      </w:r>
    </w:p>
    <w:p w14:paraId="039A57A6">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责令承包人</w:t>
      </w:r>
      <w:r>
        <w:rPr>
          <w:rFonts w:hint="eastAsia" w:ascii="宋体" w:hAnsi="宋体" w:eastAsia="宋体" w:cs="宋体"/>
          <w:b/>
          <w:color w:val="auto"/>
          <w:kern w:val="0"/>
          <w:sz w:val="21"/>
          <w:szCs w:val="21"/>
          <w:highlight w:val="none"/>
          <w:lang w:val="en-US" w:eastAsia="zh-CN" w:bidi="ar"/>
        </w:rPr>
        <w:t>限期更换相关人员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同时向发包人缴纳</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0万元</w:t>
      </w:r>
      <w:r>
        <w:rPr>
          <w:rFonts w:hint="eastAsia" w:ascii="宋体" w:hAnsi="宋体" w:eastAsia="宋体" w:cs="宋体"/>
          <w:color w:val="auto"/>
          <w:sz w:val="21"/>
          <w:szCs w:val="21"/>
          <w:highlight w:val="none"/>
          <w:lang w:val="en-US" w:eastAsia="zh-CN"/>
        </w:rPr>
        <w:t>违约</w:t>
      </w:r>
      <w:r>
        <w:rPr>
          <w:rFonts w:hint="eastAsia" w:ascii="宋体" w:hAnsi="宋体" w:eastAsia="宋体" w:cs="宋体"/>
          <w:color w:val="auto"/>
          <w:sz w:val="21"/>
          <w:szCs w:val="21"/>
          <w:highlight w:val="none"/>
        </w:rPr>
        <w:t>金，试用期3个月，直至发包人满意</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更换的</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不得低于原</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资格条件和业绩经历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
        </w:rPr>
        <w:t>承担由此造成的工期延误、损失赔偿等全部责任；暂停支付工程进度款，直至整改到位、新人员到岗履职。</w:t>
      </w:r>
    </w:p>
    <w:p w14:paraId="709741F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0" w:firstLineChars="0"/>
        <w:jc w:val="left"/>
        <w:rPr>
          <w:rFonts w:hint="eastAsia" w:ascii="宋体" w:hAnsi="宋体" w:eastAsia="宋体" w:cs="宋体"/>
          <w:color w:val="auto"/>
          <w:szCs w:val="21"/>
          <w:highlight w:val="none"/>
        </w:rPr>
      </w:pPr>
      <w:r>
        <w:rPr>
          <w:rFonts w:hint="eastAsia" w:ascii="宋体" w:hAnsi="宋体" w:eastAsia="宋体" w:cs="宋体"/>
          <w:b/>
          <w:color w:val="auto"/>
          <w:kern w:val="0"/>
          <w:sz w:val="21"/>
          <w:szCs w:val="21"/>
          <w:highlight w:val="none"/>
          <w:lang w:val="en-US" w:eastAsia="zh-CN" w:bidi="ar"/>
        </w:rPr>
        <w:t>3.严重不合格情形（引发重大质量/安全事故、长期缺勤脱岗、拒不配合整改要求）</w:t>
      </w:r>
    </w:p>
    <w:p w14:paraId="28620F1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直接要求承包人</w:t>
      </w:r>
      <w:r>
        <w:rPr>
          <w:rFonts w:hint="eastAsia" w:ascii="宋体" w:hAnsi="宋体" w:eastAsia="宋体" w:cs="宋体"/>
          <w:b/>
          <w:color w:val="auto"/>
          <w:kern w:val="0"/>
          <w:sz w:val="21"/>
          <w:szCs w:val="21"/>
          <w:highlight w:val="none"/>
          <w:lang w:val="en-US" w:eastAsia="zh-CN" w:bidi="ar"/>
        </w:rPr>
        <w:t>立即更换相关人员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同时向发包人缴纳</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0万元</w:t>
      </w:r>
      <w:r>
        <w:rPr>
          <w:rFonts w:hint="eastAsia" w:ascii="宋体" w:hAnsi="宋体" w:eastAsia="宋体" w:cs="宋体"/>
          <w:color w:val="auto"/>
          <w:sz w:val="21"/>
          <w:szCs w:val="21"/>
          <w:highlight w:val="none"/>
          <w:lang w:val="en-US" w:eastAsia="zh-CN"/>
        </w:rPr>
        <w:t>违约</w:t>
      </w:r>
      <w:r>
        <w:rPr>
          <w:rFonts w:hint="eastAsia" w:ascii="宋体" w:hAnsi="宋体" w:eastAsia="宋体" w:cs="宋体"/>
          <w:color w:val="auto"/>
          <w:sz w:val="21"/>
          <w:szCs w:val="21"/>
          <w:highlight w:val="none"/>
        </w:rPr>
        <w:t>金，试用期3个月，直至发包人满意</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更换的</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不得低于原</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资格条件和业绩经历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
        </w:rPr>
        <w:t>暂停支付工程进度款，直至整改到位、新人员到岗履职；追究承包人违约责任，因事故、缺勤延误造成的所有经济损失、工期延误损失均由承包人全额承担；</w:t>
      </w:r>
    </w:p>
    <w:p w14:paraId="3ECC533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5EC5A40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7C9E91F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1C00E63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570FE15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7B43C1EF">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考核小组签字：__________ 日期：____年____月____日</w:t>
      </w:r>
    </w:p>
    <w:p w14:paraId="7369C9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val="0"/>
          <w:bCs w:val="0"/>
          <w:color w:val="auto"/>
          <w:kern w:val="2"/>
          <w:sz w:val="21"/>
          <w:szCs w:val="21"/>
          <w:highlight w:val="none"/>
          <w:lang w:val="en-US" w:eastAsia="zh-CN" w:bidi="ar-SA"/>
        </w:rPr>
      </w:pPr>
    </w:p>
    <w:p w14:paraId="610DE2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br w:type="page"/>
      </w:r>
    </w:p>
    <w:p w14:paraId="4FA3BF4E">
      <w:pPr>
        <w:keepNext w:val="0"/>
        <w:keepLines w:val="0"/>
        <w:pageBreakBefore w:val="0"/>
        <w:widowControl/>
        <w:suppressLineNumbers w:val="0"/>
        <w:kinsoku/>
        <w:wordWrap/>
        <w:overflowPunct/>
        <w:topLinePunct w:val="0"/>
        <w:autoSpaceDE/>
        <w:autoSpaceDN/>
        <w:bidi w:val="0"/>
        <w:adjustRightInd/>
        <w:snapToGrid/>
        <w:spacing w:before="260" w:beforeAutospacing="0" w:after="260" w:afterAutospacing="0" w:line="416" w:lineRule="auto"/>
        <w:ind w:left="0" w:firstLine="0" w:firstLineChars="0"/>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考核结果确认</w:t>
      </w:r>
    </w:p>
    <w:p w14:paraId="5AFC382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最终考核得分：__________</w:t>
      </w:r>
    </w:p>
    <w:p w14:paraId="27905E7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考核等级：□优秀 □良好 □合格 □不合格</w:t>
      </w:r>
    </w:p>
    <w:p w14:paraId="01F5D9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缺勤/迟到天数：__________</w:t>
      </w:r>
    </w:p>
    <w:p w14:paraId="48A44FF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对应罚款金额：__________</w:t>
      </w:r>
    </w:p>
    <w:p w14:paraId="2F2B010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发包人处理意见：□同意继续履职 □要求限期整改 □建议承包人更换人员□按约定执行处罚 □其他：__________</w:t>
      </w:r>
    </w:p>
    <w:p w14:paraId="689FB38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jc w:val="both"/>
        <w:rPr>
          <w:rFonts w:hint="eastAsia" w:ascii="宋体" w:hAnsi="宋体" w:eastAsia="宋体" w:cs="宋体"/>
          <w:color w:val="auto"/>
          <w:szCs w:val="21"/>
          <w:highlight w:val="none"/>
        </w:rPr>
      </w:pPr>
    </w:p>
    <w:p w14:paraId="400290D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备注：</w:t>
      </w:r>
    </w:p>
    <w:p w14:paraId="1A1E163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
        </w:rPr>
        <w:t>本记录表一式三份，发包人、监理单位、承包人各留存一份，作为项目主要管理人员履职考核、合同履约及违约处罚的依据；</w:t>
      </w:r>
    </w:p>
    <w:p w14:paraId="698715D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
        </w:rPr>
        <w:t>所有罚款、违约金均参照双方签订的《建设工程施工合同》相关条款执行，直接从工程进度款中扣除。</w:t>
      </w:r>
    </w:p>
    <w:p w14:paraId="5EF8D51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
        </w:rPr>
        <w:t>本表格适用于项目全体主要管理人员，按岗位分别考核、单独归档</w:t>
      </w:r>
      <w:r>
        <w:rPr>
          <w:rFonts w:hint="eastAsia" w:ascii="宋体" w:hAnsi="宋体" w:eastAsia="宋体" w:cs="宋体"/>
          <w:color w:val="auto"/>
          <w:kern w:val="0"/>
          <w:sz w:val="24"/>
          <w:szCs w:val="24"/>
          <w:highlight w:val="none"/>
          <w:lang w:val="en-US" w:eastAsia="zh-CN" w:bidi="ar"/>
        </w:rPr>
        <w:t>。</w:t>
      </w:r>
    </w:p>
    <w:p w14:paraId="0167E0F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1CEA8EE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633737C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0DA42E0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79E198A5">
      <w:pPr>
        <w:widowControl/>
        <w:jc w:val="left"/>
        <w:rPr>
          <w:rFonts w:hint="eastAsia" w:ascii="宋体" w:hAnsi="宋体" w:eastAsia="宋体" w:cs="宋体"/>
          <w:color w:val="auto"/>
          <w:szCs w:val="22"/>
          <w:highlight w:val="none"/>
        </w:rPr>
      </w:pPr>
    </w:p>
    <w:p w14:paraId="69516504">
      <w:pPr>
        <w:widowControl/>
        <w:spacing w:before="240" w:beforeLines="100" w:after="0"/>
        <w:ind w:right="102"/>
        <w:jc w:val="left"/>
        <w:outlineLvl w:val="9"/>
        <w:rPr>
          <w:rFonts w:hint="eastAsia" w:ascii="宋体" w:hAnsi="宋体" w:eastAsia="宋体" w:cs="宋体"/>
          <w:color w:val="auto"/>
          <w:sz w:val="36"/>
          <w:szCs w:val="36"/>
          <w:highlight w:val="none"/>
          <w:lang w:val="en-US" w:eastAsia="zh-CN"/>
        </w:rPr>
      </w:pPr>
      <w:bookmarkStart w:id="1903" w:name="_Toc222033895"/>
      <w:bookmarkStart w:id="1904" w:name="_Toc221951336"/>
      <w:bookmarkStart w:id="1905" w:name="_Toc222032713"/>
      <w:bookmarkStart w:id="1906" w:name="_Toc222029544"/>
      <w:bookmarkStart w:id="1907" w:name="_Toc15309"/>
      <w:bookmarkStart w:id="1908" w:name="_Toc8727"/>
      <w:bookmarkStart w:id="1909" w:name="_Toc222031046"/>
      <w:bookmarkStart w:id="1910" w:name="_Toc229305403"/>
      <w:r>
        <w:rPr>
          <w:rFonts w:hint="eastAsia" w:ascii="宋体" w:hAnsi="宋体" w:eastAsia="宋体" w:cs="宋体"/>
          <w:color w:val="auto"/>
          <w:sz w:val="36"/>
          <w:szCs w:val="36"/>
          <w:highlight w:val="none"/>
          <w:lang w:val="en-US" w:eastAsia="zh-CN"/>
        </w:rPr>
        <w:br w:type="page"/>
      </w:r>
    </w:p>
    <w:p w14:paraId="428A87AF">
      <w:pPr>
        <w:keepNext/>
        <w:keepLines/>
        <w:spacing w:before="240" w:beforeLines="100" w:after="330" w:line="500" w:lineRule="exact"/>
        <w:ind w:left="210" w:right="102"/>
        <w:jc w:val="center"/>
        <w:outlineLvl w:val="0"/>
        <w:rPr>
          <w:rFonts w:hint="eastAsia" w:ascii="宋体" w:hAnsi="宋体" w:eastAsia="宋体" w:cs="宋体"/>
          <w:b/>
          <w:bCs/>
          <w:color w:val="auto"/>
          <w:kern w:val="44"/>
          <w:sz w:val="28"/>
          <w:szCs w:val="28"/>
          <w:highlight w:val="none"/>
          <w:lang w:val="en-US" w:eastAsia="zh-CN" w:bidi="ar-SA"/>
        </w:rPr>
      </w:pPr>
      <w:bookmarkStart w:id="1911" w:name="_Toc24828"/>
      <w:r>
        <w:rPr>
          <w:rFonts w:hint="eastAsia" w:ascii="宋体" w:hAnsi="宋体" w:eastAsia="宋体" w:cs="宋体"/>
          <w:b/>
          <w:bCs/>
          <w:color w:val="auto"/>
          <w:kern w:val="44"/>
          <w:sz w:val="32"/>
          <w:szCs w:val="32"/>
          <w:highlight w:val="none"/>
          <w:lang w:val="en-US" w:eastAsia="zh-CN" w:bidi="ar-SA"/>
        </w:rPr>
        <w:t>第五章 工程量清单</w:t>
      </w:r>
      <w:bookmarkEnd w:id="1486"/>
      <w:bookmarkEnd w:id="1487"/>
      <w:bookmarkEnd w:id="1488"/>
      <w:bookmarkEnd w:id="1903"/>
      <w:bookmarkEnd w:id="1904"/>
      <w:bookmarkEnd w:id="1905"/>
      <w:bookmarkEnd w:id="1906"/>
      <w:bookmarkEnd w:id="1907"/>
      <w:bookmarkEnd w:id="1908"/>
      <w:bookmarkEnd w:id="1909"/>
      <w:bookmarkEnd w:id="1910"/>
      <w:bookmarkEnd w:id="1911"/>
    </w:p>
    <w:p w14:paraId="7CE185AC">
      <w:pPr>
        <w:keepNext w:val="0"/>
        <w:keepLines w:val="0"/>
        <w:pageBreakBefore w:val="0"/>
        <w:widowControl w:val="0"/>
        <w:kinsoku/>
        <w:wordWrap w:val="0"/>
        <w:overflowPunct/>
        <w:topLinePunct w:val="0"/>
        <w:autoSpaceDE w:val="0"/>
        <w:autoSpaceDN w:val="0"/>
        <w:bidi w:val="0"/>
        <w:adjustRightInd w:val="0"/>
        <w:snapToGrid/>
        <w:spacing w:line="360" w:lineRule="auto"/>
        <w:ind w:right="-34" w:rightChars="-16"/>
        <w:jc w:val="center"/>
        <w:textAlignment w:val="auto"/>
        <w:outlineLvl w:val="9"/>
        <w:rPr>
          <w:rFonts w:hint="eastAsia" w:ascii="宋体" w:hAnsi="宋体" w:eastAsia="宋体" w:cs="宋体"/>
          <w:b/>
          <w:color w:val="auto"/>
          <w:kern w:val="0"/>
          <w:sz w:val="24"/>
          <w:szCs w:val="18"/>
          <w:highlight w:val="none"/>
          <w:lang w:eastAsia="zh-CN"/>
        </w:rPr>
      </w:pPr>
      <w:bookmarkStart w:id="1912" w:name="_Toc12116"/>
      <w:bookmarkStart w:id="1913" w:name="_Toc17448"/>
      <w:bookmarkStart w:id="1914" w:name="_Toc19636"/>
      <w:bookmarkStart w:id="1915" w:name="_Toc96"/>
      <w:r>
        <w:rPr>
          <w:rFonts w:hint="eastAsia" w:ascii="宋体" w:hAnsi="宋体" w:eastAsia="宋体" w:cs="宋体"/>
          <w:b/>
          <w:color w:val="auto"/>
          <w:kern w:val="0"/>
          <w:sz w:val="24"/>
          <w:szCs w:val="18"/>
          <w:highlight w:val="none"/>
          <w:lang w:eastAsia="zh-CN"/>
        </w:rPr>
        <w:t>（</w:t>
      </w:r>
      <w:r>
        <w:rPr>
          <w:rFonts w:hint="eastAsia" w:ascii="宋体" w:hAnsi="宋体" w:eastAsia="宋体" w:cs="宋体"/>
          <w:b/>
          <w:color w:val="auto"/>
          <w:kern w:val="0"/>
          <w:sz w:val="24"/>
          <w:szCs w:val="18"/>
          <w:highlight w:val="none"/>
          <w:lang w:val="en-US" w:eastAsia="zh-CN"/>
        </w:rPr>
        <w:t>另册提供</w:t>
      </w:r>
      <w:r>
        <w:rPr>
          <w:rFonts w:hint="eastAsia" w:ascii="宋体" w:hAnsi="宋体" w:eastAsia="宋体" w:cs="宋体"/>
          <w:b/>
          <w:color w:val="auto"/>
          <w:kern w:val="0"/>
          <w:sz w:val="24"/>
          <w:szCs w:val="18"/>
          <w:highlight w:val="none"/>
          <w:lang w:eastAsia="zh-CN"/>
        </w:rPr>
        <w:t>）</w:t>
      </w:r>
      <w:bookmarkEnd w:id="1912"/>
      <w:bookmarkEnd w:id="1913"/>
      <w:bookmarkEnd w:id="1914"/>
      <w:bookmarkEnd w:id="1915"/>
    </w:p>
    <w:p w14:paraId="303A2D02">
      <w:pPr>
        <w:widowControl/>
        <w:spacing w:line="24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1A2E53A">
      <w:pPr>
        <w:widowControl/>
        <w:spacing w:line="360" w:lineRule="auto"/>
        <w:jc w:val="left"/>
        <w:rPr>
          <w:rFonts w:hint="eastAsia" w:ascii="宋体" w:hAnsi="宋体" w:eastAsia="宋体" w:cs="宋体"/>
          <w:b/>
          <w:color w:val="auto"/>
          <w:sz w:val="28"/>
          <w:szCs w:val="28"/>
          <w:highlight w:val="none"/>
        </w:rPr>
      </w:pPr>
    </w:p>
    <w:p w14:paraId="5BA6F7F1">
      <w:pPr>
        <w:widowControl/>
        <w:spacing w:line="360" w:lineRule="auto"/>
        <w:jc w:val="left"/>
        <w:rPr>
          <w:rFonts w:hint="eastAsia" w:ascii="宋体" w:hAnsi="宋体" w:eastAsia="宋体" w:cs="宋体"/>
          <w:b/>
          <w:color w:val="auto"/>
          <w:sz w:val="28"/>
          <w:szCs w:val="28"/>
          <w:highlight w:val="none"/>
        </w:rPr>
      </w:pPr>
    </w:p>
    <w:p w14:paraId="49D665C8">
      <w:pPr>
        <w:widowControl/>
        <w:spacing w:line="360" w:lineRule="auto"/>
        <w:jc w:val="left"/>
        <w:rPr>
          <w:rFonts w:hint="eastAsia" w:ascii="宋体" w:hAnsi="宋体" w:eastAsia="宋体" w:cs="宋体"/>
          <w:b/>
          <w:color w:val="auto"/>
          <w:sz w:val="28"/>
          <w:szCs w:val="28"/>
          <w:highlight w:val="none"/>
        </w:rPr>
      </w:pPr>
    </w:p>
    <w:p w14:paraId="26F74AD8">
      <w:pPr>
        <w:widowControl/>
        <w:spacing w:line="360" w:lineRule="auto"/>
        <w:jc w:val="left"/>
        <w:rPr>
          <w:rFonts w:hint="eastAsia" w:ascii="宋体" w:hAnsi="宋体" w:eastAsia="宋体" w:cs="宋体"/>
          <w:b/>
          <w:color w:val="auto"/>
          <w:sz w:val="28"/>
          <w:szCs w:val="28"/>
          <w:highlight w:val="none"/>
        </w:rPr>
      </w:pPr>
    </w:p>
    <w:p w14:paraId="74805364">
      <w:pPr>
        <w:widowControl/>
        <w:spacing w:line="360" w:lineRule="auto"/>
        <w:jc w:val="left"/>
        <w:rPr>
          <w:rFonts w:hint="eastAsia" w:ascii="宋体" w:hAnsi="宋体" w:eastAsia="宋体" w:cs="宋体"/>
          <w:b/>
          <w:color w:val="auto"/>
          <w:sz w:val="28"/>
          <w:szCs w:val="28"/>
          <w:highlight w:val="none"/>
        </w:rPr>
      </w:pPr>
    </w:p>
    <w:p w14:paraId="11A27C02">
      <w:pPr>
        <w:widowControl/>
        <w:spacing w:line="360" w:lineRule="auto"/>
        <w:jc w:val="left"/>
        <w:rPr>
          <w:rFonts w:hint="eastAsia" w:ascii="宋体" w:hAnsi="宋体" w:eastAsia="宋体" w:cs="宋体"/>
          <w:b/>
          <w:color w:val="auto"/>
          <w:sz w:val="28"/>
          <w:szCs w:val="28"/>
          <w:highlight w:val="none"/>
        </w:rPr>
      </w:pPr>
    </w:p>
    <w:p w14:paraId="0F247E8F">
      <w:pPr>
        <w:widowControl/>
        <w:spacing w:line="360" w:lineRule="auto"/>
        <w:jc w:val="left"/>
        <w:rPr>
          <w:rFonts w:hint="eastAsia" w:ascii="宋体" w:hAnsi="宋体" w:eastAsia="宋体" w:cs="宋体"/>
          <w:b/>
          <w:color w:val="auto"/>
          <w:sz w:val="28"/>
          <w:szCs w:val="28"/>
          <w:highlight w:val="none"/>
        </w:rPr>
      </w:pPr>
    </w:p>
    <w:p w14:paraId="59EF715F">
      <w:pPr>
        <w:widowControl/>
        <w:spacing w:line="360" w:lineRule="auto"/>
        <w:jc w:val="left"/>
        <w:rPr>
          <w:rFonts w:hint="eastAsia" w:ascii="宋体" w:hAnsi="宋体" w:eastAsia="宋体" w:cs="宋体"/>
          <w:b/>
          <w:color w:val="auto"/>
          <w:sz w:val="28"/>
          <w:szCs w:val="28"/>
          <w:highlight w:val="none"/>
        </w:rPr>
      </w:pPr>
    </w:p>
    <w:p w14:paraId="498D0048">
      <w:pPr>
        <w:widowControl/>
        <w:spacing w:line="360" w:lineRule="auto"/>
        <w:jc w:val="left"/>
        <w:rPr>
          <w:rFonts w:hint="eastAsia" w:ascii="宋体" w:hAnsi="宋体" w:eastAsia="宋体" w:cs="宋体"/>
          <w:b/>
          <w:color w:val="auto"/>
          <w:sz w:val="28"/>
          <w:szCs w:val="28"/>
          <w:highlight w:val="none"/>
        </w:rPr>
      </w:pPr>
    </w:p>
    <w:p w14:paraId="21033A78">
      <w:pPr>
        <w:widowControl/>
        <w:spacing w:line="360" w:lineRule="auto"/>
        <w:jc w:val="left"/>
        <w:rPr>
          <w:rFonts w:hint="eastAsia" w:ascii="宋体" w:hAnsi="宋体" w:eastAsia="宋体" w:cs="宋体"/>
          <w:b/>
          <w:color w:val="auto"/>
          <w:sz w:val="28"/>
          <w:szCs w:val="28"/>
          <w:highlight w:val="none"/>
        </w:rPr>
      </w:pPr>
    </w:p>
    <w:p w14:paraId="6983497B">
      <w:pPr>
        <w:keepNext/>
        <w:keepLines/>
        <w:spacing w:before="120" w:after="120" w:line="400" w:lineRule="exact"/>
        <w:jc w:val="center"/>
        <w:outlineLvl w:val="0"/>
        <w:rPr>
          <w:rFonts w:hint="eastAsia" w:ascii="宋体" w:hAnsi="宋体" w:eastAsia="宋体" w:cs="宋体"/>
          <w:b/>
          <w:bCs w:val="0"/>
          <w:color w:val="auto"/>
          <w:kern w:val="44"/>
          <w:sz w:val="52"/>
          <w:szCs w:val="52"/>
          <w:highlight w:val="none"/>
          <w:lang w:val="en-US" w:eastAsia="zh-CN" w:bidi="ar-SA"/>
        </w:rPr>
      </w:pPr>
      <w:bookmarkStart w:id="1916" w:name="_Toc10677"/>
      <w:bookmarkStart w:id="1917" w:name="_Toc14545"/>
      <w:bookmarkStart w:id="1918" w:name="_Toc403835112"/>
      <w:bookmarkStart w:id="1919" w:name="_Toc11655"/>
      <w:bookmarkStart w:id="1920" w:name="_Toc332378926"/>
      <w:r>
        <w:rPr>
          <w:rFonts w:hint="eastAsia" w:ascii="宋体" w:hAnsi="宋体" w:eastAsia="宋体" w:cs="宋体"/>
          <w:b/>
          <w:bCs w:val="0"/>
          <w:color w:val="auto"/>
          <w:kern w:val="44"/>
          <w:sz w:val="52"/>
          <w:szCs w:val="52"/>
          <w:highlight w:val="none"/>
          <w:lang w:val="en-US" w:eastAsia="zh-CN" w:bidi="ar-SA"/>
        </w:rPr>
        <w:t>第二卷</w:t>
      </w:r>
      <w:bookmarkEnd w:id="1916"/>
      <w:bookmarkEnd w:id="1917"/>
      <w:bookmarkEnd w:id="1918"/>
      <w:bookmarkEnd w:id="1919"/>
      <w:bookmarkEnd w:id="1920"/>
      <w:bookmarkStart w:id="1921" w:name="_Toc222031060"/>
      <w:bookmarkStart w:id="1922" w:name="_Toc222033909"/>
      <w:bookmarkStart w:id="1923" w:name="_Toc168476316"/>
      <w:bookmarkStart w:id="1924" w:name="_Toc168475913"/>
      <w:bookmarkStart w:id="1925" w:name="_Toc222029558"/>
      <w:bookmarkStart w:id="1926" w:name="_Toc221951909"/>
      <w:bookmarkStart w:id="1927" w:name="_Toc222032727"/>
      <w:bookmarkStart w:id="1928" w:name="_Toc229305417"/>
      <w:bookmarkStart w:id="1929" w:name="_Toc144974855"/>
    </w:p>
    <w:p w14:paraId="342872DE">
      <w:pPr>
        <w:widowControl/>
        <w:spacing w:before="0" w:after="0" w:line="240" w:lineRule="auto"/>
        <w:jc w:val="left"/>
        <w:outlineLvl w:val="9"/>
        <w:rPr>
          <w:rFonts w:hint="eastAsia" w:ascii="宋体" w:hAnsi="宋体" w:eastAsia="宋体" w:cs="宋体"/>
          <w:bCs w:val="0"/>
          <w:color w:val="auto"/>
          <w:sz w:val="52"/>
          <w:szCs w:val="52"/>
          <w:highlight w:val="none"/>
        </w:rPr>
      </w:pPr>
      <w:r>
        <w:rPr>
          <w:rFonts w:hint="eastAsia" w:ascii="宋体" w:hAnsi="宋体" w:eastAsia="宋体" w:cs="宋体"/>
          <w:bCs w:val="0"/>
          <w:color w:val="auto"/>
          <w:sz w:val="52"/>
          <w:szCs w:val="52"/>
          <w:highlight w:val="none"/>
        </w:rPr>
        <w:br w:type="page"/>
      </w:r>
    </w:p>
    <w:p w14:paraId="66725268">
      <w:pPr>
        <w:widowControl/>
        <w:spacing w:before="120" w:after="120" w:line="360" w:lineRule="auto"/>
        <w:jc w:val="center"/>
        <w:outlineLvl w:val="0"/>
        <w:rPr>
          <w:rFonts w:hint="eastAsia" w:ascii="宋体" w:hAnsi="宋体" w:eastAsia="宋体" w:cs="宋体"/>
          <w:b/>
          <w:bCs/>
          <w:color w:val="auto"/>
          <w:sz w:val="32"/>
          <w:szCs w:val="32"/>
          <w:highlight w:val="none"/>
        </w:rPr>
      </w:pPr>
      <w:bookmarkStart w:id="1930" w:name="_Toc24042"/>
      <w:bookmarkStart w:id="1931" w:name="_Toc16826"/>
      <w:bookmarkStart w:id="1932" w:name="_Toc16766"/>
      <w:bookmarkStart w:id="1933" w:name="_Toc222031078"/>
      <w:bookmarkStart w:id="1934" w:name="_Toc229305436"/>
      <w:bookmarkStart w:id="1935" w:name="_Toc221952224"/>
      <w:bookmarkStart w:id="1936" w:name="_Toc222033927"/>
      <w:bookmarkStart w:id="1937" w:name="_Toc222032745"/>
      <w:bookmarkStart w:id="1938" w:name="_Toc221948392"/>
      <w:bookmarkStart w:id="1939" w:name="_Toc222029576"/>
      <w:r>
        <w:rPr>
          <w:rFonts w:hint="eastAsia" w:ascii="宋体" w:hAnsi="宋体" w:eastAsia="宋体" w:cs="宋体"/>
          <w:b/>
          <w:bCs/>
          <w:color w:val="auto"/>
          <w:sz w:val="32"/>
          <w:szCs w:val="32"/>
          <w:highlight w:val="none"/>
        </w:rPr>
        <w:t>第六章 图纸</w:t>
      </w:r>
      <w:bookmarkEnd w:id="1930"/>
      <w:bookmarkEnd w:id="1931"/>
      <w:bookmarkEnd w:id="1932"/>
    </w:p>
    <w:p w14:paraId="37F5D78A">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（招标图纸见附图）</w:t>
      </w:r>
    </w:p>
    <w:bookmarkEnd w:id="1933"/>
    <w:bookmarkEnd w:id="1934"/>
    <w:bookmarkEnd w:id="1935"/>
    <w:bookmarkEnd w:id="1936"/>
    <w:bookmarkEnd w:id="1937"/>
    <w:bookmarkEnd w:id="1938"/>
    <w:bookmarkEnd w:id="1939"/>
    <w:p w14:paraId="7FFEF915">
      <w:pPr>
        <w:widowControl/>
        <w:spacing w:line="360" w:lineRule="auto"/>
        <w:jc w:val="left"/>
        <w:rPr>
          <w:rFonts w:hint="eastAsia" w:ascii="宋体" w:hAnsi="宋体" w:eastAsia="宋体" w:cs="宋体"/>
          <w:b/>
          <w:color w:val="auto"/>
          <w:sz w:val="28"/>
          <w:szCs w:val="28"/>
          <w:highlight w:val="none"/>
        </w:rPr>
      </w:pPr>
    </w:p>
    <w:p w14:paraId="23CCE768">
      <w:pPr>
        <w:widowControl/>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33767C1E">
      <w:pPr>
        <w:widowControl/>
        <w:spacing w:line="360" w:lineRule="auto"/>
        <w:jc w:val="left"/>
        <w:rPr>
          <w:rFonts w:hint="eastAsia" w:ascii="宋体" w:hAnsi="宋体" w:eastAsia="宋体" w:cs="宋体"/>
          <w:b/>
          <w:color w:val="auto"/>
          <w:sz w:val="28"/>
          <w:szCs w:val="28"/>
          <w:highlight w:val="none"/>
        </w:rPr>
      </w:pPr>
    </w:p>
    <w:p w14:paraId="0A979C0A">
      <w:pPr>
        <w:widowControl/>
        <w:spacing w:line="360" w:lineRule="auto"/>
        <w:jc w:val="left"/>
        <w:rPr>
          <w:rFonts w:hint="eastAsia" w:ascii="宋体" w:hAnsi="宋体" w:eastAsia="宋体" w:cs="宋体"/>
          <w:b/>
          <w:color w:val="auto"/>
          <w:sz w:val="28"/>
          <w:szCs w:val="28"/>
          <w:highlight w:val="none"/>
        </w:rPr>
      </w:pPr>
    </w:p>
    <w:p w14:paraId="6DB1E9EC">
      <w:pPr>
        <w:widowControl/>
        <w:spacing w:line="360" w:lineRule="auto"/>
        <w:jc w:val="left"/>
        <w:rPr>
          <w:rFonts w:hint="eastAsia" w:ascii="宋体" w:hAnsi="宋体" w:eastAsia="宋体" w:cs="宋体"/>
          <w:b/>
          <w:color w:val="auto"/>
          <w:sz w:val="28"/>
          <w:szCs w:val="28"/>
          <w:highlight w:val="none"/>
        </w:rPr>
      </w:pPr>
    </w:p>
    <w:p w14:paraId="738AEE2E">
      <w:pPr>
        <w:widowControl/>
        <w:spacing w:line="360" w:lineRule="auto"/>
        <w:jc w:val="left"/>
        <w:rPr>
          <w:rFonts w:hint="eastAsia" w:ascii="宋体" w:hAnsi="宋体" w:eastAsia="宋体" w:cs="宋体"/>
          <w:b/>
          <w:color w:val="auto"/>
          <w:sz w:val="28"/>
          <w:szCs w:val="28"/>
          <w:highlight w:val="none"/>
        </w:rPr>
      </w:pPr>
    </w:p>
    <w:p w14:paraId="180E245A">
      <w:pPr>
        <w:widowControl/>
        <w:spacing w:line="360" w:lineRule="auto"/>
        <w:jc w:val="left"/>
        <w:rPr>
          <w:rFonts w:hint="eastAsia" w:ascii="宋体" w:hAnsi="宋体" w:eastAsia="宋体" w:cs="宋体"/>
          <w:b/>
          <w:color w:val="auto"/>
          <w:sz w:val="28"/>
          <w:szCs w:val="28"/>
          <w:highlight w:val="none"/>
        </w:rPr>
      </w:pPr>
    </w:p>
    <w:p w14:paraId="74BF5B40">
      <w:pPr>
        <w:widowControl/>
        <w:spacing w:line="360" w:lineRule="auto"/>
        <w:jc w:val="left"/>
        <w:rPr>
          <w:rFonts w:hint="eastAsia" w:ascii="宋体" w:hAnsi="宋体" w:eastAsia="宋体" w:cs="宋体"/>
          <w:b/>
          <w:color w:val="auto"/>
          <w:sz w:val="28"/>
          <w:szCs w:val="28"/>
          <w:highlight w:val="none"/>
        </w:rPr>
      </w:pPr>
    </w:p>
    <w:p w14:paraId="3A6E6B74">
      <w:pPr>
        <w:widowControl/>
        <w:spacing w:line="360" w:lineRule="auto"/>
        <w:jc w:val="left"/>
        <w:rPr>
          <w:rFonts w:hint="eastAsia" w:ascii="宋体" w:hAnsi="宋体" w:eastAsia="宋体" w:cs="宋体"/>
          <w:b/>
          <w:color w:val="auto"/>
          <w:sz w:val="28"/>
          <w:szCs w:val="28"/>
          <w:highlight w:val="none"/>
        </w:rPr>
      </w:pPr>
    </w:p>
    <w:p w14:paraId="4121812F">
      <w:pPr>
        <w:widowControl/>
        <w:spacing w:line="360" w:lineRule="auto"/>
        <w:jc w:val="left"/>
        <w:rPr>
          <w:rFonts w:hint="eastAsia" w:ascii="宋体" w:hAnsi="宋体" w:eastAsia="宋体" w:cs="宋体"/>
          <w:b/>
          <w:color w:val="auto"/>
          <w:sz w:val="28"/>
          <w:szCs w:val="28"/>
          <w:highlight w:val="none"/>
        </w:rPr>
      </w:pPr>
    </w:p>
    <w:p w14:paraId="663902F0">
      <w:pPr>
        <w:widowControl/>
        <w:spacing w:line="360" w:lineRule="auto"/>
        <w:jc w:val="left"/>
        <w:rPr>
          <w:rFonts w:hint="eastAsia" w:ascii="宋体" w:hAnsi="宋体" w:eastAsia="宋体" w:cs="宋体"/>
          <w:b/>
          <w:color w:val="auto"/>
          <w:sz w:val="28"/>
          <w:szCs w:val="28"/>
          <w:highlight w:val="none"/>
        </w:rPr>
      </w:pPr>
    </w:p>
    <w:p w14:paraId="13D8CC64">
      <w:pPr>
        <w:widowControl/>
        <w:spacing w:line="360" w:lineRule="auto"/>
        <w:jc w:val="left"/>
        <w:rPr>
          <w:rFonts w:hint="eastAsia" w:ascii="宋体" w:hAnsi="宋体" w:eastAsia="宋体" w:cs="宋体"/>
          <w:b/>
          <w:color w:val="auto"/>
          <w:sz w:val="28"/>
          <w:szCs w:val="28"/>
          <w:highlight w:val="none"/>
        </w:rPr>
      </w:pPr>
    </w:p>
    <w:p w14:paraId="3C3B1C33">
      <w:pPr>
        <w:widowControl/>
        <w:spacing w:line="360" w:lineRule="auto"/>
        <w:jc w:val="left"/>
        <w:rPr>
          <w:rFonts w:hint="eastAsia" w:ascii="宋体" w:hAnsi="宋体" w:eastAsia="宋体" w:cs="宋体"/>
          <w:b/>
          <w:color w:val="auto"/>
          <w:sz w:val="28"/>
          <w:szCs w:val="28"/>
          <w:highlight w:val="none"/>
        </w:rPr>
      </w:pPr>
    </w:p>
    <w:p w14:paraId="5CBC70A6">
      <w:pPr>
        <w:keepNext/>
        <w:keepLines/>
        <w:spacing w:before="120" w:after="120" w:line="400" w:lineRule="exact"/>
        <w:jc w:val="center"/>
        <w:outlineLvl w:val="0"/>
        <w:rPr>
          <w:rFonts w:hint="eastAsia" w:ascii="宋体" w:hAnsi="宋体" w:eastAsia="宋体" w:cs="宋体"/>
          <w:b/>
          <w:bCs w:val="0"/>
          <w:color w:val="auto"/>
          <w:kern w:val="44"/>
          <w:sz w:val="52"/>
          <w:szCs w:val="52"/>
          <w:highlight w:val="none"/>
          <w:lang w:val="en-US" w:eastAsia="zh-CN" w:bidi="ar-SA"/>
        </w:rPr>
      </w:pPr>
      <w:bookmarkStart w:id="1940" w:name="_Toc14390"/>
      <w:bookmarkStart w:id="1941" w:name="_Toc229408535"/>
      <w:bookmarkStart w:id="1942" w:name="_Toc2763"/>
      <w:bookmarkStart w:id="1943" w:name="_Toc8308"/>
      <w:bookmarkStart w:id="1944" w:name="_Toc403835114"/>
      <w:bookmarkStart w:id="1945" w:name="_Toc332378928"/>
      <w:r>
        <w:rPr>
          <w:rFonts w:hint="eastAsia" w:ascii="宋体" w:hAnsi="宋体" w:eastAsia="宋体" w:cs="宋体"/>
          <w:b/>
          <w:bCs w:val="0"/>
          <w:color w:val="auto"/>
          <w:kern w:val="44"/>
          <w:sz w:val="52"/>
          <w:szCs w:val="52"/>
          <w:highlight w:val="none"/>
          <w:lang w:val="en-US" w:eastAsia="zh-CN" w:bidi="ar-SA"/>
        </w:rPr>
        <w:t>第三卷</w:t>
      </w:r>
      <w:bookmarkEnd w:id="1940"/>
      <w:bookmarkEnd w:id="1941"/>
      <w:bookmarkEnd w:id="1942"/>
      <w:bookmarkEnd w:id="1943"/>
      <w:bookmarkEnd w:id="1944"/>
      <w:bookmarkEnd w:id="1945"/>
    </w:p>
    <w:p w14:paraId="6AD4B679">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64DDD63">
      <w:pPr>
        <w:keepNext/>
        <w:keepLines/>
        <w:spacing w:before="0" w:after="0" w:line="360" w:lineRule="auto"/>
        <w:contextualSpacing/>
        <w:jc w:val="center"/>
        <w:outlineLvl w:val="0"/>
        <w:rPr>
          <w:rFonts w:hint="eastAsia" w:ascii="宋体" w:hAnsi="宋体" w:eastAsia="宋体" w:cs="宋体"/>
          <w:b/>
          <w:bCs/>
          <w:color w:val="auto"/>
          <w:kern w:val="44"/>
          <w:sz w:val="32"/>
          <w:szCs w:val="32"/>
          <w:highlight w:val="none"/>
          <w:lang w:val="en-US" w:eastAsia="zh-CN" w:bidi="ar-SA"/>
        </w:rPr>
      </w:pPr>
      <w:bookmarkStart w:id="1946" w:name="_Toc21915"/>
      <w:bookmarkStart w:id="1947" w:name="_Toc20533"/>
      <w:bookmarkStart w:id="1948" w:name="_Toc7683"/>
      <w:r>
        <w:rPr>
          <w:rFonts w:hint="eastAsia" w:ascii="宋体" w:hAnsi="宋体" w:eastAsia="宋体" w:cs="宋体"/>
          <w:b/>
          <w:bCs/>
          <w:color w:val="auto"/>
          <w:kern w:val="44"/>
          <w:sz w:val="32"/>
          <w:szCs w:val="32"/>
          <w:highlight w:val="none"/>
          <w:lang w:val="en-US" w:eastAsia="zh-CN" w:bidi="ar-SA"/>
        </w:rPr>
        <w:t>第七章 技术标准和要求</w:t>
      </w:r>
      <w:bookmarkEnd w:id="1946"/>
      <w:bookmarkEnd w:id="1947"/>
      <w:bookmarkEnd w:id="1948"/>
    </w:p>
    <w:p w14:paraId="0A12161C">
      <w:pPr>
        <w:keepNext w:val="0"/>
        <w:keepLines w:val="0"/>
        <w:pageBreakBefore w:val="0"/>
        <w:widowControl w:val="0"/>
        <w:kinsoku/>
        <w:wordWrap w:val="0"/>
        <w:overflowPunct/>
        <w:topLinePunct w:val="0"/>
        <w:autoSpaceDE w:val="0"/>
        <w:autoSpaceDN w:val="0"/>
        <w:bidi w:val="0"/>
        <w:adjustRightInd w:val="0"/>
        <w:snapToGrid/>
        <w:spacing w:line="360" w:lineRule="auto"/>
        <w:ind w:right="0" w:rightChars="0" w:firstLine="420" w:firstLineChars="200"/>
        <w:jc w:val="left"/>
        <w:textAlignment w:val="auto"/>
        <w:rPr>
          <w:rFonts w:hint="eastAsia" w:ascii="宋体" w:hAnsi="宋体" w:eastAsia="宋体" w:cs="宋体"/>
          <w:color w:val="auto"/>
          <w:kern w:val="0"/>
          <w:sz w:val="21"/>
          <w:szCs w:val="21"/>
          <w:highlight w:val="none"/>
        </w:rPr>
      </w:pPr>
      <w:bookmarkStart w:id="1949" w:name="_Toc2217"/>
      <w:bookmarkStart w:id="1950" w:name="_Toc3451251"/>
      <w:bookmarkStart w:id="1951" w:name="_Toc32044"/>
      <w:bookmarkStart w:id="1952" w:name="_Toc22959"/>
      <w:bookmarkStart w:id="1953" w:name="_Toc268299830"/>
      <w:bookmarkStart w:id="1954" w:name="_Toc266891005"/>
      <w:bookmarkStart w:id="1955" w:name="_Toc427509471"/>
      <w:bookmarkStart w:id="1956" w:name="_Toc36069746"/>
      <w:bookmarkStart w:id="1957" w:name="_Toc13682"/>
      <w:bookmarkStart w:id="1958" w:name="_Toc2896"/>
      <w:bookmarkStart w:id="1959" w:name="_Toc332378930"/>
      <w:bookmarkStart w:id="1960" w:name="_Toc3303"/>
      <w:bookmarkStart w:id="1961" w:name="_Toc271870505"/>
      <w:bookmarkStart w:id="1962" w:name="_Toc427509971"/>
      <w:bookmarkStart w:id="1963" w:name="_Toc403835116"/>
      <w:bookmarkStart w:id="1964" w:name="_Toc4311"/>
      <w:r>
        <w:rPr>
          <w:rFonts w:hint="eastAsia" w:ascii="宋体" w:hAnsi="宋体" w:eastAsia="宋体" w:cs="宋体"/>
          <w:color w:val="auto"/>
          <w:kern w:val="0"/>
          <w:sz w:val="21"/>
          <w:szCs w:val="21"/>
          <w:highlight w:val="none"/>
        </w:rPr>
        <w:t>1、依据设计文件的要求，本招标工程项目的材料、设备、施工须达到现行中华人民共和国以及省、自治区、直辖市或行业的工程建设标准、规范的要求。</w:t>
      </w:r>
    </w:p>
    <w:p w14:paraId="7F019F3A">
      <w:pPr>
        <w:widowControl/>
        <w:spacing w:before="0" w:after="0" w:line="360" w:lineRule="auto"/>
        <w:ind w:firstLine="420" w:firstLineChars="200"/>
        <w:jc w:val="left"/>
        <w:outlineLvl w:val="9"/>
        <w:rPr>
          <w:rFonts w:hint="default" w:ascii="Calibri" w:hAnsi="Calibri" w:eastAsia="宋体" w:cs="Times New Roman"/>
          <w:bCs w:val="0"/>
          <w:color w:val="auto"/>
          <w:sz w:val="21"/>
          <w:szCs w:val="22"/>
          <w:highlight w:val="none"/>
        </w:rPr>
      </w:pPr>
      <w:r>
        <w:rPr>
          <w:rFonts w:hint="eastAsia" w:ascii="宋体" w:hAnsi="宋体" w:eastAsia="宋体" w:cs="宋体"/>
          <w:color w:val="auto"/>
          <w:kern w:val="0"/>
          <w:sz w:val="21"/>
          <w:szCs w:val="21"/>
          <w:highlight w:val="none"/>
        </w:rPr>
        <w:t>2、其他与本工程有关的现行工程技术、质量评定标准、施工验收标准及规范、标准图集等以上规范如有变化，以最新发布的为准。</w:t>
      </w:r>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Start w:id="1965" w:name="_Toc332379460"/>
      <w:bookmarkStart w:id="1966" w:name="_Toc403835492"/>
      <w:bookmarkStart w:id="1967" w:name="_Toc229408537"/>
      <w:r>
        <w:rPr>
          <w:rFonts w:hint="default" w:ascii="Calibri" w:hAnsi="Calibri" w:eastAsia="宋体" w:cs="Times New Roman"/>
          <w:bCs w:val="0"/>
          <w:color w:val="auto"/>
          <w:sz w:val="21"/>
          <w:szCs w:val="22"/>
          <w:highlight w:val="none"/>
        </w:rPr>
        <w:br w:type="page"/>
      </w:r>
    </w:p>
    <w:p w14:paraId="4499217B">
      <w:pPr>
        <w:rPr>
          <w:color w:val="auto"/>
          <w:highlight w:val="none"/>
        </w:rPr>
        <w:sectPr>
          <w:footerReference r:id="rId5" w:type="default"/>
          <w:pgSz w:w="11906" w:h="16838"/>
          <w:pgMar w:top="1417" w:right="1417" w:bottom="1417" w:left="1417" w:header="851" w:footer="992" w:gutter="0"/>
          <w:pgNumType w:start="1"/>
          <w:cols w:space="720" w:num="1"/>
          <w:docGrid w:linePitch="381" w:charSpace="-5735"/>
        </w:sectPr>
      </w:pPr>
    </w:p>
    <w:p w14:paraId="47EEFA44">
      <w:pPr>
        <w:widowControl/>
        <w:spacing w:before="120" w:after="120"/>
        <w:jc w:val="center"/>
        <w:rPr>
          <w:rFonts w:hint="default" w:ascii="Times New Roman" w:hAnsi="Times New Roman" w:eastAsia="宋体" w:cs="Times New Roman"/>
          <w:bCs/>
          <w:color w:val="auto"/>
          <w:sz w:val="44"/>
          <w:szCs w:val="44"/>
          <w:highlight w:val="none"/>
        </w:rPr>
      </w:pPr>
      <w:bookmarkStart w:id="1968" w:name="_Toc19853"/>
    </w:p>
    <w:p w14:paraId="1FCCDCB9">
      <w:pPr>
        <w:widowControl/>
        <w:spacing w:before="120" w:after="120"/>
        <w:ind w:firstLine="3080" w:firstLineChars="700"/>
        <w:jc w:val="center"/>
        <w:rPr>
          <w:rFonts w:hint="default" w:ascii="Times New Roman" w:hAnsi="Times New Roman" w:eastAsia="宋体" w:cs="Times New Roman"/>
          <w:bCs/>
          <w:color w:val="auto"/>
          <w:sz w:val="44"/>
          <w:szCs w:val="44"/>
          <w:highlight w:val="none"/>
        </w:rPr>
      </w:pPr>
    </w:p>
    <w:p w14:paraId="5FDCB878">
      <w:pPr>
        <w:widowControl/>
        <w:spacing w:before="120" w:after="120"/>
        <w:ind w:firstLine="3080" w:firstLineChars="700"/>
        <w:jc w:val="center"/>
        <w:rPr>
          <w:rFonts w:hint="default" w:ascii="Times New Roman" w:hAnsi="Times New Roman" w:eastAsia="宋体" w:cs="Times New Roman"/>
          <w:bCs/>
          <w:color w:val="auto"/>
          <w:sz w:val="44"/>
          <w:szCs w:val="44"/>
          <w:highlight w:val="none"/>
        </w:rPr>
      </w:pPr>
    </w:p>
    <w:p w14:paraId="10920980">
      <w:pPr>
        <w:widowControl/>
        <w:spacing w:before="120" w:after="120"/>
        <w:ind w:firstLine="3080" w:firstLineChars="700"/>
        <w:jc w:val="center"/>
        <w:rPr>
          <w:rFonts w:hint="default" w:ascii="Times New Roman" w:hAnsi="Times New Roman" w:eastAsia="宋体" w:cs="Times New Roman"/>
          <w:bCs/>
          <w:color w:val="auto"/>
          <w:sz w:val="44"/>
          <w:szCs w:val="44"/>
          <w:highlight w:val="none"/>
        </w:rPr>
      </w:pPr>
    </w:p>
    <w:p w14:paraId="5BAD4115">
      <w:pPr>
        <w:widowControl/>
        <w:spacing w:before="120" w:after="120"/>
        <w:ind w:firstLine="3080" w:firstLineChars="700"/>
        <w:jc w:val="center"/>
        <w:rPr>
          <w:rFonts w:hint="default" w:ascii="Times New Roman" w:hAnsi="Times New Roman" w:eastAsia="宋体" w:cs="Times New Roman"/>
          <w:bCs/>
          <w:color w:val="auto"/>
          <w:sz w:val="44"/>
          <w:szCs w:val="44"/>
          <w:highlight w:val="none"/>
        </w:rPr>
      </w:pPr>
    </w:p>
    <w:p w14:paraId="58F61188">
      <w:pPr>
        <w:widowControl/>
        <w:spacing w:before="120" w:after="120"/>
        <w:ind w:firstLine="3080" w:firstLineChars="700"/>
        <w:jc w:val="center"/>
        <w:rPr>
          <w:rFonts w:hint="default" w:ascii="Times New Roman" w:hAnsi="Times New Roman" w:eastAsia="宋体" w:cs="Times New Roman"/>
          <w:bCs/>
          <w:color w:val="auto"/>
          <w:sz w:val="44"/>
          <w:szCs w:val="44"/>
          <w:highlight w:val="none"/>
        </w:rPr>
      </w:pPr>
    </w:p>
    <w:p w14:paraId="438D95B6">
      <w:pPr>
        <w:widowControl/>
        <w:spacing w:before="120" w:after="120"/>
        <w:ind w:firstLine="3080" w:firstLineChars="700"/>
        <w:jc w:val="center"/>
        <w:rPr>
          <w:rFonts w:hint="default" w:ascii="Times New Roman" w:hAnsi="Times New Roman" w:eastAsia="宋体" w:cs="Times New Roman"/>
          <w:bCs/>
          <w:color w:val="auto"/>
          <w:sz w:val="44"/>
          <w:szCs w:val="44"/>
          <w:highlight w:val="none"/>
        </w:rPr>
      </w:pPr>
    </w:p>
    <w:p w14:paraId="0EC3049F">
      <w:pPr>
        <w:widowControl/>
        <w:spacing w:before="120" w:after="120"/>
        <w:ind w:firstLine="3080" w:firstLineChars="700"/>
        <w:jc w:val="center"/>
        <w:rPr>
          <w:rFonts w:hint="default" w:ascii="Times New Roman" w:hAnsi="Times New Roman" w:eastAsia="宋体" w:cs="Times New Roman"/>
          <w:bCs/>
          <w:color w:val="auto"/>
          <w:sz w:val="44"/>
          <w:szCs w:val="44"/>
          <w:highlight w:val="none"/>
        </w:rPr>
      </w:pPr>
    </w:p>
    <w:p w14:paraId="1570EAED">
      <w:pPr>
        <w:widowControl/>
        <w:spacing w:before="120" w:after="120"/>
        <w:ind w:firstLine="3080" w:firstLineChars="700"/>
        <w:jc w:val="center"/>
        <w:rPr>
          <w:rFonts w:hint="default" w:ascii="Times New Roman" w:hAnsi="Times New Roman" w:eastAsia="宋体" w:cs="Times New Roman"/>
          <w:bCs/>
          <w:color w:val="auto"/>
          <w:sz w:val="44"/>
          <w:szCs w:val="44"/>
          <w:highlight w:val="none"/>
        </w:rPr>
      </w:pPr>
    </w:p>
    <w:p w14:paraId="7B155C57">
      <w:pPr>
        <w:widowControl/>
        <w:spacing w:before="120" w:after="120"/>
        <w:ind w:firstLine="3080" w:firstLineChars="700"/>
        <w:jc w:val="center"/>
        <w:rPr>
          <w:rFonts w:hint="default" w:ascii="Times New Roman" w:hAnsi="Times New Roman" w:eastAsia="宋体" w:cs="Times New Roman"/>
          <w:bCs/>
          <w:color w:val="auto"/>
          <w:sz w:val="44"/>
          <w:szCs w:val="44"/>
          <w:highlight w:val="none"/>
        </w:rPr>
      </w:pPr>
    </w:p>
    <w:p w14:paraId="4C68A8C7">
      <w:pPr>
        <w:widowControl/>
        <w:spacing w:before="120" w:after="120"/>
        <w:ind w:firstLine="4176" w:firstLineChars="800"/>
        <w:jc w:val="left"/>
        <w:outlineLvl w:val="0"/>
        <w:rPr>
          <w:rFonts w:hint="eastAsia" w:ascii="宋体" w:hAnsi="宋体" w:eastAsia="宋体" w:cs="宋体"/>
          <w:b/>
          <w:bCs/>
          <w:color w:val="auto"/>
          <w:sz w:val="52"/>
          <w:szCs w:val="52"/>
          <w:highlight w:val="none"/>
        </w:rPr>
      </w:pPr>
      <w:bookmarkStart w:id="1969" w:name="_Toc16938"/>
      <w:bookmarkStart w:id="1970" w:name="_Toc18754"/>
      <w:r>
        <w:rPr>
          <w:rFonts w:hint="eastAsia" w:ascii="宋体" w:hAnsi="宋体" w:eastAsia="宋体" w:cs="宋体"/>
          <w:b/>
          <w:bCs/>
          <w:color w:val="auto"/>
          <w:sz w:val="52"/>
          <w:szCs w:val="52"/>
          <w:highlight w:val="none"/>
        </w:rPr>
        <w:t>第四卷</w:t>
      </w:r>
      <w:bookmarkEnd w:id="1965"/>
      <w:bookmarkEnd w:id="1966"/>
      <w:bookmarkEnd w:id="1967"/>
      <w:bookmarkEnd w:id="1968"/>
      <w:bookmarkEnd w:id="1969"/>
      <w:bookmarkEnd w:id="1970"/>
    </w:p>
    <w:p w14:paraId="1469AF7A">
      <w:pPr>
        <w:widowControl/>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br w:type="page"/>
      </w:r>
    </w:p>
    <w:p w14:paraId="4D039E62">
      <w:pPr>
        <w:keepNext/>
        <w:keepLines/>
        <w:spacing w:before="120" w:after="120" w:line="400" w:lineRule="exact"/>
        <w:ind w:firstLine="0" w:firstLineChars="0"/>
        <w:jc w:val="center"/>
        <w:outlineLvl w:val="0"/>
        <w:rPr>
          <w:rFonts w:hint="eastAsia" w:ascii="宋体" w:hAnsi="宋体" w:eastAsia="宋体" w:cs="宋体"/>
          <w:b/>
          <w:bCs/>
          <w:color w:val="auto"/>
          <w:kern w:val="44"/>
          <w:sz w:val="32"/>
          <w:szCs w:val="32"/>
          <w:highlight w:val="none"/>
          <w:lang w:val="en-US" w:eastAsia="zh-CN" w:bidi="ar-SA"/>
        </w:rPr>
      </w:pPr>
      <w:bookmarkStart w:id="1971" w:name="_Toc31420"/>
      <w:bookmarkStart w:id="1972" w:name="_Toc18021"/>
      <w:bookmarkStart w:id="1973" w:name="_Toc14828"/>
      <w:r>
        <w:rPr>
          <w:rFonts w:hint="eastAsia" w:ascii="宋体" w:hAnsi="宋体" w:eastAsia="宋体" w:cs="宋体"/>
          <w:b/>
          <w:bCs/>
          <w:color w:val="auto"/>
          <w:kern w:val="44"/>
          <w:sz w:val="32"/>
          <w:szCs w:val="32"/>
          <w:highlight w:val="none"/>
          <w:lang w:val="en-US" w:eastAsia="zh-CN" w:bidi="ar-SA"/>
        </w:rPr>
        <w:t>第八章 投标文件格式</w:t>
      </w:r>
      <w:bookmarkEnd w:id="1921"/>
      <w:bookmarkEnd w:id="1922"/>
      <w:bookmarkEnd w:id="1923"/>
      <w:bookmarkEnd w:id="1924"/>
      <w:bookmarkEnd w:id="1925"/>
      <w:bookmarkEnd w:id="1926"/>
      <w:bookmarkEnd w:id="1927"/>
      <w:bookmarkEnd w:id="1928"/>
      <w:bookmarkEnd w:id="1929"/>
      <w:bookmarkEnd w:id="1971"/>
      <w:bookmarkEnd w:id="1972"/>
      <w:bookmarkEnd w:id="1973"/>
    </w:p>
    <w:p w14:paraId="4828CBD6">
      <w:pPr>
        <w:widowControl/>
        <w:spacing w:line="240" w:lineRule="auto"/>
        <w:ind w:left="0" w:leftChars="0"/>
        <w:jc w:val="center"/>
        <w:rPr>
          <w:rFonts w:hint="eastAsia" w:ascii="宋体" w:hAnsi="宋体" w:eastAsia="宋体" w:cs="宋体"/>
          <w:b/>
          <w:color w:val="auto"/>
          <w:sz w:val="32"/>
          <w:szCs w:val="32"/>
          <w:highlight w:val="none"/>
          <w:u w:val="single"/>
          <w:lang w:eastAsia="zh-CN"/>
        </w:rPr>
      </w:pPr>
    </w:p>
    <w:p w14:paraId="0969F4B7">
      <w:pPr>
        <w:widowControl/>
        <w:spacing w:line="240" w:lineRule="auto"/>
        <w:ind w:left="0" w:leftChars="0"/>
        <w:jc w:val="center"/>
        <w:rPr>
          <w:rFonts w:hint="default" w:ascii="宋体" w:hAnsi="宋体" w:eastAsia="宋体" w:cs="宋体"/>
          <w:color w:val="auto"/>
          <w:sz w:val="32"/>
          <w:szCs w:val="32"/>
          <w:highlight w:val="none"/>
          <w:lang w:val="en-US"/>
        </w:rPr>
      </w:pPr>
      <w:r>
        <w:rPr>
          <w:rFonts w:hint="eastAsia" w:ascii="宋体" w:hAnsi="宋体" w:eastAsia="宋体" w:cs="宋体"/>
          <w:b/>
          <w:color w:val="auto"/>
          <w:sz w:val="32"/>
          <w:szCs w:val="32"/>
          <w:highlight w:val="none"/>
          <w:u w:val="single"/>
          <w:lang w:eastAsia="zh-CN"/>
        </w:rPr>
        <w:t xml:space="preserve"> </w:t>
      </w:r>
      <w:r>
        <w:rPr>
          <w:rFonts w:hint="eastAsia" w:ascii="宋体" w:hAnsi="宋体" w:eastAsia="宋体" w:cs="宋体"/>
          <w:b/>
          <w:color w:val="auto"/>
          <w:sz w:val="32"/>
          <w:szCs w:val="32"/>
          <w:highlight w:val="none"/>
          <w:u w:val="single"/>
          <w:lang w:val="en-US" w:eastAsia="zh-CN"/>
        </w:rPr>
        <w:t xml:space="preserve">                   </w:t>
      </w:r>
      <w:r>
        <w:rPr>
          <w:rFonts w:hint="eastAsia" w:ascii="宋体" w:hAnsi="宋体" w:eastAsia="宋体" w:cs="宋体"/>
          <w:b/>
          <w:color w:val="auto"/>
          <w:sz w:val="32"/>
          <w:szCs w:val="32"/>
          <w:highlight w:val="none"/>
          <w:u w:val="none"/>
          <w:lang w:eastAsia="zh-CN"/>
        </w:rPr>
        <w:t>（</w:t>
      </w:r>
      <w:r>
        <w:rPr>
          <w:rFonts w:hint="eastAsia" w:ascii="宋体" w:hAnsi="宋体" w:eastAsia="宋体" w:cs="宋体"/>
          <w:b/>
          <w:color w:val="auto"/>
          <w:sz w:val="32"/>
          <w:szCs w:val="32"/>
          <w:highlight w:val="none"/>
          <w:u w:val="none"/>
          <w:lang w:val="en-US" w:eastAsia="zh-CN"/>
        </w:rPr>
        <w:t>项目名称</w:t>
      </w:r>
      <w:r>
        <w:rPr>
          <w:rFonts w:hint="eastAsia" w:ascii="宋体" w:hAnsi="宋体" w:eastAsia="宋体" w:cs="宋体"/>
          <w:b/>
          <w:color w:val="auto"/>
          <w:sz w:val="32"/>
          <w:szCs w:val="32"/>
          <w:highlight w:val="none"/>
          <w:u w:val="none"/>
          <w:lang w:eastAsia="zh-CN"/>
        </w:rPr>
        <w:t>）</w:t>
      </w:r>
      <w:r>
        <w:rPr>
          <w:rFonts w:hint="eastAsia" w:ascii="宋体" w:hAnsi="宋体" w:eastAsia="宋体" w:cs="宋体"/>
          <w:b/>
          <w:color w:val="auto"/>
          <w:sz w:val="32"/>
          <w:szCs w:val="32"/>
          <w:highlight w:val="none"/>
          <w:u w:val="single"/>
          <w:lang w:val="en-US" w:eastAsia="zh-CN"/>
        </w:rPr>
        <w:t xml:space="preserve">     </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标段名称</w:t>
      </w:r>
      <w:r>
        <w:rPr>
          <w:rFonts w:hint="eastAsia" w:ascii="宋体" w:hAnsi="宋体" w:eastAsia="宋体" w:cs="宋体"/>
          <w:b/>
          <w:color w:val="auto"/>
          <w:sz w:val="32"/>
          <w:szCs w:val="32"/>
          <w:highlight w:val="none"/>
          <w:lang w:eastAsia="zh-CN"/>
        </w:rPr>
        <w:t>）</w:t>
      </w:r>
    </w:p>
    <w:p w14:paraId="70CD1C68">
      <w:pPr>
        <w:widowControl/>
        <w:jc w:val="left"/>
        <w:rPr>
          <w:rFonts w:hint="eastAsia" w:ascii="宋体" w:hAnsi="宋体" w:eastAsia="宋体" w:cs="宋体"/>
          <w:color w:val="auto"/>
          <w:sz w:val="20"/>
          <w:szCs w:val="20"/>
          <w:highlight w:val="none"/>
        </w:rPr>
      </w:pPr>
    </w:p>
    <w:p w14:paraId="720FD5AD">
      <w:pPr>
        <w:widowControl/>
        <w:jc w:val="left"/>
        <w:rPr>
          <w:rFonts w:hint="eastAsia" w:ascii="宋体" w:hAnsi="宋体" w:eastAsia="宋体" w:cs="宋体"/>
          <w:color w:val="auto"/>
          <w:sz w:val="20"/>
          <w:szCs w:val="20"/>
          <w:highlight w:val="none"/>
        </w:rPr>
      </w:pPr>
    </w:p>
    <w:p w14:paraId="52AB5814">
      <w:pPr>
        <w:widowControl/>
        <w:jc w:val="left"/>
        <w:rPr>
          <w:rFonts w:hint="eastAsia" w:ascii="宋体" w:hAnsi="宋体" w:eastAsia="宋体" w:cs="宋体"/>
          <w:color w:val="auto"/>
          <w:sz w:val="20"/>
          <w:szCs w:val="20"/>
          <w:highlight w:val="none"/>
        </w:rPr>
      </w:pPr>
    </w:p>
    <w:p w14:paraId="461AA578">
      <w:pPr>
        <w:widowControl/>
        <w:jc w:val="left"/>
        <w:rPr>
          <w:rFonts w:hint="eastAsia" w:ascii="宋体" w:hAnsi="宋体" w:eastAsia="宋体" w:cs="宋体"/>
          <w:color w:val="auto"/>
          <w:sz w:val="20"/>
          <w:szCs w:val="20"/>
          <w:highlight w:val="none"/>
        </w:rPr>
      </w:pPr>
    </w:p>
    <w:p w14:paraId="457C4499">
      <w:pPr>
        <w:widowControl/>
        <w:jc w:val="left"/>
        <w:rPr>
          <w:rFonts w:hint="eastAsia" w:ascii="宋体" w:hAnsi="宋体" w:eastAsia="宋体" w:cs="宋体"/>
          <w:color w:val="auto"/>
          <w:sz w:val="20"/>
          <w:szCs w:val="20"/>
          <w:highlight w:val="none"/>
        </w:rPr>
      </w:pPr>
    </w:p>
    <w:p w14:paraId="1EA90EA0">
      <w:pPr>
        <w:widowControl/>
        <w:jc w:val="left"/>
        <w:rPr>
          <w:rFonts w:hint="eastAsia" w:ascii="宋体" w:hAnsi="宋体" w:eastAsia="宋体" w:cs="宋体"/>
          <w:color w:val="auto"/>
          <w:sz w:val="20"/>
          <w:szCs w:val="20"/>
          <w:highlight w:val="none"/>
        </w:rPr>
      </w:pPr>
    </w:p>
    <w:p w14:paraId="361F4EC4">
      <w:pPr>
        <w:widowControl/>
        <w:jc w:val="center"/>
        <w:rPr>
          <w:rFonts w:hint="eastAsia" w:ascii="宋体" w:hAnsi="宋体" w:eastAsia="宋体" w:cs="宋体"/>
          <w:b/>
          <w:bCs/>
          <w:color w:val="auto"/>
          <w:sz w:val="60"/>
          <w:szCs w:val="60"/>
          <w:highlight w:val="none"/>
        </w:rPr>
      </w:pPr>
      <w:bookmarkStart w:id="1974" w:name="_Toc221951911"/>
      <w:r>
        <w:rPr>
          <w:rFonts w:hint="eastAsia" w:ascii="宋体" w:hAnsi="宋体" w:eastAsia="宋体" w:cs="宋体"/>
          <w:b/>
          <w:bCs/>
          <w:color w:val="auto"/>
          <w:sz w:val="60"/>
          <w:szCs w:val="60"/>
          <w:highlight w:val="none"/>
        </w:rPr>
        <w:t>投标文件</w:t>
      </w:r>
      <w:bookmarkEnd w:id="1974"/>
    </w:p>
    <w:p w14:paraId="73D6B4A5">
      <w:pPr>
        <w:widowControl/>
        <w:jc w:val="left"/>
        <w:rPr>
          <w:rFonts w:hint="eastAsia" w:ascii="宋体" w:hAnsi="宋体" w:eastAsia="宋体" w:cs="宋体"/>
          <w:color w:val="auto"/>
          <w:sz w:val="28"/>
          <w:szCs w:val="28"/>
          <w:highlight w:val="none"/>
        </w:rPr>
      </w:pPr>
    </w:p>
    <w:p w14:paraId="44B321E8">
      <w:pPr>
        <w:widowControl/>
        <w:jc w:val="left"/>
        <w:rPr>
          <w:rFonts w:hint="eastAsia" w:ascii="宋体" w:hAnsi="宋体" w:eastAsia="宋体" w:cs="宋体"/>
          <w:color w:val="auto"/>
          <w:sz w:val="28"/>
          <w:szCs w:val="28"/>
          <w:highlight w:val="none"/>
        </w:rPr>
      </w:pPr>
    </w:p>
    <w:p w14:paraId="0BCBDFF1">
      <w:pPr>
        <w:widowControl/>
        <w:jc w:val="left"/>
        <w:rPr>
          <w:rFonts w:hint="eastAsia" w:ascii="宋体" w:hAnsi="宋体" w:eastAsia="宋体" w:cs="宋体"/>
          <w:color w:val="auto"/>
          <w:sz w:val="28"/>
          <w:szCs w:val="28"/>
          <w:highlight w:val="none"/>
        </w:rPr>
      </w:pPr>
    </w:p>
    <w:p w14:paraId="099DEE29">
      <w:pPr>
        <w:widowControl/>
        <w:jc w:val="left"/>
        <w:rPr>
          <w:rFonts w:hint="eastAsia" w:ascii="宋体" w:hAnsi="宋体" w:eastAsia="宋体" w:cs="宋体"/>
          <w:color w:val="auto"/>
          <w:sz w:val="28"/>
          <w:szCs w:val="28"/>
          <w:highlight w:val="none"/>
        </w:rPr>
      </w:pPr>
    </w:p>
    <w:p w14:paraId="619B1AB3">
      <w:pPr>
        <w:widowControl/>
        <w:jc w:val="left"/>
        <w:rPr>
          <w:rFonts w:hint="eastAsia" w:ascii="宋体" w:hAnsi="宋体" w:eastAsia="宋体" w:cs="宋体"/>
          <w:color w:val="auto"/>
          <w:sz w:val="28"/>
          <w:szCs w:val="28"/>
          <w:highlight w:val="none"/>
        </w:rPr>
      </w:pPr>
    </w:p>
    <w:p w14:paraId="0AE54372">
      <w:pPr>
        <w:widowControl/>
        <w:jc w:val="left"/>
        <w:rPr>
          <w:rFonts w:hint="eastAsia" w:ascii="宋体" w:hAnsi="宋体" w:eastAsia="宋体" w:cs="宋体"/>
          <w:color w:val="auto"/>
          <w:sz w:val="28"/>
          <w:szCs w:val="28"/>
          <w:highlight w:val="none"/>
        </w:rPr>
      </w:pPr>
    </w:p>
    <w:p w14:paraId="40B0D07E">
      <w:pPr>
        <w:widowControl/>
        <w:jc w:val="left"/>
        <w:rPr>
          <w:rFonts w:hint="eastAsia" w:ascii="宋体" w:hAnsi="宋体" w:eastAsia="宋体" w:cs="宋体"/>
          <w:color w:val="auto"/>
          <w:sz w:val="28"/>
          <w:szCs w:val="28"/>
          <w:highlight w:val="none"/>
        </w:rPr>
      </w:pPr>
    </w:p>
    <w:p w14:paraId="30E10B1A">
      <w:pPr>
        <w:widowControl/>
        <w:jc w:val="left"/>
        <w:rPr>
          <w:rFonts w:hint="eastAsia" w:ascii="宋体" w:hAnsi="宋体" w:eastAsia="宋体" w:cs="宋体"/>
          <w:color w:val="auto"/>
          <w:sz w:val="28"/>
          <w:szCs w:val="28"/>
          <w:highlight w:val="none"/>
        </w:rPr>
      </w:pPr>
    </w:p>
    <w:p w14:paraId="622EB5D3">
      <w:pPr>
        <w:widowControl/>
        <w:jc w:val="left"/>
        <w:rPr>
          <w:rFonts w:hint="eastAsia" w:ascii="宋体" w:hAnsi="宋体" w:eastAsia="宋体" w:cs="宋体"/>
          <w:color w:val="auto"/>
          <w:sz w:val="28"/>
          <w:szCs w:val="28"/>
          <w:highlight w:val="none"/>
        </w:rPr>
      </w:pPr>
    </w:p>
    <w:p w14:paraId="185B3D3E">
      <w:pPr>
        <w:widowControl/>
        <w:jc w:val="left"/>
        <w:rPr>
          <w:rFonts w:hint="eastAsia" w:ascii="宋体" w:hAnsi="宋体" w:eastAsia="宋体" w:cs="宋体"/>
          <w:color w:val="auto"/>
          <w:sz w:val="28"/>
          <w:szCs w:val="28"/>
          <w:highlight w:val="none"/>
        </w:rPr>
      </w:pPr>
    </w:p>
    <w:p w14:paraId="1C64EE22">
      <w:pPr>
        <w:widowControl/>
        <w:jc w:val="left"/>
        <w:rPr>
          <w:rFonts w:hint="eastAsia" w:ascii="宋体" w:hAnsi="宋体" w:eastAsia="宋体" w:cs="宋体"/>
          <w:color w:val="auto"/>
          <w:sz w:val="28"/>
          <w:szCs w:val="28"/>
          <w:highlight w:val="none"/>
        </w:rPr>
      </w:pPr>
    </w:p>
    <w:p w14:paraId="2A17C62D">
      <w:pPr>
        <w:widowControl/>
        <w:jc w:val="left"/>
        <w:rPr>
          <w:rFonts w:hint="eastAsia" w:ascii="宋体" w:hAnsi="宋体" w:eastAsia="宋体" w:cs="宋体"/>
          <w:color w:val="auto"/>
          <w:sz w:val="28"/>
          <w:szCs w:val="28"/>
          <w:highlight w:val="none"/>
        </w:rPr>
      </w:pPr>
    </w:p>
    <w:p w14:paraId="67E84654">
      <w:pPr>
        <w:widowControl/>
        <w:jc w:val="left"/>
        <w:rPr>
          <w:rFonts w:hint="eastAsia" w:ascii="宋体" w:hAnsi="宋体" w:eastAsia="宋体" w:cs="宋体"/>
          <w:color w:val="auto"/>
          <w:sz w:val="28"/>
          <w:szCs w:val="28"/>
          <w:highlight w:val="none"/>
        </w:rPr>
      </w:pPr>
    </w:p>
    <w:p w14:paraId="5321991A">
      <w:pPr>
        <w:widowControl/>
        <w:jc w:val="left"/>
        <w:rPr>
          <w:rFonts w:hint="eastAsia" w:ascii="宋体" w:hAnsi="宋体" w:eastAsia="宋体" w:cs="宋体"/>
          <w:color w:val="auto"/>
          <w:sz w:val="28"/>
          <w:szCs w:val="28"/>
          <w:highlight w:val="none"/>
        </w:rPr>
      </w:pPr>
    </w:p>
    <w:p w14:paraId="43FDBCF3">
      <w:pPr>
        <w:widowControl/>
        <w:jc w:val="left"/>
        <w:rPr>
          <w:rFonts w:hint="eastAsia" w:ascii="宋体" w:hAnsi="宋体" w:eastAsia="宋体" w:cs="宋体"/>
          <w:color w:val="auto"/>
          <w:sz w:val="28"/>
          <w:szCs w:val="28"/>
          <w:highlight w:val="none"/>
        </w:rPr>
      </w:pPr>
    </w:p>
    <w:p w14:paraId="074AD86B">
      <w:pPr>
        <w:widowControl/>
        <w:jc w:val="left"/>
        <w:rPr>
          <w:rFonts w:hint="eastAsia" w:ascii="宋体" w:hAnsi="宋体" w:eastAsia="宋体" w:cs="宋体"/>
          <w:color w:val="auto"/>
          <w:sz w:val="28"/>
          <w:szCs w:val="28"/>
          <w:highlight w:val="none"/>
        </w:rPr>
      </w:pPr>
    </w:p>
    <w:p w14:paraId="44709FA0">
      <w:pPr>
        <w:widowControl/>
        <w:jc w:val="left"/>
        <w:rPr>
          <w:rFonts w:hint="eastAsia" w:ascii="宋体" w:hAnsi="宋体" w:eastAsia="宋体" w:cs="宋体"/>
          <w:color w:val="auto"/>
          <w:sz w:val="28"/>
          <w:szCs w:val="28"/>
          <w:highlight w:val="none"/>
        </w:rPr>
      </w:pPr>
    </w:p>
    <w:p w14:paraId="6831E15D">
      <w:pPr>
        <w:widowControl/>
        <w:jc w:val="left"/>
        <w:rPr>
          <w:rFonts w:hint="eastAsia" w:ascii="宋体" w:hAnsi="宋体" w:eastAsia="宋体" w:cs="宋体"/>
          <w:color w:val="auto"/>
          <w:sz w:val="28"/>
          <w:szCs w:val="28"/>
          <w:highlight w:val="none"/>
        </w:rPr>
      </w:pPr>
    </w:p>
    <w:p w14:paraId="17606687">
      <w:pPr>
        <w:widowControl/>
        <w:spacing w:line="360" w:lineRule="auto"/>
        <w:jc w:val="center"/>
        <w:rPr>
          <w:rFonts w:hint="eastAsia" w:ascii="宋体" w:hAnsi="宋体" w:eastAsia="宋体" w:cs="宋体"/>
          <w:color w:val="auto"/>
          <w:sz w:val="28"/>
          <w:szCs w:val="28"/>
          <w:highlight w:val="none"/>
        </w:rPr>
      </w:pPr>
      <w:bookmarkStart w:id="1975" w:name="_Toc221951912"/>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bookmarkEnd w:id="1975"/>
    </w:p>
    <w:p w14:paraId="5F5FBA08">
      <w:pPr>
        <w:widowControl/>
        <w:spacing w:line="360" w:lineRule="auto"/>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法定代表人或其委托代理人：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（签字或盖章）</w:t>
      </w:r>
    </w:p>
    <w:p w14:paraId="38839EB8">
      <w:pPr>
        <w:widowControl/>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u w:val="single"/>
        </w:rPr>
        <w:t xml:space="preserve">        </w:t>
      </w:r>
      <w:bookmarkStart w:id="1976" w:name="_Toc221951914"/>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bookmarkEnd w:id="1976"/>
      <w:r>
        <w:rPr>
          <w:rFonts w:hint="eastAsia" w:ascii="宋体" w:hAnsi="宋体" w:eastAsia="宋体" w:cs="宋体"/>
          <w:color w:val="auto"/>
          <w:szCs w:val="22"/>
          <w:highlight w:val="none"/>
        </w:rPr>
        <w:br w:type="page"/>
      </w:r>
      <w:bookmarkStart w:id="1977" w:name="_Toc222029559"/>
      <w:bookmarkStart w:id="1978" w:name="_Toc168475914"/>
      <w:bookmarkStart w:id="1979" w:name="_Toc222031061"/>
      <w:bookmarkStart w:id="1980" w:name="_Toc144974856"/>
      <w:bookmarkStart w:id="1981" w:name="_Toc222032728"/>
      <w:bookmarkStart w:id="1982" w:name="_Toc222033910"/>
      <w:bookmarkStart w:id="1983" w:name="_Toc168476317"/>
      <w:bookmarkStart w:id="1984" w:name="_Toc221951915"/>
    </w:p>
    <w:p w14:paraId="4644468A">
      <w:pPr>
        <w:widowControl/>
        <w:jc w:val="left"/>
        <w:rPr>
          <w:rFonts w:hint="eastAsia" w:ascii="宋体" w:hAnsi="宋体" w:eastAsia="宋体" w:cs="宋体"/>
          <w:color w:val="auto"/>
          <w:szCs w:val="21"/>
          <w:highlight w:val="none"/>
        </w:rPr>
      </w:pPr>
    </w:p>
    <w:p w14:paraId="4E4669DA">
      <w:pPr>
        <w:keepNext/>
        <w:keepLines/>
        <w:spacing w:before="100" w:after="0" w:line="400" w:lineRule="exact"/>
        <w:jc w:val="center"/>
        <w:outlineLvl w:val="9"/>
        <w:rPr>
          <w:rFonts w:hint="eastAsia" w:ascii="宋体" w:hAnsi="宋体" w:eastAsia="宋体" w:cs="宋体"/>
          <w:b w:val="0"/>
          <w:bCs w:val="0"/>
          <w:color w:val="auto"/>
          <w:kern w:val="2"/>
          <w:sz w:val="36"/>
          <w:szCs w:val="36"/>
          <w:highlight w:val="none"/>
          <w:lang w:val="en-US" w:eastAsia="zh-CN" w:bidi="ar-SA"/>
        </w:rPr>
      </w:pPr>
      <w:bookmarkStart w:id="1985" w:name="_Toc3451621"/>
      <w:bookmarkStart w:id="1986" w:name="_Toc27924"/>
      <w:bookmarkStart w:id="1987" w:name="_Toc403835495"/>
      <w:bookmarkStart w:id="1988" w:name="_Toc24915"/>
      <w:bookmarkStart w:id="1989" w:name="_Toc15104"/>
      <w:bookmarkStart w:id="1990" w:name="_Toc256079633"/>
      <w:bookmarkStart w:id="1991" w:name="_Toc36069908"/>
      <w:bookmarkStart w:id="1992" w:name="_Toc229305419"/>
      <w:bookmarkStart w:id="1993" w:name="_Toc20266"/>
      <w:bookmarkStart w:id="1994" w:name="_Toc9926"/>
      <w:bookmarkStart w:id="1995" w:name="_Toc2275"/>
      <w:bookmarkStart w:id="1996" w:name="_Toc266886256"/>
      <w:r>
        <w:rPr>
          <w:rFonts w:hint="eastAsia" w:ascii="宋体" w:hAnsi="宋体" w:eastAsia="宋体" w:cs="宋体"/>
          <w:b w:val="0"/>
          <w:bCs w:val="0"/>
          <w:color w:val="auto"/>
          <w:kern w:val="2"/>
          <w:sz w:val="36"/>
          <w:szCs w:val="36"/>
          <w:highlight w:val="none"/>
          <w:lang w:val="en-US" w:eastAsia="zh-CN" w:bidi="ar-SA"/>
        </w:rPr>
        <w:t>目    录</w:t>
      </w:r>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p>
    <w:p w14:paraId="7F51461D">
      <w:pPr>
        <w:widowControl/>
        <w:spacing w:line="360" w:lineRule="auto"/>
        <w:jc w:val="left"/>
        <w:rPr>
          <w:rFonts w:hint="eastAsia" w:ascii="宋体" w:hAnsi="宋体" w:eastAsia="宋体" w:cs="宋体"/>
          <w:color w:val="auto"/>
          <w:sz w:val="24"/>
          <w:szCs w:val="24"/>
          <w:highlight w:val="none"/>
        </w:rPr>
      </w:pPr>
    </w:p>
    <w:p w14:paraId="7FC3FC47">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3105A35B">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06945E21">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45DA00D0">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5CBF8FBA">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4AE4E605">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0BEAF5C6">
      <w:pPr>
        <w:widowControl/>
        <w:spacing w:line="400" w:lineRule="exact"/>
        <w:jc w:val="left"/>
        <w:rPr>
          <w:rFonts w:hint="eastAsia" w:ascii="宋体" w:hAnsi="宋体" w:eastAsia="宋体" w:cs="宋体"/>
          <w:b/>
          <w:bCs/>
          <w:color w:val="auto"/>
          <w:szCs w:val="22"/>
          <w:highlight w:val="none"/>
        </w:rPr>
      </w:pPr>
    </w:p>
    <w:p w14:paraId="18DDECE6">
      <w:pPr>
        <w:widowControl/>
        <w:spacing w:line="400" w:lineRule="exact"/>
        <w:jc w:val="left"/>
        <w:rPr>
          <w:rFonts w:hint="eastAsia" w:ascii="宋体" w:hAnsi="宋体" w:eastAsia="宋体" w:cs="宋体"/>
          <w:b/>
          <w:bCs/>
          <w:color w:val="auto"/>
          <w:szCs w:val="22"/>
          <w:highlight w:val="none"/>
        </w:rPr>
      </w:pPr>
    </w:p>
    <w:p w14:paraId="3CD69F60">
      <w:pPr>
        <w:widowControl/>
        <w:spacing w:line="400" w:lineRule="exact"/>
        <w:jc w:val="left"/>
        <w:rPr>
          <w:rFonts w:hint="eastAsia" w:ascii="宋体" w:hAnsi="宋体" w:eastAsia="宋体" w:cs="宋体"/>
          <w:b/>
          <w:bCs/>
          <w:color w:val="auto"/>
          <w:szCs w:val="22"/>
          <w:highlight w:val="none"/>
        </w:rPr>
      </w:pPr>
    </w:p>
    <w:p w14:paraId="7D9E3CF6">
      <w:pPr>
        <w:widowControl/>
        <w:spacing w:line="400" w:lineRule="exact"/>
        <w:jc w:val="left"/>
        <w:rPr>
          <w:rFonts w:hint="eastAsia" w:ascii="宋体" w:hAnsi="宋体" w:eastAsia="宋体" w:cs="宋体"/>
          <w:b/>
          <w:bCs/>
          <w:color w:val="auto"/>
          <w:szCs w:val="22"/>
          <w:highlight w:val="none"/>
        </w:rPr>
      </w:pPr>
    </w:p>
    <w:p w14:paraId="3C8201D0">
      <w:pPr>
        <w:widowControl/>
        <w:spacing w:line="400" w:lineRule="exact"/>
        <w:jc w:val="left"/>
        <w:rPr>
          <w:rFonts w:hint="eastAsia" w:ascii="宋体" w:hAnsi="宋体" w:eastAsia="宋体" w:cs="宋体"/>
          <w:b/>
          <w:bCs/>
          <w:color w:val="auto"/>
          <w:szCs w:val="22"/>
          <w:highlight w:val="none"/>
        </w:rPr>
      </w:pPr>
    </w:p>
    <w:p w14:paraId="24D8D811">
      <w:pPr>
        <w:widowControl/>
        <w:spacing w:line="400" w:lineRule="exact"/>
        <w:jc w:val="left"/>
        <w:rPr>
          <w:rFonts w:hint="eastAsia" w:ascii="宋体" w:hAnsi="宋体" w:eastAsia="宋体" w:cs="宋体"/>
          <w:b/>
          <w:bCs/>
          <w:color w:val="auto"/>
          <w:szCs w:val="22"/>
          <w:highlight w:val="none"/>
        </w:rPr>
      </w:pPr>
    </w:p>
    <w:p w14:paraId="191C6728">
      <w:pPr>
        <w:widowControl/>
        <w:spacing w:line="400" w:lineRule="exact"/>
        <w:jc w:val="left"/>
        <w:rPr>
          <w:rFonts w:hint="eastAsia" w:ascii="宋体" w:hAnsi="宋体" w:eastAsia="宋体" w:cs="宋体"/>
          <w:b/>
          <w:bCs/>
          <w:color w:val="auto"/>
          <w:szCs w:val="22"/>
          <w:highlight w:val="none"/>
        </w:rPr>
      </w:pPr>
    </w:p>
    <w:p w14:paraId="1705EB58">
      <w:pPr>
        <w:widowControl/>
        <w:spacing w:line="400" w:lineRule="exact"/>
        <w:jc w:val="left"/>
        <w:rPr>
          <w:rFonts w:hint="eastAsia" w:ascii="宋体" w:hAnsi="宋体" w:eastAsia="宋体" w:cs="宋体"/>
          <w:b/>
          <w:bCs/>
          <w:color w:val="auto"/>
          <w:szCs w:val="22"/>
          <w:highlight w:val="none"/>
        </w:rPr>
      </w:pPr>
    </w:p>
    <w:p w14:paraId="21C1358E">
      <w:pPr>
        <w:keepNext/>
        <w:keepLines/>
        <w:spacing w:before="100" w:after="0" w:line="400" w:lineRule="exact"/>
        <w:jc w:val="center"/>
        <w:outlineLvl w:val="9"/>
        <w:rPr>
          <w:rFonts w:hint="eastAsia" w:ascii="宋体" w:hAnsi="宋体" w:eastAsia="宋体" w:cs="宋体"/>
          <w:b w:val="0"/>
          <w:bCs w:val="0"/>
          <w:color w:val="auto"/>
          <w:kern w:val="2"/>
          <w:sz w:val="24"/>
          <w:szCs w:val="24"/>
          <w:highlight w:val="none"/>
          <w:lang w:val="en-US" w:eastAsia="zh-CN" w:bidi="ar-SA"/>
        </w:rPr>
      </w:pPr>
      <w:bookmarkStart w:id="1997" w:name="_Toc24575"/>
      <w:bookmarkStart w:id="1998" w:name="_Toc36069909"/>
      <w:bookmarkStart w:id="1999" w:name="_Toc21904"/>
      <w:bookmarkStart w:id="2000" w:name="_Toc15552"/>
      <w:bookmarkStart w:id="2001" w:name="_Toc1614"/>
      <w:bookmarkStart w:id="2002" w:name="_Toc3451622"/>
      <w:bookmarkStart w:id="2003" w:name="_Toc27793"/>
      <w:bookmarkStart w:id="2004" w:name="_Toc24579"/>
      <w:r>
        <w:rPr>
          <w:rFonts w:hint="eastAsia" w:ascii="宋体" w:hAnsi="宋体" w:eastAsia="宋体" w:cs="宋体"/>
          <w:b w:val="0"/>
          <w:bCs w:val="0"/>
          <w:color w:val="auto"/>
          <w:kern w:val="2"/>
          <w:sz w:val="24"/>
          <w:szCs w:val="24"/>
          <w:highlight w:val="none"/>
          <w:lang w:val="en-US" w:eastAsia="zh-CN" w:bidi="ar-SA"/>
        </w:rPr>
        <w:t>注：投标人可设置分级标题，编制目录和页码。</w:t>
      </w:r>
      <w:bookmarkEnd w:id="1997"/>
      <w:bookmarkEnd w:id="1998"/>
      <w:bookmarkEnd w:id="1999"/>
      <w:bookmarkEnd w:id="2000"/>
      <w:bookmarkEnd w:id="2001"/>
    </w:p>
    <w:p w14:paraId="39915082">
      <w:pPr>
        <w:keepNext/>
        <w:keepLines/>
        <w:spacing w:before="100" w:after="0" w:line="400" w:lineRule="exact"/>
        <w:jc w:val="center"/>
        <w:outlineLvl w:val="9"/>
        <w:rPr>
          <w:rFonts w:hint="eastAsia" w:ascii="宋体" w:hAnsi="宋体" w:eastAsia="宋体" w:cs="宋体"/>
          <w:b w:val="0"/>
          <w:bCs w:val="0"/>
          <w:color w:val="auto"/>
          <w:kern w:val="2"/>
          <w:sz w:val="24"/>
          <w:szCs w:val="24"/>
          <w:highlight w:val="none"/>
          <w:lang w:val="en-US" w:eastAsia="zh-CN" w:bidi="ar-SA"/>
        </w:rPr>
      </w:pPr>
    </w:p>
    <w:p w14:paraId="6D0752AA">
      <w:pPr>
        <w:jc w:val="center"/>
        <w:outlineLvl w:val="9"/>
        <w:rPr>
          <w:rFonts w:hint="eastAsia" w:ascii="宋体" w:hAnsi="宋体" w:eastAsia="宋体" w:cs="宋体"/>
          <w:color w:val="auto"/>
          <w:sz w:val="24"/>
          <w:szCs w:val="24"/>
          <w:highlight w:val="none"/>
        </w:rPr>
        <w:sectPr>
          <w:footerReference r:id="rId6" w:type="default"/>
          <w:pgSz w:w="11905" w:h="16838"/>
          <w:pgMar w:top="1417" w:right="1417" w:bottom="1417" w:left="1417" w:header="992" w:footer="1134" w:gutter="0"/>
          <w:pgNumType w:fmt="decimal"/>
          <w:cols w:space="720" w:num="1"/>
          <w:rtlGutter w:val="0"/>
          <w:docGrid w:linePitch="312" w:charSpace="0"/>
        </w:sectPr>
      </w:pPr>
    </w:p>
    <w:bookmarkEnd w:id="2002"/>
    <w:p w14:paraId="6FBC32EA">
      <w:pPr>
        <w:keepNext/>
        <w:keepLines/>
        <w:adjustRightInd w:val="0"/>
        <w:snapToGrid w:val="0"/>
        <w:spacing w:before="0" w:after="0" w:line="360" w:lineRule="auto"/>
        <w:jc w:val="center"/>
        <w:outlineLvl w:val="1"/>
        <w:rPr>
          <w:rFonts w:hint="eastAsia" w:ascii="宋体" w:hAnsi="宋体" w:eastAsia="宋体" w:cs="宋体"/>
          <w:b/>
          <w:bCs/>
          <w:color w:val="auto"/>
          <w:kern w:val="2"/>
          <w:sz w:val="30"/>
          <w:szCs w:val="30"/>
          <w:highlight w:val="none"/>
          <w:lang w:val="en-US" w:eastAsia="zh-CN" w:bidi="ar-SA"/>
        </w:rPr>
      </w:pPr>
      <w:bookmarkStart w:id="2005" w:name="_Toc332379463"/>
      <w:bookmarkStart w:id="2006" w:name="_Toc12515"/>
      <w:bookmarkStart w:id="2007" w:name="_Toc28012"/>
      <w:bookmarkStart w:id="2008" w:name="_Toc20884"/>
      <w:bookmarkStart w:id="2009" w:name="_Toc3273610"/>
      <w:bookmarkStart w:id="2010" w:name="_Toc534573046"/>
      <w:bookmarkStart w:id="2011" w:name="_Toc168475915"/>
      <w:bookmarkStart w:id="2012" w:name="_Toc168476318"/>
      <w:bookmarkStart w:id="2013" w:name="_Toc222031062"/>
      <w:bookmarkStart w:id="2014" w:name="_Toc144974857"/>
      <w:bookmarkStart w:id="2015" w:name="_Toc222032729"/>
      <w:bookmarkStart w:id="2016" w:name="_Toc229305420"/>
      <w:bookmarkStart w:id="2017" w:name="_Toc222029560"/>
      <w:bookmarkStart w:id="2018" w:name="_Toc222033911"/>
      <w:bookmarkStart w:id="2019" w:name="_Toc221951926"/>
      <w:r>
        <w:rPr>
          <w:rFonts w:hint="eastAsia" w:ascii="宋体" w:hAnsi="宋体" w:eastAsia="宋体" w:cs="宋体"/>
          <w:b/>
          <w:bCs/>
          <w:color w:val="auto"/>
          <w:kern w:val="2"/>
          <w:sz w:val="30"/>
          <w:szCs w:val="30"/>
          <w:highlight w:val="none"/>
          <w:lang w:val="en-US" w:eastAsia="zh-CN" w:bidi="ar-SA"/>
        </w:rPr>
        <w:t>一、投标函及投标函附录</w:t>
      </w:r>
      <w:bookmarkEnd w:id="2003"/>
      <w:bookmarkEnd w:id="2004"/>
      <w:bookmarkEnd w:id="2005"/>
      <w:bookmarkEnd w:id="2006"/>
      <w:bookmarkEnd w:id="2007"/>
      <w:bookmarkEnd w:id="2008"/>
    </w:p>
    <w:p w14:paraId="3D72D137">
      <w:pPr>
        <w:keepNext/>
        <w:keepLines/>
        <w:adjustRightInd w:val="0"/>
        <w:snapToGrid w:val="0"/>
        <w:spacing w:before="0" w:after="0" w:line="360" w:lineRule="auto"/>
        <w:jc w:val="center"/>
        <w:outlineLvl w:val="2"/>
        <w:rPr>
          <w:rFonts w:hint="eastAsia" w:ascii="宋体" w:hAnsi="宋体" w:eastAsia="宋体" w:cs="宋体"/>
          <w:b/>
          <w:bCs w:val="0"/>
          <w:color w:val="auto"/>
          <w:kern w:val="2"/>
          <w:sz w:val="24"/>
          <w:szCs w:val="24"/>
          <w:highlight w:val="none"/>
          <w:lang w:val="en-US" w:eastAsia="zh-CN" w:bidi="ar-SA"/>
        </w:rPr>
      </w:pPr>
      <w:bookmarkStart w:id="2020" w:name="_Toc26653"/>
      <w:bookmarkStart w:id="2021" w:name="_Toc1793"/>
      <w:bookmarkStart w:id="2022" w:name="_Toc27046"/>
      <w:bookmarkStart w:id="2023" w:name="_Toc14249"/>
      <w:bookmarkStart w:id="2024" w:name="_Toc15766"/>
      <w:bookmarkStart w:id="2025" w:name="_Toc36069911"/>
      <w:bookmarkStart w:id="2026" w:name="_Toc6288"/>
      <w:bookmarkStart w:id="2027" w:name="_Toc28048"/>
      <w:bookmarkStart w:id="2028" w:name="_Toc30702"/>
      <w:r>
        <w:rPr>
          <w:rFonts w:hint="eastAsia" w:ascii="宋体" w:hAnsi="宋体" w:eastAsia="宋体" w:cs="宋体"/>
          <w:b/>
          <w:bCs w:val="0"/>
          <w:color w:val="auto"/>
          <w:kern w:val="2"/>
          <w:sz w:val="24"/>
          <w:szCs w:val="24"/>
          <w:highlight w:val="none"/>
          <w:lang w:val="en-US" w:eastAsia="zh-CN" w:bidi="ar-SA"/>
        </w:rPr>
        <w:t>(一) 投标函</w:t>
      </w:r>
      <w:bookmarkEnd w:id="2009"/>
      <w:bookmarkEnd w:id="2010"/>
      <w:bookmarkEnd w:id="2020"/>
      <w:bookmarkEnd w:id="2021"/>
      <w:bookmarkEnd w:id="2022"/>
      <w:bookmarkEnd w:id="2023"/>
      <w:bookmarkEnd w:id="2024"/>
      <w:bookmarkEnd w:id="2025"/>
      <w:bookmarkEnd w:id="2026"/>
      <w:bookmarkEnd w:id="2027"/>
      <w:bookmarkEnd w:id="2028"/>
    </w:p>
    <w:p w14:paraId="30EC5503">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bookmarkStart w:id="2029" w:name="_Toc221951928"/>
      <w:r>
        <w:rPr>
          <w:rFonts w:hint="eastAsia" w:ascii="宋体" w:hAnsi="宋体" w:eastAsia="宋体" w:cs="宋体"/>
          <w:color w:val="auto"/>
          <w:sz w:val="21"/>
          <w:szCs w:val="21"/>
          <w:highlight w:val="none"/>
        </w:rPr>
        <w:t>（招标人名称）：</w:t>
      </w:r>
      <w:bookmarkEnd w:id="2029"/>
    </w:p>
    <w:p w14:paraId="40DE32A9">
      <w:pPr>
        <w:widowControl/>
        <w:spacing w:line="360" w:lineRule="auto"/>
        <w:ind w:firstLine="420" w:firstLineChars="200"/>
        <w:jc w:val="left"/>
        <w:rPr>
          <w:rFonts w:hint="eastAsia" w:ascii="宋体" w:hAnsi="宋体" w:eastAsia="宋体" w:cs="宋体"/>
          <w:color w:val="auto"/>
          <w:sz w:val="21"/>
          <w:szCs w:val="21"/>
          <w:highlight w:val="none"/>
        </w:rPr>
      </w:pPr>
    </w:p>
    <w:p w14:paraId="17457CFF">
      <w:pPr>
        <w:widowControl/>
        <w:spacing w:line="360" w:lineRule="auto"/>
        <w:ind w:firstLine="420" w:firstLineChars="200"/>
        <w:jc w:val="left"/>
        <w:rPr>
          <w:rFonts w:hint="eastAsia" w:ascii="宋体" w:hAnsi="宋体" w:eastAsia="宋体" w:cs="宋体"/>
          <w:color w:val="auto"/>
          <w:sz w:val="21"/>
          <w:szCs w:val="21"/>
          <w:highlight w:val="none"/>
        </w:rPr>
      </w:pPr>
      <w:bookmarkStart w:id="2030" w:name="_Toc221951929"/>
      <w:r>
        <w:rPr>
          <w:rFonts w:hint="eastAsia" w:ascii="宋体" w:hAnsi="宋体" w:eastAsia="宋体" w:cs="宋体"/>
          <w:color w:val="auto"/>
          <w:sz w:val="21"/>
          <w:szCs w:val="21"/>
          <w:highlight w:val="none"/>
        </w:rPr>
        <w:t>1．我方已仔细研究了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标段名称）招标文件的全部内容，愿意以人民币（大写）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）的投标总报价（其中，增值税税率为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计划</w:t>
      </w:r>
      <w:r>
        <w:rPr>
          <w:rFonts w:hint="eastAsia" w:ascii="宋体" w:hAnsi="宋体" w:eastAsia="宋体" w:cs="宋体"/>
          <w:color w:val="auto"/>
          <w:sz w:val="21"/>
          <w:szCs w:val="21"/>
          <w:highlight w:val="none"/>
        </w:rPr>
        <w:t>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，按合同约定实施和完成承包工程，修补工程中的任何缺陷，工程质量达到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bookmarkEnd w:id="2030"/>
    </w:p>
    <w:p w14:paraId="5097A7D2">
      <w:pPr>
        <w:widowControl/>
        <w:spacing w:line="360" w:lineRule="auto"/>
        <w:ind w:firstLine="420" w:firstLineChars="200"/>
        <w:jc w:val="left"/>
        <w:rPr>
          <w:rFonts w:hint="eastAsia" w:ascii="宋体" w:hAnsi="宋体" w:eastAsia="宋体" w:cs="宋体"/>
          <w:color w:val="auto"/>
          <w:sz w:val="21"/>
          <w:szCs w:val="21"/>
          <w:highlight w:val="none"/>
        </w:rPr>
      </w:pPr>
      <w:bookmarkStart w:id="2031" w:name="_Toc221951930"/>
      <w:r>
        <w:rPr>
          <w:rFonts w:hint="eastAsia" w:ascii="宋体" w:hAnsi="宋体" w:eastAsia="宋体" w:cs="宋体"/>
          <w:color w:val="auto"/>
          <w:sz w:val="21"/>
          <w:szCs w:val="21"/>
          <w:highlight w:val="none"/>
        </w:rPr>
        <w:t>2．我方承诺在投标有效期内不补充、修改、替代或者撤回本投标文件。</w:t>
      </w:r>
      <w:bookmarkEnd w:id="2031"/>
    </w:p>
    <w:p w14:paraId="2331A57C">
      <w:pPr>
        <w:widowControl/>
        <w:spacing w:line="360" w:lineRule="auto"/>
        <w:ind w:firstLine="420" w:firstLineChars="200"/>
        <w:jc w:val="left"/>
        <w:rPr>
          <w:rFonts w:hint="eastAsia" w:ascii="宋体" w:hAnsi="宋体" w:eastAsia="宋体" w:cs="宋体"/>
          <w:color w:val="auto"/>
          <w:sz w:val="21"/>
          <w:szCs w:val="21"/>
          <w:highlight w:val="none"/>
        </w:rPr>
      </w:pPr>
      <w:bookmarkStart w:id="2032" w:name="_Toc221951931"/>
      <w:r>
        <w:rPr>
          <w:rFonts w:hint="eastAsia" w:ascii="宋体" w:hAnsi="宋体" w:eastAsia="宋体" w:cs="宋体"/>
          <w:color w:val="auto"/>
          <w:sz w:val="21"/>
          <w:szCs w:val="21"/>
          <w:highlight w:val="none"/>
        </w:rPr>
        <w:t>3．随同本投标函提交投标保证金一份，金额为人民币（大写）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bookmarkEnd w:id="2032"/>
    </w:p>
    <w:p w14:paraId="6432C1F7">
      <w:pPr>
        <w:widowControl/>
        <w:spacing w:line="360" w:lineRule="auto"/>
        <w:ind w:firstLine="420" w:firstLineChars="200"/>
        <w:jc w:val="left"/>
        <w:rPr>
          <w:rFonts w:hint="eastAsia" w:ascii="宋体" w:hAnsi="宋体" w:eastAsia="宋体" w:cs="宋体"/>
          <w:color w:val="auto"/>
          <w:sz w:val="21"/>
          <w:szCs w:val="21"/>
          <w:highlight w:val="none"/>
        </w:rPr>
      </w:pPr>
      <w:bookmarkStart w:id="2033" w:name="_Toc221951932"/>
      <w:r>
        <w:rPr>
          <w:rFonts w:hint="eastAsia" w:ascii="宋体" w:hAnsi="宋体" w:eastAsia="宋体" w:cs="宋体"/>
          <w:color w:val="auto"/>
          <w:sz w:val="21"/>
          <w:szCs w:val="21"/>
          <w:highlight w:val="none"/>
        </w:rPr>
        <w:t>4．如我方中标：</w:t>
      </w:r>
      <w:bookmarkEnd w:id="2033"/>
    </w:p>
    <w:p w14:paraId="5942C9C6">
      <w:pPr>
        <w:widowControl/>
        <w:spacing w:line="360" w:lineRule="auto"/>
        <w:ind w:firstLine="420" w:firstLineChars="200"/>
        <w:jc w:val="left"/>
        <w:rPr>
          <w:rFonts w:hint="eastAsia" w:ascii="宋体" w:hAnsi="宋体" w:eastAsia="宋体" w:cs="宋体"/>
          <w:color w:val="auto"/>
          <w:sz w:val="21"/>
          <w:szCs w:val="21"/>
          <w:highlight w:val="none"/>
        </w:rPr>
      </w:pPr>
      <w:bookmarkStart w:id="2034" w:name="_Toc221951933"/>
      <w:r>
        <w:rPr>
          <w:rFonts w:hint="eastAsia" w:ascii="宋体" w:hAnsi="宋体" w:eastAsia="宋体" w:cs="宋体"/>
          <w:color w:val="auto"/>
          <w:sz w:val="21"/>
          <w:szCs w:val="21"/>
          <w:highlight w:val="none"/>
        </w:rPr>
        <w:t>（1）我方承诺在收到中标通知书后，在中标通知书规定的期限内与你方签订合同。</w:t>
      </w:r>
      <w:bookmarkEnd w:id="2034"/>
    </w:p>
    <w:p w14:paraId="4ED59BD7">
      <w:pPr>
        <w:widowControl/>
        <w:spacing w:line="360" w:lineRule="auto"/>
        <w:ind w:firstLine="420" w:firstLineChars="200"/>
        <w:jc w:val="left"/>
        <w:rPr>
          <w:rFonts w:hint="eastAsia" w:ascii="宋体" w:hAnsi="宋体" w:eastAsia="宋体" w:cs="宋体"/>
          <w:color w:val="auto"/>
          <w:sz w:val="21"/>
          <w:szCs w:val="21"/>
          <w:highlight w:val="none"/>
        </w:rPr>
      </w:pPr>
      <w:bookmarkStart w:id="2035" w:name="_Toc221951934"/>
      <w:r>
        <w:rPr>
          <w:rFonts w:hint="eastAsia" w:ascii="宋体" w:hAnsi="宋体" w:eastAsia="宋体" w:cs="宋体"/>
          <w:color w:val="auto"/>
          <w:sz w:val="21"/>
          <w:szCs w:val="21"/>
          <w:highlight w:val="none"/>
        </w:rPr>
        <w:t>（2）随同本投标函递交的投标函附录属于合同文件的组成部分。</w:t>
      </w:r>
      <w:bookmarkEnd w:id="2035"/>
    </w:p>
    <w:p w14:paraId="6895CB22">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（3）我方承诺按照招标文件规定向你方递交履约担保。</w:t>
      </w:r>
    </w:p>
    <w:p w14:paraId="2D412C93">
      <w:pPr>
        <w:widowControl/>
        <w:spacing w:line="360" w:lineRule="auto"/>
        <w:ind w:firstLine="420" w:firstLineChars="200"/>
        <w:jc w:val="left"/>
        <w:rPr>
          <w:rFonts w:hint="eastAsia" w:ascii="宋体" w:hAnsi="宋体" w:eastAsia="宋体" w:cs="宋体"/>
          <w:color w:val="auto"/>
          <w:sz w:val="21"/>
          <w:szCs w:val="21"/>
          <w:highlight w:val="none"/>
        </w:rPr>
      </w:pPr>
      <w:bookmarkStart w:id="2036" w:name="_Toc221951936"/>
      <w:r>
        <w:rPr>
          <w:rFonts w:hint="eastAsia" w:ascii="宋体" w:hAnsi="宋体" w:eastAsia="宋体" w:cs="宋体"/>
          <w:color w:val="auto"/>
          <w:sz w:val="21"/>
          <w:szCs w:val="21"/>
          <w:highlight w:val="none"/>
        </w:rPr>
        <w:t>（4）我方承诺在合同约定的期限内按招标文件第四章“合同条款及格式”规定的权利义务完成并移交全部合同工程。</w:t>
      </w:r>
      <w:bookmarkEnd w:id="2036"/>
    </w:p>
    <w:p w14:paraId="52C343D9">
      <w:pPr>
        <w:widowControl/>
        <w:spacing w:line="360" w:lineRule="auto"/>
        <w:ind w:firstLine="420" w:firstLineChars="200"/>
        <w:jc w:val="left"/>
        <w:rPr>
          <w:rFonts w:hint="eastAsia" w:ascii="宋体" w:hAnsi="宋体" w:eastAsia="宋体" w:cs="宋体"/>
          <w:color w:val="auto"/>
          <w:sz w:val="21"/>
          <w:szCs w:val="21"/>
          <w:highlight w:val="none"/>
        </w:rPr>
      </w:pPr>
      <w:bookmarkStart w:id="2037" w:name="_Toc221951937"/>
      <w:r>
        <w:rPr>
          <w:rFonts w:hint="eastAsia" w:ascii="宋体" w:hAnsi="宋体" w:eastAsia="宋体" w:cs="宋体"/>
          <w:color w:val="auto"/>
          <w:sz w:val="21"/>
          <w:szCs w:val="21"/>
          <w:highlight w:val="none"/>
        </w:rPr>
        <w:t>5．我方在此声明，所递交的投标文件及有关资料内容完整、真实和准确，且不存在第二章“投标人须知”第1.4.3项规定的任何一种情形。</w:t>
      </w:r>
      <w:bookmarkEnd w:id="2037"/>
    </w:p>
    <w:p w14:paraId="235CCC38">
      <w:pPr>
        <w:widowControl/>
        <w:spacing w:line="360" w:lineRule="auto"/>
        <w:ind w:firstLine="420" w:firstLineChars="200"/>
        <w:jc w:val="left"/>
        <w:rPr>
          <w:rFonts w:hint="eastAsia" w:ascii="宋体" w:hAnsi="宋体" w:eastAsia="宋体" w:cs="宋体"/>
          <w:color w:val="auto"/>
          <w:sz w:val="21"/>
          <w:szCs w:val="21"/>
          <w:highlight w:val="none"/>
        </w:rPr>
      </w:pPr>
      <w:bookmarkStart w:id="2038" w:name="_Toc221951938"/>
      <w:r>
        <w:rPr>
          <w:rFonts w:hint="eastAsia" w:ascii="宋体" w:hAnsi="宋体" w:eastAsia="宋体" w:cs="宋体"/>
          <w:color w:val="auto"/>
          <w:sz w:val="21"/>
          <w:szCs w:val="21"/>
          <w:highlight w:val="none"/>
        </w:rPr>
        <w:t>6．我方完全理解你方不保证投标价最低的投标人中标，并同意承担投标所发生的一切费用。</w:t>
      </w:r>
      <w:bookmarkEnd w:id="2038"/>
    </w:p>
    <w:p w14:paraId="04602E2A">
      <w:pPr>
        <w:widowControl/>
        <w:spacing w:line="360" w:lineRule="auto"/>
        <w:ind w:firstLine="420" w:firstLineChars="200"/>
        <w:jc w:val="both"/>
        <w:rPr>
          <w:rFonts w:hint="eastAsia" w:ascii="宋体" w:hAnsi="宋体" w:eastAsia="宋体" w:cs="宋体"/>
          <w:color w:val="auto"/>
          <w:sz w:val="21"/>
          <w:szCs w:val="21"/>
          <w:highlight w:val="none"/>
        </w:rPr>
      </w:pPr>
      <w:bookmarkStart w:id="2039" w:name="_Toc221951939"/>
    </w:p>
    <w:p w14:paraId="6AB4E7B1">
      <w:pPr>
        <w:widowControl/>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bookmarkEnd w:id="2039"/>
      <w:r>
        <w:rPr>
          <w:rFonts w:hint="eastAsia" w:ascii="宋体" w:hAnsi="宋体" w:eastAsia="宋体" w:cs="宋体"/>
          <w:color w:val="auto"/>
          <w:sz w:val="21"/>
          <w:szCs w:val="21"/>
          <w:highlight w:val="none"/>
        </w:rPr>
        <w:t>（盖单位章）</w:t>
      </w:r>
    </w:p>
    <w:p w14:paraId="05D80931">
      <w:pPr>
        <w:widowControl/>
        <w:spacing w:line="360" w:lineRule="auto"/>
        <w:ind w:firstLine="420" w:firstLineChars="200"/>
        <w:jc w:val="both"/>
        <w:rPr>
          <w:rFonts w:hint="eastAsia" w:ascii="宋体" w:hAnsi="宋体" w:eastAsia="宋体" w:cs="宋体"/>
          <w:color w:val="auto"/>
          <w:sz w:val="21"/>
          <w:szCs w:val="21"/>
          <w:highlight w:val="none"/>
        </w:rPr>
      </w:pPr>
      <w:bookmarkStart w:id="2040" w:name="_Toc221951940"/>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val="en-US" w:eastAsia="zh-CN"/>
        </w:rPr>
        <w:t>或盖</w:t>
      </w:r>
      <w:r>
        <w:rPr>
          <w:rFonts w:hint="eastAsia" w:ascii="宋体" w:hAnsi="宋体" w:eastAsia="宋体" w:cs="宋体"/>
          <w:color w:val="auto"/>
          <w:sz w:val="21"/>
          <w:szCs w:val="21"/>
          <w:highlight w:val="none"/>
        </w:rPr>
        <w:t>章）</w:t>
      </w:r>
      <w:bookmarkEnd w:id="2040"/>
    </w:p>
    <w:p w14:paraId="6AD4EE9F">
      <w:pPr>
        <w:widowControl/>
        <w:spacing w:line="360" w:lineRule="auto"/>
        <w:ind w:right="0" w:firstLine="420" w:firstLineChars="200"/>
        <w:jc w:val="left"/>
        <w:rPr>
          <w:rFonts w:hint="eastAsia" w:ascii="宋体" w:hAnsi="宋体" w:eastAsia="宋体" w:cs="宋体"/>
          <w:color w:val="auto"/>
          <w:sz w:val="21"/>
          <w:szCs w:val="21"/>
          <w:highlight w:val="none"/>
        </w:rPr>
      </w:pPr>
      <w:bookmarkStart w:id="2041" w:name="_Toc221951941"/>
      <w:r>
        <w:rPr>
          <w:rFonts w:hint="eastAsia" w:ascii="宋体" w:hAnsi="宋体" w:eastAsia="宋体" w:cs="宋体"/>
          <w:color w:val="auto"/>
          <w:sz w:val="21"/>
          <w:szCs w:val="21"/>
          <w:highlight w:val="none"/>
        </w:rPr>
        <w:t>地址：</w:t>
      </w:r>
      <w:bookmarkEnd w:id="2041"/>
      <w:r>
        <w:rPr>
          <w:rFonts w:hint="eastAsia" w:ascii="宋体" w:hAnsi="宋体" w:eastAsia="宋体" w:cs="宋体"/>
          <w:color w:val="auto"/>
          <w:sz w:val="21"/>
          <w:szCs w:val="21"/>
          <w:highlight w:val="none"/>
          <w:u w:val="single"/>
        </w:rPr>
        <w:t xml:space="preserve">                                     </w:t>
      </w:r>
    </w:p>
    <w:p w14:paraId="2069444B">
      <w:pPr>
        <w:widowControl/>
        <w:spacing w:line="360" w:lineRule="auto"/>
        <w:ind w:right="0" w:firstLine="420" w:firstLineChars="200"/>
        <w:jc w:val="left"/>
        <w:rPr>
          <w:rFonts w:hint="eastAsia" w:ascii="宋体" w:hAnsi="宋体" w:eastAsia="宋体" w:cs="宋体"/>
          <w:color w:val="auto"/>
          <w:sz w:val="21"/>
          <w:szCs w:val="21"/>
          <w:highlight w:val="none"/>
        </w:rPr>
      </w:pPr>
      <w:bookmarkStart w:id="2042" w:name="_Toc221951942"/>
      <w:r>
        <w:rPr>
          <w:rFonts w:hint="eastAsia" w:ascii="宋体" w:hAnsi="宋体" w:eastAsia="宋体" w:cs="宋体"/>
          <w:color w:val="auto"/>
          <w:sz w:val="21"/>
          <w:szCs w:val="21"/>
          <w:highlight w:val="none"/>
        </w:rPr>
        <w:t>网址：</w:t>
      </w:r>
      <w:bookmarkEnd w:id="2042"/>
      <w:r>
        <w:rPr>
          <w:rFonts w:hint="eastAsia" w:ascii="宋体" w:hAnsi="宋体" w:eastAsia="宋体" w:cs="宋体"/>
          <w:color w:val="auto"/>
          <w:sz w:val="21"/>
          <w:szCs w:val="21"/>
          <w:highlight w:val="none"/>
          <w:u w:val="single"/>
        </w:rPr>
        <w:t xml:space="preserve">                                     </w:t>
      </w:r>
    </w:p>
    <w:p w14:paraId="318C0838">
      <w:pPr>
        <w:widowControl/>
        <w:spacing w:line="360" w:lineRule="auto"/>
        <w:ind w:right="0" w:firstLine="420" w:firstLineChars="200"/>
        <w:jc w:val="left"/>
        <w:rPr>
          <w:rFonts w:hint="eastAsia" w:ascii="宋体" w:hAnsi="宋体" w:eastAsia="宋体" w:cs="宋体"/>
          <w:color w:val="auto"/>
          <w:sz w:val="21"/>
          <w:szCs w:val="21"/>
          <w:highlight w:val="none"/>
        </w:rPr>
      </w:pPr>
      <w:bookmarkStart w:id="2043" w:name="_Toc221951943"/>
      <w:r>
        <w:rPr>
          <w:rFonts w:hint="eastAsia" w:ascii="宋体" w:hAnsi="宋体" w:eastAsia="宋体" w:cs="宋体"/>
          <w:color w:val="auto"/>
          <w:sz w:val="21"/>
          <w:szCs w:val="21"/>
          <w:highlight w:val="none"/>
        </w:rPr>
        <w:t>电话：</w:t>
      </w:r>
      <w:bookmarkEnd w:id="2043"/>
      <w:r>
        <w:rPr>
          <w:rFonts w:hint="eastAsia" w:ascii="宋体" w:hAnsi="宋体" w:eastAsia="宋体" w:cs="宋体"/>
          <w:color w:val="auto"/>
          <w:sz w:val="21"/>
          <w:szCs w:val="21"/>
          <w:highlight w:val="none"/>
          <w:u w:val="single"/>
        </w:rPr>
        <w:t xml:space="preserve">                                     </w:t>
      </w:r>
    </w:p>
    <w:p w14:paraId="0EE1C505">
      <w:pPr>
        <w:widowControl/>
        <w:spacing w:line="360" w:lineRule="auto"/>
        <w:ind w:right="0" w:firstLine="420" w:firstLineChars="200"/>
        <w:jc w:val="left"/>
        <w:rPr>
          <w:rFonts w:hint="eastAsia" w:ascii="宋体" w:hAnsi="宋体" w:eastAsia="宋体" w:cs="宋体"/>
          <w:color w:val="auto"/>
          <w:sz w:val="21"/>
          <w:szCs w:val="21"/>
          <w:highlight w:val="none"/>
        </w:rPr>
      </w:pPr>
      <w:bookmarkStart w:id="2044" w:name="_Toc221951944"/>
      <w:r>
        <w:rPr>
          <w:rFonts w:hint="eastAsia" w:ascii="宋体" w:hAnsi="宋体" w:eastAsia="宋体" w:cs="宋体"/>
          <w:color w:val="auto"/>
          <w:sz w:val="21"/>
          <w:szCs w:val="21"/>
          <w:highlight w:val="none"/>
        </w:rPr>
        <w:t>传真：</w:t>
      </w:r>
      <w:bookmarkEnd w:id="2044"/>
      <w:r>
        <w:rPr>
          <w:rFonts w:hint="eastAsia" w:ascii="宋体" w:hAnsi="宋体" w:eastAsia="宋体" w:cs="宋体"/>
          <w:color w:val="auto"/>
          <w:sz w:val="21"/>
          <w:szCs w:val="21"/>
          <w:highlight w:val="none"/>
          <w:u w:val="single"/>
        </w:rPr>
        <w:t xml:space="preserve">                                     </w:t>
      </w:r>
    </w:p>
    <w:p w14:paraId="61D0E908">
      <w:pPr>
        <w:widowControl/>
        <w:spacing w:line="360" w:lineRule="auto"/>
        <w:ind w:right="0" w:firstLine="420" w:firstLineChars="200"/>
        <w:jc w:val="left"/>
        <w:rPr>
          <w:rFonts w:hint="eastAsia" w:ascii="宋体" w:hAnsi="宋体" w:eastAsia="宋体" w:cs="宋体"/>
          <w:color w:val="auto"/>
          <w:sz w:val="21"/>
          <w:szCs w:val="21"/>
          <w:highlight w:val="none"/>
        </w:rPr>
      </w:pPr>
      <w:bookmarkStart w:id="2045" w:name="_Toc221951945"/>
      <w:r>
        <w:rPr>
          <w:rFonts w:hint="eastAsia" w:ascii="宋体" w:hAnsi="宋体" w:eastAsia="宋体" w:cs="宋体"/>
          <w:color w:val="auto"/>
          <w:sz w:val="21"/>
          <w:szCs w:val="21"/>
          <w:highlight w:val="none"/>
        </w:rPr>
        <w:t>邮</w:t>
      </w:r>
      <w:r>
        <w:rPr>
          <w:rFonts w:hint="eastAsia" w:ascii="宋体" w:hAnsi="宋体" w:eastAsia="宋体" w:cs="宋体"/>
          <w:color w:val="auto"/>
          <w:sz w:val="21"/>
          <w:szCs w:val="21"/>
          <w:highlight w:val="none"/>
          <w:lang w:val="en-US" w:eastAsia="zh-CN"/>
        </w:rPr>
        <w:t>箱</w:t>
      </w:r>
      <w:r>
        <w:rPr>
          <w:rFonts w:hint="eastAsia" w:ascii="宋体" w:hAnsi="宋体" w:eastAsia="宋体" w:cs="宋体"/>
          <w:color w:val="auto"/>
          <w:sz w:val="21"/>
          <w:szCs w:val="21"/>
          <w:highlight w:val="none"/>
        </w:rPr>
        <w:t>：</w:t>
      </w:r>
      <w:bookmarkEnd w:id="2045"/>
      <w:r>
        <w:rPr>
          <w:rFonts w:hint="eastAsia" w:ascii="宋体" w:hAnsi="宋体" w:eastAsia="宋体" w:cs="宋体"/>
          <w:color w:val="auto"/>
          <w:sz w:val="21"/>
          <w:szCs w:val="21"/>
          <w:highlight w:val="none"/>
          <w:u w:val="single"/>
        </w:rPr>
        <w:t xml:space="preserve">                                 </w:t>
      </w:r>
    </w:p>
    <w:p w14:paraId="2EE82BF3">
      <w:pPr>
        <w:widowControl/>
        <w:spacing w:line="360" w:lineRule="auto"/>
        <w:ind w:right="0" w:firstLine="420" w:firstLineChars="200"/>
        <w:jc w:val="left"/>
        <w:outlineLvl w:val="9"/>
        <w:rPr>
          <w:rFonts w:hint="eastAsia" w:ascii="宋体" w:hAnsi="宋体" w:eastAsia="宋体" w:cs="宋体"/>
          <w:color w:val="auto"/>
          <w:szCs w:val="21"/>
          <w:highlight w:val="none"/>
        </w:rPr>
      </w:pPr>
      <w:bookmarkStart w:id="2046" w:name="_Toc571"/>
      <w:bookmarkStart w:id="2047" w:name="_Toc36069912"/>
      <w:bookmarkStart w:id="2048" w:name="_Toc268300137"/>
      <w:bookmarkStart w:id="2049" w:name="_Toc332379464"/>
      <w:bookmarkStart w:id="2050" w:name="_Toc30798"/>
      <w:bookmarkStart w:id="2051" w:name="_Toc271870745"/>
      <w:bookmarkStart w:id="2052" w:name="_Toc8775"/>
      <w:bookmarkStart w:id="2053" w:name="_Toc221951946"/>
      <w:bookmarkStart w:id="2054" w:name="_Toc26355"/>
      <w:bookmarkStart w:id="2055" w:name="_Toc20812"/>
      <w:r>
        <w:rPr>
          <w:rFonts w:hint="eastAsia" w:ascii="宋体" w:hAnsi="宋体" w:eastAsia="宋体" w:cs="宋体"/>
          <w:color w:val="auto"/>
          <w:sz w:val="21"/>
          <w:szCs w:val="21"/>
          <w:highlight w:val="none"/>
        </w:rPr>
        <w:t>____年____月____日</w:t>
      </w:r>
      <w:bookmarkEnd w:id="2046"/>
      <w:bookmarkEnd w:id="2047"/>
      <w:bookmarkEnd w:id="2048"/>
      <w:bookmarkEnd w:id="2049"/>
      <w:bookmarkEnd w:id="2050"/>
      <w:bookmarkEnd w:id="2051"/>
      <w:bookmarkEnd w:id="2052"/>
      <w:bookmarkEnd w:id="2053"/>
      <w:bookmarkEnd w:id="2054"/>
      <w:bookmarkEnd w:id="2055"/>
      <w:r>
        <w:rPr>
          <w:rFonts w:hint="eastAsia" w:ascii="宋体" w:hAnsi="宋体" w:eastAsia="宋体" w:cs="宋体"/>
          <w:color w:val="auto"/>
          <w:szCs w:val="21"/>
          <w:highlight w:val="none"/>
        </w:rPr>
        <w:t xml:space="preserve"> </w:t>
      </w:r>
    </w:p>
    <w:bookmarkEnd w:id="2011"/>
    <w:bookmarkEnd w:id="2012"/>
    <w:bookmarkEnd w:id="2013"/>
    <w:bookmarkEnd w:id="2014"/>
    <w:bookmarkEnd w:id="2015"/>
    <w:bookmarkEnd w:id="2016"/>
    <w:bookmarkEnd w:id="2017"/>
    <w:bookmarkEnd w:id="2018"/>
    <w:bookmarkEnd w:id="2019"/>
    <w:p w14:paraId="0194B7D4">
      <w:pPr>
        <w:widowControl/>
        <w:tabs>
          <w:tab w:val="left" w:pos="1277"/>
        </w:tabs>
        <w:spacing w:line="360" w:lineRule="auto"/>
        <w:ind w:firstLine="422" w:firstLineChars="200"/>
        <w:jc w:val="left"/>
        <w:rPr>
          <w:rFonts w:hint="eastAsia" w:ascii="宋体" w:hAnsi="宋体" w:eastAsia="宋体" w:cs="宋体"/>
          <w:b/>
          <w:color w:val="auto"/>
          <w:kern w:val="44"/>
          <w:sz w:val="21"/>
          <w:szCs w:val="21"/>
          <w:highlight w:val="none"/>
        </w:rPr>
      </w:pPr>
    </w:p>
    <w:p w14:paraId="3D4DCD23">
      <w:pPr>
        <w:widowControl/>
        <w:tabs>
          <w:tab w:val="left" w:pos="1277"/>
        </w:tabs>
        <w:jc w:val="left"/>
        <w:rPr>
          <w:rFonts w:hint="eastAsia" w:ascii="宋体" w:hAnsi="宋体" w:eastAsia="宋体" w:cs="宋体"/>
          <w:b/>
          <w:color w:val="auto"/>
          <w:kern w:val="44"/>
          <w:sz w:val="21"/>
          <w:szCs w:val="21"/>
          <w:highlight w:val="none"/>
        </w:rPr>
      </w:pPr>
      <w:r>
        <w:rPr>
          <w:rFonts w:hint="eastAsia" w:ascii="宋体" w:hAnsi="宋体" w:eastAsia="宋体" w:cs="宋体"/>
          <w:b/>
          <w:color w:val="auto"/>
          <w:kern w:val="44"/>
          <w:sz w:val="21"/>
          <w:szCs w:val="21"/>
          <w:highlight w:val="none"/>
        </w:rPr>
        <w:t>注：签订合同时以本投标函为准。</w:t>
      </w:r>
    </w:p>
    <w:p w14:paraId="6EEBA1A0">
      <w:pPr>
        <w:widowControl/>
        <w:adjustRightInd w:val="0"/>
        <w:snapToGrid w:val="0"/>
        <w:spacing w:before="0"/>
        <w:jc w:val="left"/>
        <w:outlineLvl w:val="9"/>
        <w:rPr>
          <w:rFonts w:hint="eastAsia" w:ascii="宋体" w:hAnsi="宋体" w:eastAsia="宋体" w:cs="宋体"/>
          <w:b/>
          <w:color w:val="auto"/>
          <w:sz w:val="24"/>
          <w:szCs w:val="24"/>
          <w:highlight w:val="none"/>
        </w:rPr>
      </w:pPr>
      <w:bookmarkStart w:id="2056" w:name="_Toc17653"/>
      <w:bookmarkStart w:id="2057" w:name="_Toc221951947"/>
      <w:bookmarkStart w:id="2058" w:name="_Toc144974859"/>
      <w:bookmarkStart w:id="2059" w:name="_Toc14724"/>
      <w:bookmarkStart w:id="2060" w:name="_Toc168475917"/>
      <w:bookmarkStart w:id="2061" w:name="_Toc14955"/>
      <w:bookmarkStart w:id="2062" w:name="_Toc1636"/>
      <w:bookmarkStart w:id="2063" w:name="_Toc9938"/>
      <w:bookmarkStart w:id="2064" w:name="_Toc20013"/>
      <w:bookmarkStart w:id="2065" w:name="_Toc1628"/>
      <w:bookmarkStart w:id="2066" w:name="_Toc10974"/>
      <w:bookmarkStart w:id="2067" w:name="_Toc168476320"/>
      <w:bookmarkStart w:id="2068" w:name="_Toc16777"/>
      <w:bookmarkStart w:id="2069" w:name="_Toc2857"/>
      <w:bookmarkStart w:id="2070" w:name="_Toc3451627"/>
      <w:bookmarkStart w:id="2071" w:name="_Toc36069913"/>
      <w:r>
        <w:rPr>
          <w:rFonts w:hint="eastAsia" w:ascii="宋体" w:hAnsi="宋体" w:eastAsia="宋体" w:cs="宋体"/>
          <w:b/>
          <w:color w:val="auto"/>
          <w:sz w:val="24"/>
          <w:szCs w:val="24"/>
          <w:highlight w:val="none"/>
        </w:rPr>
        <w:br w:type="page"/>
      </w:r>
    </w:p>
    <w:p w14:paraId="7FFECBC1">
      <w:pPr>
        <w:keepNext/>
        <w:keepLines/>
        <w:adjustRightInd w:val="0"/>
        <w:snapToGrid w:val="0"/>
        <w:spacing w:before="0" w:after="0" w:line="360" w:lineRule="auto"/>
        <w:jc w:val="center"/>
        <w:outlineLvl w:val="2"/>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（二）投标函附录</w:t>
      </w:r>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p>
    <w:tbl>
      <w:tblPr>
        <w:tblStyle w:val="2"/>
        <w:tblpPr w:leftFromText="180" w:rightFromText="180" w:vertAnchor="text" w:horzAnchor="page" w:tblpX="1430" w:tblpY="396"/>
        <w:tblOverlap w:val="never"/>
        <w:tblW w:w="0" w:type="auto"/>
        <w:tblInd w:w="0" w:type="dxa"/>
        <w:tblLayout w:type="fixed"/>
        <w:tblCellMar>
          <w:top w:w="0" w:type="dxa"/>
          <w:left w:w="10" w:type="dxa"/>
          <w:bottom w:w="0" w:type="dxa"/>
          <w:right w:w="10" w:type="dxa"/>
        </w:tblCellMar>
      </w:tblPr>
      <w:tblGrid>
        <w:gridCol w:w="2493"/>
        <w:gridCol w:w="1784"/>
        <w:gridCol w:w="946"/>
        <w:gridCol w:w="1227"/>
        <w:gridCol w:w="930"/>
        <w:gridCol w:w="1614"/>
      </w:tblGrid>
      <w:tr w14:paraId="4581A25F">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06AB96CE">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FBAF120">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u w:val="single"/>
              </w:rPr>
            </w:pPr>
          </w:p>
        </w:tc>
      </w:tr>
      <w:tr w14:paraId="5E33FF3A">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6AF89E85">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2B2F2FE7">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u w:val="single"/>
              </w:rPr>
            </w:pPr>
          </w:p>
        </w:tc>
      </w:tr>
      <w:tr w14:paraId="11F99839">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688AF5A9">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4D9C17B">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r>
      <w:tr w14:paraId="300370FE">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2EEE49CB">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投标</w:t>
            </w:r>
            <w:r>
              <w:rPr>
                <w:rFonts w:hint="eastAsia" w:ascii="宋体" w:hAnsi="宋体" w:eastAsia="宋体" w:cs="宋体"/>
                <w:color w:val="auto"/>
                <w:sz w:val="21"/>
                <w:szCs w:val="21"/>
                <w:highlight w:val="none"/>
                <w:lang w:val="en-US" w:eastAsia="zh-CN"/>
              </w:rPr>
              <w:t>内容</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0225D71">
            <w:pPr>
              <w:keepNext w:val="0"/>
              <w:keepLines w:val="0"/>
              <w:widowControl/>
              <w:suppressLineNumbers w:val="0"/>
              <w:spacing w:before="0" w:beforeAutospacing="0" w:after="0" w:afterAutospacing="0"/>
              <w:ind w:left="0" w:right="0" w:firstLine="840" w:firstLineChars="400"/>
              <w:jc w:val="left"/>
              <w:rPr>
                <w:rFonts w:hint="default" w:ascii="宋体" w:hAnsi="宋体" w:eastAsia="宋体" w:cs="宋体"/>
                <w:color w:val="auto"/>
                <w:sz w:val="21"/>
                <w:szCs w:val="21"/>
                <w:highlight w:val="none"/>
              </w:rPr>
            </w:pPr>
          </w:p>
        </w:tc>
      </w:tr>
      <w:tr w14:paraId="0D693DEE">
        <w:tblPrEx>
          <w:tblCellMar>
            <w:top w:w="0" w:type="dxa"/>
            <w:left w:w="10" w:type="dxa"/>
            <w:bottom w:w="0" w:type="dxa"/>
            <w:right w:w="10" w:type="dxa"/>
          </w:tblCellMar>
        </w:tblPrEx>
        <w:trPr>
          <w:trHeight w:val="1164"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1CD5848B">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投标总报价</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24978F0C">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p w14:paraId="6C63DD73">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（大写）</w:t>
            </w:r>
            <w:r>
              <w:rPr>
                <w:rFonts w:hint="eastAsia" w:ascii="宋体" w:hAnsi="宋体" w:eastAsia="宋体" w:cs="宋体"/>
                <w:color w:val="auto"/>
                <w:sz w:val="21"/>
                <w:szCs w:val="21"/>
                <w:highlight w:val="none"/>
                <w:u w:val="single"/>
                <w:lang w:val="zh-CN"/>
              </w:rPr>
              <w:t xml:space="preserve">                                      </w:t>
            </w:r>
          </w:p>
          <w:p w14:paraId="107BA01D">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lang w:val="zh-CN"/>
              </w:rPr>
            </w:pPr>
          </w:p>
          <w:p w14:paraId="57C82C6F">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（小写）</w:t>
            </w:r>
            <w:r>
              <w:rPr>
                <w:rFonts w:hint="eastAsia" w:ascii="宋体" w:hAnsi="宋体" w:eastAsia="宋体" w:cs="宋体"/>
                <w:color w:val="auto"/>
                <w:sz w:val="21"/>
                <w:szCs w:val="21"/>
                <w:highlight w:val="none"/>
                <w:u w:val="single"/>
                <w:lang w:val="zh-CN"/>
              </w:rPr>
              <w:t xml:space="preserve">                                      </w:t>
            </w:r>
          </w:p>
        </w:tc>
      </w:tr>
      <w:tr w14:paraId="0F05641A">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145964A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计划</w:t>
            </w:r>
            <w:r>
              <w:rPr>
                <w:rFonts w:hint="eastAsia" w:ascii="宋体" w:hAnsi="宋体" w:eastAsia="宋体" w:cs="宋体"/>
                <w:color w:val="auto"/>
                <w:sz w:val="21"/>
                <w:szCs w:val="21"/>
                <w:highlight w:val="none"/>
                <w:lang w:val="zh-CN"/>
              </w:rPr>
              <w:t>工期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19518D09">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lang w:val="zh-CN"/>
              </w:rPr>
            </w:pPr>
          </w:p>
        </w:tc>
      </w:tr>
      <w:tr w14:paraId="567EC286">
        <w:tblPrEx>
          <w:tblCellMar>
            <w:top w:w="0" w:type="dxa"/>
            <w:left w:w="10" w:type="dxa"/>
            <w:bottom w:w="0" w:type="dxa"/>
            <w:right w:w="10" w:type="dxa"/>
          </w:tblCellMar>
        </w:tblPrEx>
        <w:trPr>
          <w:trHeight w:val="586" w:hRule="atLeast"/>
        </w:trPr>
        <w:tc>
          <w:tcPr>
            <w:tcW w:w="2493" w:type="dxa"/>
            <w:tcBorders>
              <w:top w:val="single" w:color="auto" w:sz="6" w:space="0"/>
              <w:left w:val="single" w:color="auto" w:sz="6" w:space="0"/>
              <w:bottom w:val="single" w:color="auto" w:sz="4" w:space="0"/>
              <w:right w:val="single" w:color="auto" w:sz="6" w:space="0"/>
            </w:tcBorders>
            <w:noWrap w:val="0"/>
            <w:vAlign w:val="center"/>
          </w:tcPr>
          <w:p w14:paraId="30A88581">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689C364F">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r>
      <w:tr w14:paraId="50E24313">
        <w:tblPrEx>
          <w:tblCellMar>
            <w:top w:w="0" w:type="dxa"/>
            <w:left w:w="10" w:type="dxa"/>
            <w:bottom w:w="0" w:type="dxa"/>
            <w:right w:w="10" w:type="dxa"/>
          </w:tblCellMar>
        </w:tblPrEx>
        <w:trPr>
          <w:trHeight w:val="744" w:hRule="atLeast"/>
        </w:trPr>
        <w:tc>
          <w:tcPr>
            <w:tcW w:w="2493" w:type="dxa"/>
            <w:tcBorders>
              <w:top w:val="single" w:color="auto" w:sz="4" w:space="0"/>
              <w:left w:val="single" w:color="auto" w:sz="6" w:space="0"/>
              <w:bottom w:val="single" w:color="auto" w:sz="6" w:space="0"/>
              <w:right w:val="single" w:color="auto" w:sz="6" w:space="0"/>
            </w:tcBorders>
            <w:noWrap w:val="0"/>
            <w:vAlign w:val="center"/>
          </w:tcPr>
          <w:p w14:paraId="6B69FF0D">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3D5620C4">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r>
      <w:tr w14:paraId="284CF7E2">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30B1A104">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项目经理</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0E9861C5">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48D9B422">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级别</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19CBC801">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1BE8FAFD">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证书</w:t>
            </w:r>
          </w:p>
          <w:p w14:paraId="6BE86D84">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28AA0390">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r>
      <w:tr w14:paraId="33B76039">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1C93EDFB">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技术负责人</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6155799F">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5084751E">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职称</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60144DF1">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3DB73C9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证书</w:t>
            </w:r>
          </w:p>
          <w:p w14:paraId="78D280AB">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76ED5499">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r>
      <w:tr w14:paraId="15643295">
        <w:tblPrEx>
          <w:tblCellMar>
            <w:top w:w="0" w:type="dxa"/>
            <w:left w:w="10" w:type="dxa"/>
            <w:bottom w:w="0" w:type="dxa"/>
            <w:right w:w="10" w:type="dxa"/>
          </w:tblCellMar>
        </w:tblPrEx>
        <w:trPr>
          <w:trHeight w:val="696"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7EBE0FDA">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F4C53DF">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rPr>
            </w:pPr>
          </w:p>
        </w:tc>
      </w:tr>
    </w:tbl>
    <w:p w14:paraId="1469FE6C">
      <w:pPr>
        <w:widowControl/>
        <w:wordWrap w:val="0"/>
        <w:autoSpaceDE w:val="0"/>
        <w:autoSpaceDN w:val="0"/>
        <w:adjustRightInd w:val="0"/>
        <w:spacing w:line="400" w:lineRule="exact"/>
        <w:ind w:right="-34" w:rightChars="-16"/>
        <w:jc w:val="center"/>
        <w:rPr>
          <w:rFonts w:hint="eastAsia" w:ascii="宋体" w:hAnsi="宋体" w:eastAsia="宋体" w:cs="宋体"/>
          <w:b/>
          <w:color w:val="auto"/>
          <w:kern w:val="0"/>
          <w:sz w:val="24"/>
          <w:szCs w:val="22"/>
          <w:highlight w:val="none"/>
        </w:rPr>
      </w:pPr>
    </w:p>
    <w:p w14:paraId="673A63C0">
      <w:pPr>
        <w:spacing w:after="120" w:line="600" w:lineRule="auto"/>
        <w:ind w:firstLine="3255" w:firstLineChars="15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 标 人：</w:t>
      </w:r>
      <w:r>
        <w:rPr>
          <w:rFonts w:hint="eastAsia" w:ascii="宋体" w:hAnsi="宋体" w:eastAsia="宋体" w:cs="宋体"/>
          <w:color w:val="auto"/>
          <w:kern w:val="2"/>
          <w:sz w:val="21"/>
          <w:szCs w:val="21"/>
          <w:highlight w:val="none"/>
          <w:u w:val="single"/>
          <w:lang w:val="en-US" w:eastAsia="zh-CN" w:bidi="ar-SA"/>
        </w:rPr>
        <w:tab/>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（盖单位章）</w:t>
      </w:r>
    </w:p>
    <w:p w14:paraId="55BBEBEE">
      <w:pPr>
        <w:spacing w:after="120" w:line="600" w:lineRule="auto"/>
        <w:ind w:firstLine="2835" w:firstLineChars="13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法定代表人或其委托代理人：</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u w:val="single"/>
          <w:lang w:val="en-US" w:eastAsia="zh-CN" w:bidi="ar-SA"/>
        </w:rPr>
        <w:tab/>
      </w:r>
      <w:r>
        <w:rPr>
          <w:rFonts w:hint="eastAsia" w:ascii="宋体" w:hAnsi="宋体" w:eastAsia="宋体" w:cs="宋体"/>
          <w:color w:val="auto"/>
          <w:kern w:val="2"/>
          <w:sz w:val="21"/>
          <w:szCs w:val="21"/>
          <w:highlight w:val="none"/>
          <w:lang w:val="en-US" w:eastAsia="zh-CN" w:bidi="ar-SA"/>
        </w:rPr>
        <w:t>（签字或盖章）</w:t>
      </w:r>
    </w:p>
    <w:p w14:paraId="0A9DDB4C">
      <w:pPr>
        <w:spacing w:after="120" w:line="600" w:lineRule="auto"/>
        <w:ind w:firstLine="4515" w:firstLineChars="21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年   </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月   </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日</w:t>
      </w:r>
    </w:p>
    <w:p w14:paraId="560AE8CF">
      <w:pPr>
        <w:widowControl/>
        <w:jc w:val="left"/>
        <w:rPr>
          <w:rFonts w:hint="eastAsia" w:ascii="宋体" w:hAnsi="宋体" w:eastAsia="宋体" w:cs="宋体"/>
          <w:color w:val="auto"/>
          <w:sz w:val="30"/>
          <w:szCs w:val="30"/>
          <w:highlight w:val="none"/>
        </w:rPr>
      </w:pPr>
      <w:bookmarkStart w:id="2072" w:name="_Toc16281"/>
      <w:bookmarkStart w:id="2073" w:name="_Toc3490"/>
      <w:bookmarkStart w:id="2074" w:name="_Toc15341"/>
      <w:bookmarkStart w:id="2075" w:name="_Toc20720"/>
      <w:bookmarkStart w:id="2076" w:name="_Toc16908"/>
      <w:bookmarkStart w:id="2077" w:name="_Toc3451628"/>
      <w:bookmarkStart w:id="2078" w:name="_Toc332379465"/>
      <w:bookmarkStart w:id="2079" w:name="_Toc222031064"/>
      <w:bookmarkStart w:id="2080" w:name="_Toc222029562"/>
      <w:bookmarkStart w:id="2081" w:name="_Toc221952024"/>
      <w:bookmarkStart w:id="2082" w:name="_Toc168476322"/>
      <w:bookmarkStart w:id="2083" w:name="_Toc222032731"/>
      <w:bookmarkStart w:id="2084" w:name="_Toc229305422"/>
      <w:bookmarkStart w:id="2085" w:name="_Toc222033913"/>
      <w:bookmarkStart w:id="2086" w:name="_Toc266886257"/>
      <w:bookmarkStart w:id="2087" w:name="_Toc144974861"/>
      <w:bookmarkStart w:id="2088" w:name="_Toc168475919"/>
      <w:r>
        <w:rPr>
          <w:rFonts w:hint="eastAsia" w:ascii="宋体" w:hAnsi="宋体" w:eastAsia="宋体" w:cs="宋体"/>
          <w:color w:val="auto"/>
          <w:sz w:val="30"/>
          <w:szCs w:val="30"/>
          <w:highlight w:val="none"/>
        </w:rPr>
        <w:br w:type="page"/>
      </w:r>
    </w:p>
    <w:p w14:paraId="591D04D7">
      <w:pPr>
        <w:keepNext/>
        <w:keepLines/>
        <w:spacing w:before="260" w:after="260" w:line="416" w:lineRule="auto"/>
        <w:jc w:val="center"/>
        <w:outlineLvl w:val="1"/>
        <w:rPr>
          <w:rFonts w:hint="eastAsia" w:ascii="宋体" w:hAnsi="宋体" w:eastAsia="宋体" w:cs="宋体"/>
          <w:b/>
          <w:bCs/>
          <w:color w:val="auto"/>
          <w:kern w:val="2"/>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二、法定代表人身份证明</w:t>
      </w:r>
      <w:bookmarkEnd w:id="2072"/>
      <w:bookmarkEnd w:id="2073"/>
      <w:bookmarkEnd w:id="2074"/>
      <w:bookmarkEnd w:id="2075"/>
      <w:bookmarkEnd w:id="2076"/>
    </w:p>
    <w:p w14:paraId="7C8B5F95">
      <w:pPr>
        <w:tabs>
          <w:tab w:val="left" w:pos="3928"/>
        </w:tabs>
        <w:spacing w:after="120"/>
        <w:ind w:left="0"/>
        <w:rPr>
          <w:rFonts w:hint="eastAsia" w:ascii="宋体" w:hAnsi="宋体" w:eastAsia="宋体" w:cs="宋体"/>
          <w:color w:val="auto"/>
          <w:kern w:val="2"/>
          <w:sz w:val="21"/>
          <w:szCs w:val="22"/>
          <w:highlight w:val="none"/>
          <w:lang w:val="en-US" w:eastAsia="zh-CN" w:bidi="ar-SA"/>
        </w:rPr>
      </w:pPr>
    </w:p>
    <w:p w14:paraId="0AAACF3A">
      <w:pPr>
        <w:tabs>
          <w:tab w:val="left" w:pos="3928"/>
        </w:tabs>
        <w:spacing w:after="120"/>
        <w:ind w:left="10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投标人名称：</w:t>
      </w:r>
      <w:r>
        <w:rPr>
          <w:rFonts w:hint="eastAsia" w:ascii="宋体" w:hAnsi="宋体" w:eastAsia="宋体" w:cs="宋体"/>
          <w:color w:val="auto"/>
          <w:kern w:val="2"/>
          <w:sz w:val="21"/>
          <w:szCs w:val="20"/>
          <w:highlight w:val="none"/>
          <w:u w:val="single"/>
          <w:lang w:val="en-US" w:eastAsia="zh-CN" w:bidi="ar-SA"/>
        </w:rPr>
        <w:tab/>
      </w:r>
    </w:p>
    <w:p w14:paraId="4E694F7D">
      <w:pPr>
        <w:spacing w:before="1" w:after="120"/>
        <w:rPr>
          <w:rFonts w:hint="eastAsia" w:ascii="宋体" w:hAnsi="宋体" w:eastAsia="宋体" w:cs="宋体"/>
          <w:color w:val="auto"/>
          <w:kern w:val="2"/>
          <w:sz w:val="21"/>
          <w:szCs w:val="20"/>
          <w:highlight w:val="none"/>
          <w:lang w:val="en-US" w:eastAsia="zh-CN" w:bidi="ar-SA"/>
        </w:rPr>
      </w:pPr>
    </w:p>
    <w:p w14:paraId="23B9EE27">
      <w:pPr>
        <w:tabs>
          <w:tab w:val="left" w:pos="2412"/>
          <w:tab w:val="left" w:pos="3883"/>
          <w:tab w:val="left" w:pos="5352"/>
          <w:tab w:val="left" w:pos="6869"/>
        </w:tabs>
        <w:spacing w:before="37" w:after="120"/>
        <w:ind w:left="10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姓名：</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性别：</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年龄：</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职务：</w:t>
      </w:r>
      <w:r>
        <w:rPr>
          <w:rFonts w:hint="eastAsia" w:ascii="宋体" w:hAnsi="宋体" w:eastAsia="宋体" w:cs="宋体"/>
          <w:color w:val="auto"/>
          <w:kern w:val="2"/>
          <w:sz w:val="21"/>
          <w:szCs w:val="20"/>
          <w:highlight w:val="none"/>
          <w:u w:val="single"/>
          <w:lang w:val="en-US" w:eastAsia="zh-CN" w:bidi="ar-SA"/>
        </w:rPr>
        <w:tab/>
      </w:r>
    </w:p>
    <w:p w14:paraId="6936D5B1">
      <w:pPr>
        <w:spacing w:before="4" w:after="120"/>
        <w:rPr>
          <w:rFonts w:hint="eastAsia" w:ascii="宋体" w:hAnsi="宋体" w:eastAsia="宋体" w:cs="宋体"/>
          <w:color w:val="auto"/>
          <w:kern w:val="2"/>
          <w:sz w:val="21"/>
          <w:szCs w:val="20"/>
          <w:highlight w:val="none"/>
          <w:lang w:val="en-US" w:eastAsia="zh-CN" w:bidi="ar-SA"/>
        </w:rPr>
      </w:pPr>
    </w:p>
    <w:p w14:paraId="3395F4D1">
      <w:pPr>
        <w:tabs>
          <w:tab w:val="left" w:pos="2832"/>
        </w:tabs>
        <w:spacing w:before="37" w:after="120"/>
        <w:ind w:left="10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系</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（投标人名称）的法定代表人。</w:t>
      </w:r>
    </w:p>
    <w:p w14:paraId="240D5E2E">
      <w:pPr>
        <w:spacing w:before="10" w:after="120"/>
        <w:rPr>
          <w:rFonts w:hint="eastAsia" w:ascii="宋体" w:hAnsi="宋体" w:eastAsia="宋体" w:cs="宋体"/>
          <w:color w:val="auto"/>
          <w:kern w:val="2"/>
          <w:sz w:val="21"/>
          <w:szCs w:val="20"/>
          <w:highlight w:val="none"/>
          <w:lang w:val="en-US" w:eastAsia="zh-CN" w:bidi="ar-SA"/>
        </w:rPr>
      </w:pPr>
    </w:p>
    <w:p w14:paraId="0C798B18">
      <w:pPr>
        <w:spacing w:before="36" w:after="120"/>
        <w:ind w:left="52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特此证明。</w:t>
      </w:r>
    </w:p>
    <w:p w14:paraId="01D06E06">
      <w:pPr>
        <w:spacing w:after="120"/>
        <w:rPr>
          <w:rFonts w:hint="eastAsia" w:ascii="宋体" w:hAnsi="宋体" w:eastAsia="宋体" w:cs="宋体"/>
          <w:color w:val="auto"/>
          <w:kern w:val="2"/>
          <w:sz w:val="21"/>
          <w:szCs w:val="20"/>
          <w:highlight w:val="none"/>
          <w:lang w:val="en-US" w:eastAsia="zh-CN" w:bidi="ar-SA"/>
        </w:rPr>
      </w:pPr>
    </w:p>
    <w:p w14:paraId="4B24F5AA">
      <w:pPr>
        <w:spacing w:before="4" w:after="120"/>
        <w:rPr>
          <w:rFonts w:hint="eastAsia" w:ascii="宋体" w:hAnsi="宋体" w:eastAsia="宋体" w:cs="宋体"/>
          <w:color w:val="auto"/>
          <w:kern w:val="2"/>
          <w:sz w:val="21"/>
          <w:szCs w:val="20"/>
          <w:highlight w:val="none"/>
          <w:lang w:val="en-US" w:eastAsia="zh-CN" w:bidi="ar-SA"/>
        </w:rPr>
      </w:pPr>
    </w:p>
    <w:p w14:paraId="74F34007">
      <w:pPr>
        <w:spacing w:after="120"/>
        <w:ind w:left="10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附：法定代表人身份证原件扫描件。</w:t>
      </w:r>
    </w:p>
    <w:p w14:paraId="6DFE2C79">
      <w:pPr>
        <w:spacing w:after="120"/>
        <w:rPr>
          <w:rFonts w:hint="eastAsia" w:ascii="宋体" w:hAnsi="宋体" w:eastAsia="宋体" w:cs="宋体"/>
          <w:color w:val="auto"/>
          <w:kern w:val="2"/>
          <w:sz w:val="21"/>
          <w:szCs w:val="20"/>
          <w:highlight w:val="none"/>
          <w:lang w:val="en-US" w:eastAsia="zh-CN" w:bidi="ar-SA"/>
        </w:rPr>
      </w:pPr>
    </w:p>
    <w:p w14:paraId="7105667B">
      <w:pPr>
        <w:spacing w:before="1" w:after="120"/>
        <w:rPr>
          <w:rFonts w:hint="eastAsia" w:ascii="宋体" w:hAnsi="宋体" w:eastAsia="宋体" w:cs="宋体"/>
          <w:color w:val="auto"/>
          <w:kern w:val="2"/>
          <w:sz w:val="21"/>
          <w:szCs w:val="20"/>
          <w:highlight w:val="none"/>
          <w:lang w:val="en-US" w:eastAsia="zh-CN" w:bidi="ar-SA"/>
        </w:rPr>
      </w:pPr>
    </w:p>
    <w:p w14:paraId="6F0CFD2E">
      <w:pPr>
        <w:spacing w:after="120"/>
        <w:rPr>
          <w:rFonts w:hint="eastAsia" w:ascii="宋体" w:hAnsi="宋体" w:eastAsia="宋体" w:cs="宋体"/>
          <w:color w:val="auto"/>
          <w:kern w:val="2"/>
          <w:sz w:val="21"/>
          <w:szCs w:val="20"/>
          <w:highlight w:val="none"/>
          <w:lang w:val="en-US" w:eastAsia="zh-CN" w:bidi="ar-SA"/>
        </w:rPr>
      </w:pPr>
    </w:p>
    <w:p w14:paraId="7D546411">
      <w:pPr>
        <w:spacing w:after="120"/>
        <w:rPr>
          <w:rFonts w:hint="eastAsia" w:ascii="宋体" w:hAnsi="宋体" w:eastAsia="宋体" w:cs="宋体"/>
          <w:color w:val="auto"/>
          <w:kern w:val="2"/>
          <w:sz w:val="21"/>
          <w:szCs w:val="20"/>
          <w:highlight w:val="none"/>
          <w:lang w:val="en-US" w:eastAsia="zh-CN" w:bidi="ar-SA"/>
        </w:rPr>
      </w:pPr>
    </w:p>
    <w:p w14:paraId="59806D8C">
      <w:pPr>
        <w:spacing w:before="1" w:after="120"/>
        <w:rPr>
          <w:rFonts w:hint="eastAsia" w:ascii="宋体" w:hAnsi="宋体" w:eastAsia="宋体" w:cs="宋体"/>
          <w:color w:val="auto"/>
          <w:kern w:val="2"/>
          <w:sz w:val="21"/>
          <w:szCs w:val="20"/>
          <w:highlight w:val="none"/>
          <w:lang w:val="en-US" w:eastAsia="zh-CN" w:bidi="ar-SA"/>
        </w:rPr>
      </w:pPr>
    </w:p>
    <w:p w14:paraId="56DC642E">
      <w:pPr>
        <w:tabs>
          <w:tab w:val="left" w:pos="6521"/>
        </w:tabs>
        <w:spacing w:before="37" w:after="120"/>
        <w:ind w:left="4212"/>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投标人：</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（盖单位章）</w:t>
      </w:r>
    </w:p>
    <w:p w14:paraId="0E80A043">
      <w:pPr>
        <w:spacing w:after="120"/>
        <w:rPr>
          <w:rFonts w:hint="eastAsia" w:ascii="宋体" w:hAnsi="宋体" w:eastAsia="宋体" w:cs="宋体"/>
          <w:color w:val="auto"/>
          <w:kern w:val="2"/>
          <w:sz w:val="21"/>
          <w:szCs w:val="20"/>
          <w:highlight w:val="none"/>
          <w:lang w:val="en-US" w:eastAsia="zh-CN" w:bidi="ar-SA"/>
        </w:rPr>
      </w:pPr>
    </w:p>
    <w:p w14:paraId="5975EA4D">
      <w:pPr>
        <w:spacing w:before="7" w:after="120"/>
        <w:rPr>
          <w:rFonts w:hint="eastAsia" w:ascii="宋体" w:hAnsi="宋体" w:eastAsia="宋体" w:cs="宋体"/>
          <w:color w:val="auto"/>
          <w:kern w:val="2"/>
          <w:sz w:val="21"/>
          <w:szCs w:val="20"/>
          <w:highlight w:val="none"/>
          <w:lang w:val="en-US" w:eastAsia="zh-CN" w:bidi="ar-SA"/>
        </w:rPr>
      </w:pPr>
    </w:p>
    <w:p w14:paraId="22C6DA47">
      <w:pPr>
        <w:tabs>
          <w:tab w:val="left" w:pos="5352"/>
          <w:tab w:val="left" w:pos="6192"/>
          <w:tab w:val="left" w:pos="7032"/>
        </w:tabs>
        <w:spacing w:before="36" w:after="120"/>
        <w:ind w:left="4721"/>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年</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月</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日</w:t>
      </w:r>
    </w:p>
    <w:p w14:paraId="7DAE6DBD">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2B71BB30">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4C3F38EC">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52A484D3">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1058235E">
      <w:pPr>
        <w:spacing w:line="360" w:lineRule="auto"/>
        <w:rPr>
          <w:rFonts w:hint="eastAsia" w:ascii="宋体" w:hAnsi="宋体" w:eastAsia="宋体" w:cs="宋体"/>
          <w:color w:val="auto"/>
          <w:sz w:val="21"/>
          <w:szCs w:val="21"/>
          <w:highlight w:val="none"/>
        </w:rPr>
        <w:sectPr>
          <w:pgSz w:w="11905" w:h="16838"/>
          <w:pgMar w:top="1417" w:right="1417" w:bottom="1417" w:left="1417" w:header="992" w:footer="1134" w:gutter="0"/>
          <w:pgNumType w:fmt="decimal"/>
          <w:cols w:space="720" w:num="1"/>
          <w:rtlGutter w:val="0"/>
          <w:docGrid w:linePitch="312" w:charSpace="0"/>
        </w:sectPr>
      </w:pPr>
      <w:r>
        <w:rPr>
          <w:rFonts w:hint="eastAsia" w:ascii="宋体" w:hAnsi="宋体" w:eastAsia="宋体" w:cs="宋体"/>
          <w:b/>
          <w:bCs/>
          <w:color w:val="auto"/>
          <w:kern w:val="2"/>
          <w:sz w:val="21"/>
          <w:szCs w:val="21"/>
          <w:highlight w:val="none"/>
          <w:lang w:val="en-US" w:eastAsia="zh-CN" w:bidi="ar-SA"/>
        </w:rPr>
        <w:t>注：投标人如未授权代理人，则应在投标文件中提供本法定代表人身份证明。反之，则无需在投标文件中提供法定代表人身份证明。</w:t>
      </w:r>
    </w:p>
    <w:p w14:paraId="1BFBB5C1">
      <w:pPr>
        <w:keepNext/>
        <w:keepLines/>
        <w:spacing w:before="260" w:after="260" w:line="416" w:lineRule="auto"/>
        <w:jc w:val="center"/>
        <w:outlineLvl w:val="1"/>
        <w:rPr>
          <w:rFonts w:hint="eastAsia" w:ascii="宋体" w:hAnsi="宋体" w:eastAsia="宋体" w:cs="宋体"/>
          <w:b/>
          <w:bCs/>
          <w:color w:val="auto"/>
          <w:kern w:val="2"/>
          <w:sz w:val="30"/>
          <w:szCs w:val="30"/>
          <w:highlight w:val="none"/>
          <w:lang w:val="en-US" w:eastAsia="zh-CN" w:bidi="ar-SA"/>
        </w:rPr>
      </w:pPr>
      <w:bookmarkStart w:id="2089" w:name="_Toc7691"/>
      <w:bookmarkStart w:id="2090" w:name="_Toc19687"/>
      <w:bookmarkStart w:id="2091" w:name="_Toc31215"/>
      <w:bookmarkStart w:id="2092" w:name="_Toc24491"/>
      <w:bookmarkStart w:id="2093" w:name="_Toc743"/>
      <w:bookmarkStart w:id="2094" w:name="_Toc392941004"/>
      <w:bookmarkStart w:id="2095" w:name="_Toc14884"/>
      <w:bookmarkStart w:id="2096" w:name="_Toc28002"/>
      <w:r>
        <w:rPr>
          <w:rFonts w:hint="eastAsia" w:ascii="宋体" w:hAnsi="宋体" w:eastAsia="宋体" w:cs="宋体"/>
          <w:b/>
          <w:bCs/>
          <w:color w:val="auto"/>
          <w:kern w:val="2"/>
          <w:sz w:val="30"/>
          <w:szCs w:val="30"/>
          <w:highlight w:val="none"/>
          <w:lang w:val="en-US" w:eastAsia="zh-CN" w:bidi="ar-SA"/>
        </w:rPr>
        <w:t>二、授权委托书</w:t>
      </w:r>
      <w:bookmarkEnd w:id="2089"/>
      <w:bookmarkEnd w:id="2090"/>
      <w:bookmarkEnd w:id="2091"/>
      <w:bookmarkEnd w:id="2092"/>
      <w:bookmarkEnd w:id="2093"/>
      <w:bookmarkEnd w:id="2094"/>
      <w:bookmarkEnd w:id="2095"/>
      <w:bookmarkEnd w:id="2096"/>
    </w:p>
    <w:p w14:paraId="5D463C5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（投标人名称）的法定代表人，现委托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（姓名）为我方代理人。代理人根据授权，以我方名义签署、澄清确认、递交、撤回、修改</w:t>
      </w:r>
      <w:r>
        <w:rPr>
          <w:rFonts w:hint="eastAsia" w:ascii="宋体" w:hAnsi="宋体" w:eastAsia="宋体" w:cs="宋体"/>
          <w:color w:val="auto"/>
          <w:sz w:val="21"/>
          <w:szCs w:val="21"/>
          <w:highlight w:val="none"/>
          <w:u w:val="single"/>
          <w:lang w:val="en-US" w:eastAsia="zh-CN"/>
        </w:rPr>
        <w:t xml:space="preserve">            （项目名称）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标段名称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投标文件、签订合同和处理有关事宜，其法律后果由我方承担。</w:t>
      </w:r>
    </w:p>
    <w:p w14:paraId="5B88623D">
      <w:pPr>
        <w:widowControl w:val="0"/>
        <w:wordWrap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委托期限：本授权书于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日签字生效，本授权书至投标有效期结束前始终有效。</w:t>
      </w:r>
    </w:p>
    <w:p w14:paraId="64772698">
      <w:pPr>
        <w:widowControl/>
        <w:spacing w:line="520" w:lineRule="exact"/>
        <w:ind w:firstLine="420" w:firstLineChars="200"/>
        <w:jc w:val="left"/>
        <w:rPr>
          <w:rFonts w:hint="eastAsia" w:ascii="宋体" w:hAnsi="宋体" w:eastAsia="宋体" w:cs="宋体"/>
          <w:color w:val="auto"/>
          <w:sz w:val="21"/>
          <w:szCs w:val="21"/>
          <w:highlight w:val="none"/>
          <w:u w:val="single"/>
        </w:rPr>
      </w:pPr>
    </w:p>
    <w:p w14:paraId="4C9077EB">
      <w:pPr>
        <w:widowControl/>
        <w:spacing w:line="520" w:lineRule="exact"/>
        <w:jc w:val="right"/>
        <w:rPr>
          <w:rFonts w:hint="eastAsia" w:ascii="宋体" w:hAnsi="宋体" w:eastAsia="宋体" w:cs="宋体"/>
          <w:color w:val="auto"/>
          <w:sz w:val="21"/>
          <w:szCs w:val="21"/>
          <w:highlight w:val="none"/>
        </w:rPr>
      </w:pPr>
    </w:p>
    <w:p w14:paraId="428CF25D">
      <w:pPr>
        <w:widowControl/>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投标人名称：（盖单位章）</w:t>
      </w:r>
    </w:p>
    <w:p w14:paraId="4C441B31">
      <w:pPr>
        <w:widowControl/>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法定代表人</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val="en-US" w:eastAsia="zh-CN"/>
        </w:rPr>
        <w:t>或盖章</w:t>
      </w:r>
      <w:r>
        <w:rPr>
          <w:rFonts w:hint="eastAsia" w:ascii="宋体" w:hAnsi="宋体" w:eastAsia="宋体" w:cs="宋体"/>
          <w:color w:val="auto"/>
          <w:sz w:val="21"/>
          <w:szCs w:val="21"/>
          <w:highlight w:val="none"/>
        </w:rPr>
        <w:t>）</w:t>
      </w:r>
    </w:p>
    <w:p w14:paraId="2C8988E4">
      <w:pPr>
        <w:widowControl/>
        <w:spacing w:line="520" w:lineRule="exact"/>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身份证号码：</w:t>
      </w:r>
    </w:p>
    <w:p w14:paraId="62B8858F">
      <w:pPr>
        <w:widowControl/>
        <w:spacing w:line="520" w:lineRule="exact"/>
        <w:jc w:val="center"/>
        <w:rPr>
          <w:rFonts w:hint="eastAsia" w:ascii="宋体" w:hAnsi="宋体" w:eastAsia="宋体" w:cs="宋体"/>
          <w:color w:val="auto"/>
          <w:sz w:val="21"/>
          <w:szCs w:val="21"/>
          <w:highlight w:val="none"/>
        </w:rPr>
      </w:pPr>
    </w:p>
    <w:p w14:paraId="2544B715">
      <w:pPr>
        <w:widowControl/>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委托代理人：（签字</w:t>
      </w:r>
      <w:r>
        <w:rPr>
          <w:rFonts w:hint="eastAsia" w:ascii="宋体" w:hAnsi="宋体" w:eastAsia="宋体" w:cs="宋体"/>
          <w:color w:val="auto"/>
          <w:sz w:val="21"/>
          <w:szCs w:val="21"/>
          <w:highlight w:val="none"/>
          <w:lang w:val="en-US" w:eastAsia="zh-CN"/>
        </w:rPr>
        <w:t>或盖章</w:t>
      </w:r>
      <w:r>
        <w:rPr>
          <w:rFonts w:hint="eastAsia" w:ascii="宋体" w:hAnsi="宋体" w:eastAsia="宋体" w:cs="宋体"/>
          <w:color w:val="auto"/>
          <w:sz w:val="21"/>
          <w:szCs w:val="21"/>
          <w:highlight w:val="none"/>
        </w:rPr>
        <w:t>）</w:t>
      </w:r>
    </w:p>
    <w:p w14:paraId="5FACCD16">
      <w:pPr>
        <w:widowControl/>
        <w:spacing w:line="520" w:lineRule="exact"/>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身份证号码：</w:t>
      </w:r>
    </w:p>
    <w:p w14:paraId="3AB75B3D">
      <w:pPr>
        <w:widowControl/>
        <w:spacing w:line="520" w:lineRule="exact"/>
        <w:ind w:firstLine="3360" w:firstLineChars="1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个人手机号码：</w:t>
      </w:r>
    </w:p>
    <w:p w14:paraId="35138353">
      <w:pPr>
        <w:widowControl/>
        <w:spacing w:line="520" w:lineRule="exact"/>
        <w:ind w:firstLine="3360" w:firstLineChars="1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办公电话：</w:t>
      </w:r>
    </w:p>
    <w:p w14:paraId="30CA18E1">
      <w:pPr>
        <w:widowControl/>
        <w:spacing w:line="520" w:lineRule="exact"/>
        <w:ind w:firstLine="3360" w:firstLineChars="1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p w14:paraId="100B4626">
      <w:pPr>
        <w:widowControl/>
        <w:spacing w:line="520" w:lineRule="exact"/>
        <w:ind w:firstLine="3360" w:firstLineChars="1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联系地址：</w:t>
      </w:r>
    </w:p>
    <w:p w14:paraId="5C31899C">
      <w:pPr>
        <w:widowControl/>
        <w:spacing w:line="520" w:lineRule="exact"/>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年 月 日</w:t>
      </w:r>
    </w:p>
    <w:p w14:paraId="03218426">
      <w:pPr>
        <w:widowControl/>
        <w:spacing w:line="480" w:lineRule="exact"/>
        <w:jc w:val="left"/>
        <w:rPr>
          <w:rFonts w:hint="eastAsia" w:ascii="宋体" w:hAnsi="宋体" w:eastAsia="宋体" w:cs="宋体"/>
          <w:b/>
          <w:bCs/>
          <w:color w:val="auto"/>
          <w:szCs w:val="22"/>
          <w:highlight w:val="none"/>
        </w:rPr>
      </w:pPr>
    </w:p>
    <w:p w14:paraId="0E204557">
      <w:pPr>
        <w:widowControl/>
        <w:spacing w:line="24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注：投标人如授权代理人，则应在投标文件中需提供本授权委托书，并后附委托代理人身份证、劳动合同、依法缴纳社会保险证明（或具有其它有效证明其为本单位人员身份的文件）、</w:t>
      </w:r>
      <w:r>
        <w:rPr>
          <w:rFonts w:hint="eastAsia" w:ascii="宋体" w:hAnsi="宋体" w:eastAsia="宋体" w:cs="宋体"/>
          <w:b/>
          <w:bCs/>
          <w:color w:val="auto"/>
          <w:szCs w:val="21"/>
          <w:highlight w:val="none"/>
          <w:lang w:eastAsia="zh-CN"/>
        </w:rPr>
        <w:t>全国</w:t>
      </w:r>
      <w:r>
        <w:rPr>
          <w:rFonts w:hint="eastAsia" w:ascii="宋体" w:hAnsi="宋体" w:eastAsia="宋体" w:cs="宋体"/>
          <w:b/>
          <w:bCs/>
          <w:color w:val="auto"/>
          <w:szCs w:val="21"/>
          <w:highlight w:val="none"/>
        </w:rPr>
        <w:t>水利建设市场监管平台网页公示证明材料，法定代表人身份证等材料原件扫描件。反之，则无需在投标文件中提供本授权委托书及其要求的相关证明材料。</w:t>
      </w:r>
    </w:p>
    <w:p w14:paraId="1CB6B305">
      <w:pPr>
        <w:widowControl/>
        <w:kinsoku/>
        <w:wordWrap/>
        <w:overflowPunct/>
        <w:topLinePunct w:val="0"/>
        <w:autoSpaceDE/>
        <w:autoSpaceDN/>
        <w:bidi w:val="0"/>
        <w:adjustRightInd/>
        <w:spacing w:before="0" w:after="0" w:line="240" w:lineRule="auto"/>
        <w:ind w:firstLine="0" w:firstLineChars="0"/>
        <w:jc w:val="left"/>
        <w:outlineLvl w:val="9"/>
        <w:rPr>
          <w:rFonts w:hint="eastAsia" w:ascii="宋体" w:hAnsi="宋体" w:eastAsia="宋体" w:cs="宋体"/>
          <w:b/>
          <w:bCs/>
          <w:color w:val="auto"/>
          <w:kern w:val="0"/>
          <w:sz w:val="32"/>
          <w:szCs w:val="20"/>
          <w:highlight w:val="none"/>
          <w:lang w:val="en-US" w:eastAsia="zh-CN"/>
        </w:rPr>
      </w:pPr>
      <w:bookmarkStart w:id="2097" w:name="_Toc1047"/>
      <w:bookmarkStart w:id="2098" w:name="_Toc19916"/>
      <w:bookmarkStart w:id="2099" w:name="_Toc4848"/>
      <w:bookmarkStart w:id="2100" w:name="_Toc31112"/>
      <w:bookmarkStart w:id="2101" w:name="_Toc8041"/>
      <w:bookmarkStart w:id="2102" w:name="_Toc25435"/>
      <w:r>
        <w:rPr>
          <w:rFonts w:hint="eastAsia" w:ascii="宋体" w:hAnsi="宋体" w:eastAsia="宋体" w:cs="宋体"/>
          <w:b/>
          <w:bCs/>
          <w:color w:val="auto"/>
          <w:kern w:val="0"/>
          <w:sz w:val="32"/>
          <w:szCs w:val="20"/>
          <w:highlight w:val="none"/>
          <w:lang w:val="en-US" w:eastAsia="zh-CN"/>
        </w:rPr>
        <w:br w:type="page"/>
      </w:r>
    </w:p>
    <w:p w14:paraId="7B99711C">
      <w:pPr>
        <w:widowControl w:val="0"/>
        <w:kinsoku/>
        <w:wordWrap w:val="0"/>
        <w:overflowPunct/>
        <w:topLinePunct w:val="0"/>
        <w:autoSpaceDE/>
        <w:autoSpaceDN/>
        <w:bidi w:val="0"/>
        <w:adjustRightInd/>
        <w:spacing w:before="50" w:after="50" w:line="500" w:lineRule="exact"/>
        <w:ind w:firstLine="643" w:firstLineChars="200"/>
        <w:jc w:val="center"/>
        <w:outlineLvl w:val="1"/>
        <w:rPr>
          <w:rFonts w:hint="eastAsia" w:ascii="宋体" w:hAnsi="宋体" w:eastAsia="宋体" w:cs="宋体"/>
          <w:b/>
          <w:bCs/>
          <w:color w:val="auto"/>
          <w:kern w:val="0"/>
          <w:sz w:val="32"/>
          <w:szCs w:val="20"/>
          <w:highlight w:val="none"/>
        </w:rPr>
      </w:pPr>
      <w:bookmarkStart w:id="2103" w:name="_Toc15313"/>
      <w:r>
        <w:rPr>
          <w:rFonts w:hint="eastAsia" w:ascii="宋体" w:hAnsi="宋体" w:eastAsia="宋体" w:cs="宋体"/>
          <w:b/>
          <w:bCs/>
          <w:color w:val="auto"/>
          <w:kern w:val="0"/>
          <w:sz w:val="32"/>
          <w:szCs w:val="20"/>
          <w:highlight w:val="none"/>
          <w:lang w:val="en-US" w:eastAsia="zh-CN"/>
        </w:rPr>
        <w:t>三</w:t>
      </w:r>
      <w:r>
        <w:rPr>
          <w:rFonts w:hint="eastAsia" w:ascii="宋体" w:hAnsi="宋体" w:eastAsia="宋体" w:cs="宋体"/>
          <w:b/>
          <w:bCs/>
          <w:color w:val="auto"/>
          <w:kern w:val="0"/>
          <w:sz w:val="32"/>
          <w:szCs w:val="20"/>
          <w:highlight w:val="none"/>
        </w:rPr>
        <w:t>、投标保证金交纳证明</w:t>
      </w:r>
      <w:bookmarkEnd w:id="2103"/>
    </w:p>
    <w:p w14:paraId="20DD2989">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0"/>
          <w:highlight w:val="none"/>
          <w:u w:val="single"/>
        </w:rPr>
      </w:pPr>
    </w:p>
    <w:p w14:paraId="0609123C">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（招标人名称）：</w:t>
      </w:r>
    </w:p>
    <w:p w14:paraId="61B7D9FA">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p>
    <w:p w14:paraId="49EBE5C5">
      <w:pPr>
        <w:pageBreakBefore w:val="0"/>
        <w:widowControl w:val="0"/>
        <w:kinsoku/>
        <w:wordWrap w:val="0"/>
        <w:overflowPunct/>
        <w:topLinePunct w:val="0"/>
        <w:autoSpaceDE w:val="0"/>
        <w:autoSpaceDN w:val="0"/>
        <w:bidi w:val="0"/>
        <w:adjustRightInd w:val="0"/>
        <w:spacing w:line="360" w:lineRule="auto"/>
        <w:ind w:right="0" w:rightChars="0"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8C2D1B4">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p>
    <w:p w14:paraId="700E1C21">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p>
    <w:p w14:paraId="5FAB5FDB">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p>
    <w:p w14:paraId="7C861EEA">
      <w:pPr>
        <w:pageBreakBefore w:val="0"/>
        <w:widowControl w:val="0"/>
        <w:kinsoku/>
        <w:wordWrap w:val="0"/>
        <w:overflowPunct/>
        <w:topLinePunct w:val="0"/>
        <w:autoSpaceDE w:val="0"/>
        <w:autoSpaceDN w:val="0"/>
        <w:bidi w:val="0"/>
        <w:adjustRightInd w:val="0"/>
        <w:spacing w:line="360" w:lineRule="auto"/>
        <w:ind w:right="0" w:rightChars="0"/>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投标人名称：</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（盖单位章）</w:t>
      </w:r>
    </w:p>
    <w:p w14:paraId="7C3770B6">
      <w:pPr>
        <w:pageBreakBefore w:val="0"/>
        <w:widowControl w:val="0"/>
        <w:kinsoku/>
        <w:wordWrap w:val="0"/>
        <w:overflowPunct/>
        <w:topLinePunct w:val="0"/>
        <w:autoSpaceDE w:val="0"/>
        <w:autoSpaceDN w:val="0"/>
        <w:bidi w:val="0"/>
        <w:adjustRightInd w:val="0"/>
        <w:spacing w:line="360" w:lineRule="auto"/>
        <w:ind w:right="0" w:rightChars="0"/>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法定代表人或其委托代理人：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r>
        <w:rPr>
          <w:rFonts w:hint="eastAsia" w:ascii="宋体" w:hAnsi="宋体" w:eastAsia="宋体" w:cs="宋体"/>
          <w:color w:val="auto"/>
          <w:kern w:val="0"/>
          <w:sz w:val="21"/>
          <w:szCs w:val="20"/>
          <w:highlight w:val="none"/>
          <w:lang w:val="en-US" w:eastAsia="zh-CN"/>
        </w:rPr>
        <w:t>或盖章</w:t>
      </w:r>
      <w:r>
        <w:rPr>
          <w:rFonts w:hint="eastAsia" w:ascii="宋体" w:hAnsi="宋体" w:eastAsia="宋体" w:cs="宋体"/>
          <w:color w:val="auto"/>
          <w:kern w:val="0"/>
          <w:sz w:val="21"/>
          <w:szCs w:val="20"/>
          <w:highlight w:val="none"/>
        </w:rPr>
        <w:t>）</w:t>
      </w:r>
    </w:p>
    <w:p w14:paraId="30CD79D3">
      <w:pPr>
        <w:pageBreakBefore w:val="0"/>
        <w:widowControl w:val="0"/>
        <w:kinsoku/>
        <w:wordWrap w:val="0"/>
        <w:overflowPunct/>
        <w:topLinePunct w:val="0"/>
        <w:autoSpaceDE w:val="0"/>
        <w:autoSpaceDN w:val="0"/>
        <w:bidi w:val="0"/>
        <w:adjustRightInd w:val="0"/>
        <w:spacing w:line="360" w:lineRule="auto"/>
        <w:ind w:right="0" w:rightChars="0" w:firstLine="5124" w:firstLineChars="244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日</w:t>
      </w:r>
    </w:p>
    <w:p w14:paraId="69E05757">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18"/>
          <w:szCs w:val="20"/>
          <w:highlight w:val="none"/>
        </w:rPr>
      </w:pPr>
      <w:r>
        <w:rPr>
          <w:rFonts w:hint="eastAsia" w:ascii="宋体" w:hAnsi="宋体" w:eastAsia="宋体" w:cs="宋体"/>
          <w:color w:val="auto"/>
          <w:kern w:val="0"/>
          <w:sz w:val="18"/>
          <w:szCs w:val="20"/>
          <w:highlight w:val="none"/>
        </w:rPr>
        <mc:AlternateContent>
          <mc:Choice Requires="wps">
            <w:drawing>
              <wp:anchor distT="0" distB="0" distL="114300" distR="114300" simplePos="0" relativeHeight="251662336"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16" name="直接连接符 16"/>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95pt;margin-top:14.45pt;height:0.75pt;width:442.7pt;z-index:251662336;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vhWkjWAAAACAEAAA8AAAAAAAAAAQAgAAAAIgAAAGRycy9kb3ducmV2&#10;LnhtbFBLAQIUABQAAAAIAIdO4kCc9+0M/gEAAPkDAAAOAAAAAAAAAAEAIAAAACUBAABkcnMvZTJv&#10;RG9jLnhtbFBLBQYAAAAABgAGAFkBAACVBQAAAAA=&#10;">
                <v:fill on="f" focussize="0,0"/>
                <v:stroke weight="2.5pt" color="#000000" joinstyle="round" dashstyle="1 1"/>
                <v:imagedata o:title=""/>
                <o:lock v:ext="edit" aspectratio="f"/>
              </v:line>
            </w:pict>
          </mc:Fallback>
        </mc:AlternateContent>
      </w:r>
    </w:p>
    <w:p w14:paraId="520DD864">
      <w:pPr>
        <w:pageBreakBefore w:val="0"/>
        <w:widowControl w:val="0"/>
        <w:kinsoku/>
        <w:wordWrap w:val="0"/>
        <w:overflowPunct/>
        <w:topLinePunct w:val="0"/>
        <w:autoSpaceDE w:val="0"/>
        <w:autoSpaceDN w:val="0"/>
        <w:bidi w:val="0"/>
        <w:adjustRightInd w:val="0"/>
        <w:spacing w:line="400" w:lineRule="exact"/>
        <w:ind w:right="-34" w:rightChars="-16" w:firstLine="0"/>
        <w:jc w:val="center"/>
        <w:textAlignment w:val="baseline"/>
        <w:rPr>
          <w:rFonts w:hint="eastAsia" w:ascii="宋体" w:hAnsi="宋体" w:eastAsia="宋体" w:cs="宋体"/>
          <w:b/>
          <w:color w:val="auto"/>
          <w:kern w:val="2"/>
          <w:sz w:val="21"/>
          <w:szCs w:val="24"/>
          <w:highlight w:val="none"/>
          <w:lang w:val="en-US" w:eastAsia="zh-CN" w:bidi="ar-SA"/>
        </w:rPr>
      </w:pPr>
      <w:r>
        <w:rPr>
          <w:rFonts w:hint="eastAsia" w:ascii="宋体" w:hAnsi="宋体" w:eastAsia="宋体" w:cs="宋体"/>
          <w:b/>
          <w:color w:val="auto"/>
          <w:kern w:val="2"/>
          <w:sz w:val="21"/>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4" name="矩形 4"/>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wps:txbx>
                      <wps:bodyPr wrap="square" upright="1"/>
                    </wps:wsp>
                  </a:graphicData>
                </a:graphic>
              </wp:anchor>
            </w:drawing>
          </mc:Choice>
          <mc:Fallback>
            <w:pict>
              <v:rect id="_x0000_s1026" o:spid="_x0000_s1026" o:spt="1" style="position:absolute;left:0pt;margin-left:0.65pt;margin-top:3.9pt;height:249.6pt;width:432pt;z-index:251663360;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n6pz71wAAAAcBAAAPAAAA&#10;AAAAAAEAIAAAACIAAABkcnMvZG93bnJldi54bWxQSwECFAAUAAAACACHTuJAO8t8kBYCAABJBAAA&#10;DgAAAAAAAAABACAAAAAmAQAAZHJzL2Uyb0RvYy54bWxQSwUGAAAAAAYABgBZAQAArgUAAAAA&#10;">
                <v:fill on="t" focussize="0,0"/>
                <v:stroke weight="1.5pt" color="#000000" joinstyle="miter" dashstyle="dashDot"/>
                <v:imagedata o:title=""/>
                <o:lock v:ext="edit" aspectratio="f"/>
                <v:textbo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v:textbox>
              </v:rect>
            </w:pict>
          </mc:Fallback>
        </mc:AlternateContent>
      </w:r>
    </w:p>
    <w:p w14:paraId="76E8F008">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472FB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7315BD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0866ED9A">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73D01D4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0726D8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3708D2A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69A6D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72D337F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6E7B4B2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7C1DB0E0">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8"/>
          <w:szCs w:val="20"/>
          <w:highlight w:val="none"/>
        </w:rPr>
      </w:pPr>
    </w:p>
    <w:p w14:paraId="16F1B7C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8"/>
          <w:szCs w:val="20"/>
          <w:highlight w:val="none"/>
        </w:rPr>
      </w:pPr>
    </w:p>
    <w:p w14:paraId="1B2EABB8">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8"/>
          <w:szCs w:val="20"/>
          <w:highlight w:val="none"/>
        </w:rPr>
      </w:pPr>
    </w:p>
    <w:bookmarkEnd w:id="2097"/>
    <w:bookmarkEnd w:id="2098"/>
    <w:bookmarkEnd w:id="2099"/>
    <w:bookmarkEnd w:id="2100"/>
    <w:bookmarkEnd w:id="2101"/>
    <w:bookmarkEnd w:id="2102"/>
    <w:p w14:paraId="797D8C00">
      <w:pPr>
        <w:widowControl/>
        <w:spacing w:line="480" w:lineRule="exact"/>
        <w:jc w:val="left"/>
        <w:rPr>
          <w:rFonts w:hint="eastAsia" w:ascii="宋体" w:hAnsi="宋体" w:eastAsia="宋体" w:cs="宋体"/>
          <w:b/>
          <w:bCs/>
          <w:color w:val="auto"/>
          <w:sz w:val="24"/>
          <w:szCs w:val="24"/>
          <w:highlight w:val="none"/>
        </w:rPr>
      </w:pPr>
    </w:p>
    <w:p w14:paraId="20F5C347">
      <w:pPr>
        <w:widowControl/>
        <w:spacing w:line="480" w:lineRule="exact"/>
        <w:jc w:val="left"/>
        <w:rPr>
          <w:rFonts w:hint="eastAsia" w:ascii="宋体" w:hAnsi="宋体" w:eastAsia="宋体" w:cs="宋体"/>
          <w:b/>
          <w:bCs/>
          <w:color w:val="auto"/>
          <w:sz w:val="24"/>
          <w:szCs w:val="24"/>
          <w:highlight w:val="none"/>
        </w:rPr>
      </w:pPr>
    </w:p>
    <w:p w14:paraId="5D78C095">
      <w:pPr>
        <w:widowControl/>
        <w:spacing w:line="480" w:lineRule="exact"/>
        <w:jc w:val="left"/>
        <w:rPr>
          <w:rFonts w:hint="eastAsia" w:ascii="宋体" w:hAnsi="宋体" w:eastAsia="宋体" w:cs="宋体"/>
          <w:b/>
          <w:bCs/>
          <w:color w:val="auto"/>
          <w:sz w:val="24"/>
          <w:szCs w:val="24"/>
          <w:highlight w:val="none"/>
        </w:rPr>
      </w:pPr>
    </w:p>
    <w:p w14:paraId="3627A7BD">
      <w:pPr>
        <w:widowControl/>
        <w:spacing w:line="480" w:lineRule="exact"/>
        <w:jc w:val="left"/>
        <w:rPr>
          <w:rFonts w:hint="eastAsia" w:ascii="宋体" w:hAnsi="宋体" w:eastAsia="宋体" w:cs="宋体"/>
          <w:b/>
          <w:bCs/>
          <w:color w:val="auto"/>
          <w:sz w:val="24"/>
          <w:szCs w:val="24"/>
          <w:highlight w:val="none"/>
        </w:rPr>
      </w:pPr>
    </w:p>
    <w:p w14:paraId="74216DC9">
      <w:pPr>
        <w:widowControl/>
        <w:jc w:val="left"/>
        <w:rPr>
          <w:rFonts w:hint="eastAsia" w:ascii="宋体" w:hAnsi="宋体" w:eastAsia="宋体" w:cs="宋体"/>
          <w:b/>
          <w:bCs/>
          <w:color w:val="auto"/>
          <w:sz w:val="24"/>
          <w:szCs w:val="24"/>
          <w:highlight w:val="none"/>
        </w:rPr>
      </w:pPr>
    </w:p>
    <w:p w14:paraId="7DAB77FD">
      <w:pPr>
        <w:keepNext/>
        <w:keepLines/>
        <w:adjustRightInd w:val="0"/>
        <w:snapToGrid w:val="0"/>
        <w:spacing w:before="0" w:after="0" w:line="360" w:lineRule="auto"/>
        <w:ind w:firstLine="0" w:firstLineChars="0"/>
        <w:jc w:val="center"/>
        <w:outlineLvl w:val="1"/>
        <w:rPr>
          <w:rFonts w:hint="eastAsia" w:ascii="宋体" w:hAnsi="宋体" w:eastAsia="宋体" w:cs="宋体"/>
          <w:b/>
          <w:bCs w:val="0"/>
          <w:color w:val="auto"/>
          <w:kern w:val="2"/>
          <w:sz w:val="32"/>
          <w:szCs w:val="32"/>
          <w:highlight w:val="none"/>
          <w:lang w:val="en-US" w:eastAsia="zh-CN" w:bidi="ar-SA"/>
        </w:rPr>
      </w:pPr>
      <w:bookmarkStart w:id="2104" w:name="_Toc11070"/>
      <w:bookmarkStart w:id="2105" w:name="_Toc1174"/>
      <w:bookmarkStart w:id="2106" w:name="_Toc29401"/>
      <w:r>
        <w:rPr>
          <w:rFonts w:hint="eastAsia" w:ascii="宋体" w:hAnsi="宋体" w:eastAsia="宋体" w:cs="宋体"/>
          <w:b/>
          <w:bCs w:val="0"/>
          <w:color w:val="auto"/>
          <w:kern w:val="2"/>
          <w:sz w:val="32"/>
          <w:szCs w:val="32"/>
          <w:highlight w:val="none"/>
          <w:lang w:val="en-US" w:eastAsia="zh-CN" w:bidi="ar-SA"/>
        </w:rPr>
        <w:t>四、已标价工程量清单</w:t>
      </w:r>
      <w:bookmarkEnd w:id="2104"/>
      <w:bookmarkEnd w:id="2105"/>
      <w:bookmarkEnd w:id="2106"/>
    </w:p>
    <w:p w14:paraId="3EC4DD41">
      <w:pPr>
        <w:keepNext/>
        <w:keepLines/>
        <w:adjustRightInd w:val="0"/>
        <w:snapToGrid w:val="0"/>
        <w:spacing w:before="0" w:after="0" w:line="360" w:lineRule="auto"/>
        <w:outlineLvl w:val="9"/>
        <w:rPr>
          <w:rFonts w:hint="eastAsia" w:ascii="宋体" w:hAnsi="宋体" w:eastAsia="宋体" w:cs="宋体"/>
          <w:b/>
          <w:bCs w:val="0"/>
          <w:color w:val="auto"/>
          <w:kern w:val="2"/>
          <w:sz w:val="24"/>
          <w:szCs w:val="24"/>
          <w:highlight w:val="none"/>
          <w:lang w:val="en-US" w:eastAsia="zh-CN" w:bidi="ar-SA"/>
        </w:rPr>
      </w:pPr>
    </w:p>
    <w:p w14:paraId="4842826E">
      <w:pPr>
        <w:adjustRightInd w:val="0"/>
        <w:snapToGrid w:val="0"/>
        <w:spacing w:before="0" w:line="360" w:lineRule="auto"/>
        <w:rPr>
          <w:rFonts w:hint="eastAsia" w:ascii="宋体" w:hAnsi="宋体" w:eastAsia="宋体" w:cs="宋体"/>
          <w:b/>
          <w:color w:val="auto"/>
          <w:sz w:val="24"/>
          <w:szCs w:val="24"/>
          <w:highlight w:val="none"/>
        </w:rPr>
        <w:sectPr>
          <w:pgSz w:w="11905" w:h="16838"/>
          <w:pgMar w:top="1417" w:right="1417" w:bottom="1417" w:left="1417" w:header="992" w:footer="1134" w:gutter="0"/>
          <w:pgNumType w:fmt="decimal"/>
          <w:cols w:space="720" w:num="1"/>
          <w:rtlGutter w:val="0"/>
          <w:docGrid w:linePitch="312" w:charSpace="0"/>
        </w:sectPr>
      </w:pPr>
    </w:p>
    <w:bookmarkEnd w:id="2077"/>
    <w:p w14:paraId="306305AF">
      <w:pPr>
        <w:keepNext/>
        <w:keepLines/>
        <w:adjustRightInd w:val="0"/>
        <w:snapToGrid w:val="0"/>
        <w:spacing w:before="0" w:after="0" w:line="360" w:lineRule="auto"/>
        <w:jc w:val="center"/>
        <w:outlineLvl w:val="1"/>
        <w:rPr>
          <w:rFonts w:hint="eastAsia" w:ascii="宋体" w:hAnsi="宋体" w:eastAsia="宋体" w:cs="宋体"/>
          <w:b/>
          <w:bCs w:val="0"/>
          <w:color w:val="auto"/>
          <w:kern w:val="2"/>
          <w:sz w:val="32"/>
          <w:szCs w:val="32"/>
          <w:highlight w:val="none"/>
          <w:lang w:val="en-US" w:eastAsia="zh-CN" w:bidi="ar-SA"/>
        </w:rPr>
      </w:pPr>
      <w:bookmarkStart w:id="2107" w:name="_Toc27591"/>
      <w:bookmarkStart w:id="2108" w:name="_Toc672"/>
      <w:bookmarkStart w:id="2109" w:name="_Toc11337"/>
      <w:bookmarkStart w:id="2110" w:name="_Toc3451629"/>
      <w:r>
        <w:rPr>
          <w:rFonts w:hint="eastAsia" w:ascii="宋体" w:hAnsi="宋体" w:eastAsia="宋体" w:cs="宋体"/>
          <w:b/>
          <w:bCs w:val="0"/>
          <w:color w:val="auto"/>
          <w:kern w:val="2"/>
          <w:sz w:val="32"/>
          <w:szCs w:val="32"/>
          <w:highlight w:val="none"/>
          <w:lang w:val="en-US" w:eastAsia="zh-CN" w:bidi="ar-SA"/>
        </w:rPr>
        <w:t>五、施工组织设计</w:t>
      </w:r>
      <w:bookmarkEnd w:id="2107"/>
      <w:bookmarkEnd w:id="2108"/>
      <w:bookmarkEnd w:id="2109"/>
      <w:bookmarkEnd w:id="2110"/>
    </w:p>
    <w:p w14:paraId="3141A5CB">
      <w:pPr>
        <w:widowControl/>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w:t>
      </w:r>
      <w:r>
        <w:rPr>
          <w:rFonts w:hint="eastAsia" w:ascii="宋体" w:hAnsi="宋体" w:eastAsia="宋体" w:cs="宋体"/>
          <w:color w:val="auto"/>
          <w:sz w:val="21"/>
          <w:szCs w:val="21"/>
          <w:highlight w:val="none"/>
          <w:lang w:val="en-US" w:eastAsia="zh-CN"/>
        </w:rPr>
        <w:t>安全</w:t>
      </w:r>
      <w:r>
        <w:rPr>
          <w:rFonts w:hint="eastAsia" w:ascii="宋体" w:hAnsi="宋体" w:eastAsia="宋体" w:cs="宋体"/>
          <w:color w:val="auto"/>
          <w:sz w:val="21"/>
          <w:szCs w:val="21"/>
          <w:highlight w:val="none"/>
        </w:rPr>
        <w:t>度汛、文明施工、水土保持、环境保护管理方案。</w:t>
      </w:r>
    </w:p>
    <w:p w14:paraId="02C857BA">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p>
    <w:p w14:paraId="11C4514B">
      <w:pPr>
        <w:widowControl/>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（2）施工组织设计除采用文字表述外应附下列图表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图表及格式要求附后。</w:t>
      </w:r>
    </w:p>
    <w:p w14:paraId="7ADAC181">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附件一  拟投入本标段的主要施工设备表</w:t>
      </w:r>
    </w:p>
    <w:p w14:paraId="6D73F6ED">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附件二  拟投入本标段的试验和检测仪器设备表</w:t>
      </w:r>
    </w:p>
    <w:p w14:paraId="1C23908B">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附件三  拟投入本标段的劳动力计划表</w:t>
      </w:r>
    </w:p>
    <w:p w14:paraId="34713E27">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附件四  计划开工日期、完工日期和施工进度网络图</w:t>
      </w:r>
    </w:p>
    <w:p w14:paraId="70A4AD43">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附件五  施工总平面图</w:t>
      </w:r>
    </w:p>
    <w:p w14:paraId="53AA9741">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附件六  临时用地表</w:t>
      </w:r>
    </w:p>
    <w:p w14:paraId="2F2E6474">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59EA947C">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23E0FEE2">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3ECB2EB9">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34BA8776">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6D920ED6">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2AB0C382">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340D12FF">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69ADBED7">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3D35CEBE">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6186E8F3">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48999C3D">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149B4053">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27D7158C">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6EE7F307">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07A4A607">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206422B0">
      <w:pPr>
        <w:widowControl/>
        <w:jc w:val="left"/>
        <w:outlineLvl w:val="9"/>
        <w:rPr>
          <w:rFonts w:hint="eastAsia" w:ascii="宋体" w:hAnsi="宋体" w:eastAsia="宋体" w:cs="宋体"/>
          <w:color w:val="auto"/>
          <w:szCs w:val="22"/>
          <w:highlight w:val="none"/>
        </w:rPr>
      </w:pPr>
      <w:bookmarkStart w:id="2111" w:name="_Toc3451630"/>
      <w:bookmarkStart w:id="2112" w:name="_Toc3375"/>
      <w:bookmarkStart w:id="2113" w:name="_Toc10028"/>
      <w:bookmarkStart w:id="2114" w:name="_Toc36069922"/>
      <w:bookmarkStart w:id="2115" w:name="_Toc27080"/>
      <w:bookmarkStart w:id="2116" w:name="_Toc11517"/>
      <w:bookmarkStart w:id="2117" w:name="_Toc13929"/>
      <w:bookmarkStart w:id="2118" w:name="_Toc3267"/>
      <w:bookmarkStart w:id="2119" w:name="_Toc168476327"/>
      <w:bookmarkStart w:id="2120" w:name="_Toc168475924"/>
      <w:bookmarkStart w:id="2121" w:name="_Toc144974865"/>
      <w:bookmarkStart w:id="2122" w:name="_Toc221952073"/>
      <w:r>
        <w:rPr>
          <w:rFonts w:hint="eastAsia" w:ascii="宋体" w:hAnsi="宋体" w:eastAsia="宋体" w:cs="宋体"/>
          <w:color w:val="auto"/>
          <w:szCs w:val="22"/>
          <w:highlight w:val="none"/>
        </w:rPr>
        <w:br w:type="page"/>
      </w:r>
    </w:p>
    <w:p w14:paraId="0E860F25">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16"/>
          <w:highlight w:val="none"/>
          <w:lang w:val="en-US" w:eastAsia="zh-CN" w:bidi="ar-SA"/>
        </w:rPr>
      </w:pPr>
      <w:r>
        <w:rPr>
          <w:rFonts w:hint="eastAsia" w:ascii="宋体" w:hAnsi="宋体" w:eastAsia="宋体" w:cs="宋体"/>
          <w:b w:val="0"/>
          <w:bCs w:val="0"/>
          <w:color w:val="auto"/>
          <w:kern w:val="2"/>
          <w:sz w:val="21"/>
          <w:szCs w:val="16"/>
          <w:highlight w:val="none"/>
          <w:lang w:val="en-US" w:eastAsia="zh-CN" w:bidi="ar-SA"/>
        </w:rPr>
        <w:t>附件一：</w:t>
      </w:r>
      <w:bookmarkEnd w:id="2111"/>
      <w:bookmarkEnd w:id="2112"/>
      <w:bookmarkEnd w:id="2113"/>
      <w:bookmarkEnd w:id="2114"/>
      <w:bookmarkEnd w:id="2115"/>
      <w:bookmarkEnd w:id="2116"/>
      <w:bookmarkEnd w:id="2117"/>
      <w:bookmarkEnd w:id="2118"/>
    </w:p>
    <w:p w14:paraId="7C6AC576">
      <w:pPr>
        <w:widowControl/>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拟投入本标段的主要施工设备表</w:t>
      </w:r>
      <w:bookmarkEnd w:id="2119"/>
      <w:bookmarkEnd w:id="2120"/>
      <w:bookmarkEnd w:id="2121"/>
      <w:bookmarkEnd w:id="2122"/>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5"/>
        <w:gridCol w:w="1153"/>
        <w:gridCol w:w="920"/>
        <w:gridCol w:w="939"/>
        <w:gridCol w:w="713"/>
        <w:gridCol w:w="784"/>
        <w:gridCol w:w="1287"/>
        <w:gridCol w:w="801"/>
        <w:gridCol w:w="1128"/>
        <w:gridCol w:w="856"/>
      </w:tblGrid>
      <w:tr w14:paraId="0E68EE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04" w:hRule="atLeast"/>
        </w:trPr>
        <w:tc>
          <w:tcPr>
            <w:tcW w:w="705" w:type="dxa"/>
            <w:noWrap w:val="0"/>
            <w:vAlign w:val="center"/>
          </w:tcPr>
          <w:p w14:paraId="424E7F6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23" w:name="_Toc221952074"/>
            <w:r>
              <w:rPr>
                <w:rFonts w:hint="eastAsia" w:ascii="宋体" w:hAnsi="宋体" w:eastAsia="宋体" w:cs="宋体"/>
                <w:color w:val="auto"/>
                <w:szCs w:val="22"/>
                <w:highlight w:val="none"/>
              </w:rPr>
              <w:t>序号</w:t>
            </w:r>
            <w:bookmarkEnd w:id="2123"/>
          </w:p>
        </w:tc>
        <w:tc>
          <w:tcPr>
            <w:tcW w:w="1153" w:type="dxa"/>
            <w:noWrap w:val="0"/>
            <w:vAlign w:val="center"/>
          </w:tcPr>
          <w:p w14:paraId="538F16E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24" w:name="_Toc221952075"/>
            <w:r>
              <w:rPr>
                <w:rFonts w:hint="eastAsia" w:ascii="宋体" w:hAnsi="宋体" w:eastAsia="宋体" w:cs="宋体"/>
                <w:color w:val="auto"/>
                <w:szCs w:val="22"/>
                <w:highlight w:val="none"/>
              </w:rPr>
              <w:t>设备名称</w:t>
            </w:r>
            <w:bookmarkEnd w:id="2124"/>
          </w:p>
        </w:tc>
        <w:tc>
          <w:tcPr>
            <w:tcW w:w="920" w:type="dxa"/>
            <w:noWrap w:val="0"/>
            <w:vAlign w:val="center"/>
          </w:tcPr>
          <w:p w14:paraId="7214B6B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25" w:name="_Toc221952076"/>
            <w:r>
              <w:rPr>
                <w:rFonts w:hint="eastAsia" w:ascii="宋体" w:hAnsi="宋体" w:eastAsia="宋体" w:cs="宋体"/>
                <w:color w:val="auto"/>
                <w:szCs w:val="22"/>
                <w:highlight w:val="none"/>
              </w:rPr>
              <w:t>型号</w:t>
            </w:r>
            <w:bookmarkEnd w:id="2125"/>
            <w:bookmarkStart w:id="2126" w:name="_Toc221952077"/>
          </w:p>
          <w:p w14:paraId="6D52774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规格</w:t>
            </w:r>
            <w:bookmarkEnd w:id="2126"/>
          </w:p>
        </w:tc>
        <w:tc>
          <w:tcPr>
            <w:tcW w:w="939" w:type="dxa"/>
            <w:noWrap w:val="0"/>
            <w:vAlign w:val="center"/>
          </w:tcPr>
          <w:p w14:paraId="498FBDA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27" w:name="_Toc221952078"/>
            <w:r>
              <w:rPr>
                <w:rFonts w:hint="eastAsia" w:ascii="宋体" w:hAnsi="宋体" w:eastAsia="宋体" w:cs="宋体"/>
                <w:color w:val="auto"/>
                <w:szCs w:val="22"/>
                <w:highlight w:val="none"/>
              </w:rPr>
              <w:t>数量</w:t>
            </w:r>
            <w:bookmarkEnd w:id="2127"/>
          </w:p>
        </w:tc>
        <w:tc>
          <w:tcPr>
            <w:tcW w:w="713" w:type="dxa"/>
            <w:noWrap w:val="0"/>
            <w:vAlign w:val="center"/>
          </w:tcPr>
          <w:p w14:paraId="3F84697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28" w:name="_Toc221952079"/>
            <w:r>
              <w:rPr>
                <w:rFonts w:hint="eastAsia" w:ascii="宋体" w:hAnsi="宋体" w:eastAsia="宋体" w:cs="宋体"/>
                <w:color w:val="auto"/>
                <w:szCs w:val="22"/>
                <w:highlight w:val="none"/>
              </w:rPr>
              <w:t>国别</w:t>
            </w:r>
            <w:bookmarkEnd w:id="2128"/>
            <w:bookmarkStart w:id="2129" w:name="_Toc221952080"/>
            <w:r>
              <w:rPr>
                <w:rFonts w:hint="eastAsia" w:ascii="宋体" w:hAnsi="宋体" w:eastAsia="宋体" w:cs="宋体"/>
                <w:color w:val="auto"/>
                <w:szCs w:val="22"/>
                <w:highlight w:val="none"/>
              </w:rPr>
              <w:t>产地</w:t>
            </w:r>
            <w:bookmarkEnd w:id="2129"/>
          </w:p>
        </w:tc>
        <w:tc>
          <w:tcPr>
            <w:tcW w:w="784" w:type="dxa"/>
            <w:noWrap w:val="0"/>
            <w:vAlign w:val="center"/>
          </w:tcPr>
          <w:p w14:paraId="5141DE5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30" w:name="_Toc221952081"/>
            <w:r>
              <w:rPr>
                <w:rFonts w:hint="eastAsia" w:ascii="宋体" w:hAnsi="宋体" w:eastAsia="宋体" w:cs="宋体"/>
                <w:color w:val="auto"/>
                <w:szCs w:val="22"/>
                <w:highlight w:val="none"/>
              </w:rPr>
              <w:t>制造</w:t>
            </w:r>
            <w:bookmarkEnd w:id="2130"/>
            <w:bookmarkStart w:id="2131" w:name="_Toc221952082"/>
            <w:r>
              <w:rPr>
                <w:rFonts w:hint="eastAsia" w:ascii="宋体" w:hAnsi="宋体" w:eastAsia="宋体" w:cs="宋体"/>
                <w:color w:val="auto"/>
                <w:szCs w:val="22"/>
                <w:highlight w:val="none"/>
              </w:rPr>
              <w:t>年份</w:t>
            </w:r>
            <w:bookmarkEnd w:id="2131"/>
          </w:p>
        </w:tc>
        <w:tc>
          <w:tcPr>
            <w:tcW w:w="1287" w:type="dxa"/>
            <w:noWrap w:val="0"/>
            <w:vAlign w:val="center"/>
          </w:tcPr>
          <w:p w14:paraId="01EC81E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32" w:name="_Toc221952083"/>
            <w:r>
              <w:rPr>
                <w:rFonts w:hint="eastAsia" w:ascii="宋体" w:hAnsi="宋体" w:eastAsia="宋体" w:cs="宋体"/>
                <w:color w:val="auto"/>
                <w:szCs w:val="22"/>
                <w:highlight w:val="none"/>
              </w:rPr>
              <w:t>额定功率</w:t>
            </w:r>
          </w:p>
          <w:p w14:paraId="3A1A1BB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w:t>
            </w:r>
            <w:r>
              <w:rPr>
                <w:rFonts w:hint="eastAsia" w:ascii="宋体" w:hAnsi="宋体" w:eastAsia="宋体" w:cs="宋体"/>
                <w:color w:val="auto"/>
                <w:szCs w:val="22"/>
                <w:highlight w:val="none"/>
                <w:lang w:eastAsia="zh-CN"/>
              </w:rPr>
              <w:t>kW</w:t>
            </w:r>
            <w:r>
              <w:rPr>
                <w:rFonts w:hint="eastAsia" w:ascii="宋体" w:hAnsi="宋体" w:eastAsia="宋体" w:cs="宋体"/>
                <w:color w:val="auto"/>
                <w:szCs w:val="22"/>
                <w:highlight w:val="none"/>
              </w:rPr>
              <w:t>）</w:t>
            </w:r>
            <w:bookmarkEnd w:id="2132"/>
          </w:p>
        </w:tc>
        <w:tc>
          <w:tcPr>
            <w:tcW w:w="801" w:type="dxa"/>
            <w:noWrap w:val="0"/>
            <w:vAlign w:val="center"/>
          </w:tcPr>
          <w:p w14:paraId="49F1730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33" w:name="_Toc221952084"/>
            <w:r>
              <w:rPr>
                <w:rFonts w:hint="eastAsia" w:ascii="宋体" w:hAnsi="宋体" w:eastAsia="宋体" w:cs="宋体"/>
                <w:color w:val="auto"/>
                <w:szCs w:val="22"/>
                <w:highlight w:val="none"/>
              </w:rPr>
              <w:t>生产</w:t>
            </w:r>
            <w:bookmarkEnd w:id="2133"/>
            <w:bookmarkStart w:id="2134" w:name="_Toc221952085"/>
            <w:r>
              <w:rPr>
                <w:rFonts w:hint="eastAsia" w:ascii="宋体" w:hAnsi="宋体" w:eastAsia="宋体" w:cs="宋体"/>
                <w:color w:val="auto"/>
                <w:szCs w:val="22"/>
                <w:highlight w:val="none"/>
              </w:rPr>
              <w:t>能力</w:t>
            </w:r>
            <w:bookmarkEnd w:id="2134"/>
          </w:p>
        </w:tc>
        <w:tc>
          <w:tcPr>
            <w:tcW w:w="1128" w:type="dxa"/>
            <w:noWrap w:val="0"/>
            <w:vAlign w:val="center"/>
          </w:tcPr>
          <w:p w14:paraId="28ECE3A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35" w:name="_Toc221952086"/>
            <w:r>
              <w:rPr>
                <w:rFonts w:hint="eastAsia" w:ascii="宋体" w:hAnsi="宋体" w:eastAsia="宋体" w:cs="宋体"/>
                <w:color w:val="auto"/>
                <w:szCs w:val="22"/>
                <w:highlight w:val="none"/>
              </w:rPr>
              <w:t>用于施工</w:t>
            </w:r>
          </w:p>
          <w:p w14:paraId="1794582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部位</w:t>
            </w:r>
            <w:bookmarkEnd w:id="2135"/>
          </w:p>
        </w:tc>
        <w:tc>
          <w:tcPr>
            <w:tcW w:w="856" w:type="dxa"/>
            <w:noWrap w:val="0"/>
            <w:vAlign w:val="center"/>
          </w:tcPr>
          <w:p w14:paraId="5026814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36" w:name="_Toc221952087"/>
            <w:r>
              <w:rPr>
                <w:rFonts w:hint="eastAsia" w:ascii="宋体" w:hAnsi="宋体" w:eastAsia="宋体" w:cs="宋体"/>
                <w:color w:val="auto"/>
                <w:szCs w:val="22"/>
                <w:highlight w:val="none"/>
              </w:rPr>
              <w:t>备注</w:t>
            </w:r>
            <w:bookmarkEnd w:id="2136"/>
          </w:p>
        </w:tc>
      </w:tr>
      <w:tr w14:paraId="3629F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center"/>
          </w:tcPr>
          <w:p w14:paraId="34C0905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center"/>
          </w:tcPr>
          <w:p w14:paraId="36F6065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center"/>
          </w:tcPr>
          <w:p w14:paraId="5CEEAD7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center"/>
          </w:tcPr>
          <w:p w14:paraId="41CD15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center"/>
          </w:tcPr>
          <w:p w14:paraId="652D7FA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center"/>
          </w:tcPr>
          <w:p w14:paraId="7BD55A4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center"/>
          </w:tcPr>
          <w:p w14:paraId="41B8947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center"/>
          </w:tcPr>
          <w:p w14:paraId="6A82A3D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center"/>
          </w:tcPr>
          <w:p w14:paraId="35E3A0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center"/>
          </w:tcPr>
          <w:p w14:paraId="50D0799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97F24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705" w:type="dxa"/>
            <w:noWrap w:val="0"/>
            <w:vAlign w:val="center"/>
          </w:tcPr>
          <w:p w14:paraId="3CAE151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center"/>
          </w:tcPr>
          <w:p w14:paraId="0655A1C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center"/>
          </w:tcPr>
          <w:p w14:paraId="66ECB1D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center"/>
          </w:tcPr>
          <w:p w14:paraId="1D2BDC5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center"/>
          </w:tcPr>
          <w:p w14:paraId="6683B21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center"/>
          </w:tcPr>
          <w:p w14:paraId="2B1C256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center"/>
          </w:tcPr>
          <w:p w14:paraId="28277C7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center"/>
          </w:tcPr>
          <w:p w14:paraId="4F22663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center"/>
          </w:tcPr>
          <w:p w14:paraId="3EBCDA3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center"/>
          </w:tcPr>
          <w:p w14:paraId="5BCE5A0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D339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top"/>
          </w:tcPr>
          <w:p w14:paraId="53A8B73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2B840F8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545724B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7532EF8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7D25C5C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6E2A298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739D3D0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282CF13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3A75F5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7BFD8C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B45C3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705" w:type="dxa"/>
            <w:noWrap w:val="0"/>
            <w:vAlign w:val="top"/>
          </w:tcPr>
          <w:p w14:paraId="4A78C70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5BF345B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2F8A626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05FEB26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61D20A6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129D568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310AC6D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6101FF6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05D7D31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0B4F013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F752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top"/>
          </w:tcPr>
          <w:p w14:paraId="6561240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250EFE9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4973DE4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364F664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798CAD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5B8839D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5E787D4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7A5956E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28815A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6C593AB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0600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705" w:type="dxa"/>
            <w:noWrap w:val="0"/>
            <w:vAlign w:val="top"/>
          </w:tcPr>
          <w:p w14:paraId="6073D0A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1A9AADC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623BF31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1936FD1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54ECE0D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4D93F28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0CA3CC8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3BAB3F2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0E3D0CE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2397203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79E1F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top"/>
          </w:tcPr>
          <w:p w14:paraId="187117A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22EEC61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6062D9D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55D5FF3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5F529A7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06796E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390000E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6BC75F1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3E6C312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44A77AD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CD6B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top"/>
          </w:tcPr>
          <w:p w14:paraId="09FAB18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3251B41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77CCF98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20B618B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429C4DB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04CB782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26BA925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6AAE9B9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1263D02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3D801B8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246057C2">
      <w:pPr>
        <w:widowControl/>
        <w:spacing w:line="440" w:lineRule="exact"/>
        <w:jc w:val="left"/>
        <w:rPr>
          <w:rFonts w:hint="eastAsia" w:ascii="宋体" w:hAnsi="宋体" w:eastAsia="宋体" w:cs="宋体"/>
          <w:color w:val="auto"/>
          <w:sz w:val="20"/>
          <w:szCs w:val="20"/>
          <w:highlight w:val="none"/>
        </w:rPr>
      </w:pPr>
    </w:p>
    <w:p w14:paraId="2909B64E">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16"/>
          <w:highlight w:val="none"/>
          <w:lang w:val="en-US" w:eastAsia="zh-CN" w:bidi="ar-SA"/>
        </w:rPr>
      </w:pPr>
      <w:bookmarkStart w:id="2137" w:name="_Toc144974866"/>
      <w:bookmarkStart w:id="2138" w:name="_Toc168475925"/>
      <w:bookmarkStart w:id="2139" w:name="_Toc168476328"/>
      <w:bookmarkStart w:id="2140" w:name="_Toc221952088"/>
      <w:r>
        <w:rPr>
          <w:rFonts w:hint="eastAsia" w:ascii="宋体" w:hAnsi="宋体" w:eastAsia="宋体" w:cs="宋体"/>
          <w:b w:val="0"/>
          <w:bCs w:val="0"/>
          <w:color w:val="auto"/>
          <w:kern w:val="2"/>
          <w:sz w:val="21"/>
          <w:szCs w:val="16"/>
          <w:highlight w:val="none"/>
          <w:lang w:val="en-US" w:eastAsia="zh-CN" w:bidi="ar-SA"/>
        </w:rPr>
        <w:t>附</w:t>
      </w:r>
      <w:r>
        <w:rPr>
          <w:rFonts w:hint="eastAsia" w:ascii="宋体" w:hAnsi="宋体" w:eastAsia="宋体" w:cs="宋体"/>
          <w:b w:val="0"/>
          <w:bCs w:val="0"/>
          <w:color w:val="auto"/>
          <w:kern w:val="2"/>
          <w:sz w:val="21"/>
          <w:szCs w:val="21"/>
          <w:highlight w:val="none"/>
          <w:lang w:val="en-US" w:eastAsia="zh-CN" w:bidi="ar-SA"/>
        </w:rPr>
        <w:t>件</w:t>
      </w:r>
      <w:r>
        <w:rPr>
          <w:rFonts w:hint="eastAsia" w:ascii="宋体" w:hAnsi="宋体" w:eastAsia="宋体" w:cs="宋体"/>
          <w:b w:val="0"/>
          <w:bCs w:val="0"/>
          <w:color w:val="auto"/>
          <w:kern w:val="2"/>
          <w:sz w:val="21"/>
          <w:szCs w:val="16"/>
          <w:highlight w:val="none"/>
          <w:lang w:val="en-US" w:eastAsia="zh-CN" w:bidi="ar-SA"/>
        </w:rPr>
        <w:t>二：</w:t>
      </w:r>
    </w:p>
    <w:p w14:paraId="10EADD69">
      <w:pPr>
        <w:widowControl/>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拟配备本标段的试验和检测仪器设备表</w:t>
      </w:r>
      <w:bookmarkEnd w:id="2137"/>
      <w:bookmarkEnd w:id="2138"/>
      <w:bookmarkEnd w:id="2139"/>
      <w:bookmarkEnd w:id="2140"/>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0"/>
        <w:gridCol w:w="1192"/>
        <w:gridCol w:w="834"/>
        <w:gridCol w:w="1086"/>
        <w:gridCol w:w="737"/>
        <w:gridCol w:w="810"/>
        <w:gridCol w:w="1330"/>
        <w:gridCol w:w="1813"/>
        <w:gridCol w:w="754"/>
      </w:tblGrid>
      <w:tr w14:paraId="719273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2" w:hRule="atLeast"/>
        </w:trPr>
        <w:tc>
          <w:tcPr>
            <w:tcW w:w="730" w:type="dxa"/>
            <w:noWrap w:val="0"/>
            <w:vAlign w:val="center"/>
          </w:tcPr>
          <w:p w14:paraId="396F82A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2"/>
                <w:highlight w:val="none"/>
              </w:rPr>
            </w:pPr>
            <w:bookmarkStart w:id="2141" w:name="_Toc221952089"/>
            <w:r>
              <w:rPr>
                <w:rFonts w:hint="eastAsia" w:ascii="宋体" w:hAnsi="宋体" w:eastAsia="宋体" w:cs="宋体"/>
                <w:color w:val="auto"/>
                <w:szCs w:val="22"/>
                <w:highlight w:val="none"/>
              </w:rPr>
              <w:t>序号</w:t>
            </w:r>
            <w:bookmarkEnd w:id="2141"/>
          </w:p>
        </w:tc>
        <w:tc>
          <w:tcPr>
            <w:tcW w:w="1192" w:type="dxa"/>
            <w:noWrap w:val="0"/>
            <w:vAlign w:val="center"/>
          </w:tcPr>
          <w:p w14:paraId="36541AE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42" w:name="_Toc221952090"/>
            <w:r>
              <w:rPr>
                <w:rFonts w:hint="eastAsia" w:ascii="宋体" w:hAnsi="宋体" w:eastAsia="宋体" w:cs="宋体"/>
                <w:color w:val="auto"/>
                <w:szCs w:val="22"/>
                <w:highlight w:val="none"/>
              </w:rPr>
              <w:t>仪器设备名称</w:t>
            </w:r>
            <w:bookmarkEnd w:id="2142"/>
          </w:p>
        </w:tc>
        <w:tc>
          <w:tcPr>
            <w:tcW w:w="834" w:type="dxa"/>
            <w:noWrap w:val="0"/>
            <w:vAlign w:val="center"/>
          </w:tcPr>
          <w:p w14:paraId="1E368B3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43" w:name="_Toc221952091"/>
            <w:r>
              <w:rPr>
                <w:rFonts w:hint="eastAsia" w:ascii="宋体" w:hAnsi="宋体" w:eastAsia="宋体" w:cs="宋体"/>
                <w:color w:val="auto"/>
                <w:szCs w:val="22"/>
                <w:highlight w:val="none"/>
              </w:rPr>
              <w:t>型号</w:t>
            </w:r>
            <w:bookmarkEnd w:id="2143"/>
            <w:bookmarkStart w:id="2144" w:name="_Toc221952092"/>
            <w:r>
              <w:rPr>
                <w:rFonts w:hint="eastAsia" w:ascii="宋体" w:hAnsi="宋体" w:eastAsia="宋体" w:cs="宋体"/>
                <w:color w:val="auto"/>
                <w:szCs w:val="22"/>
                <w:highlight w:val="none"/>
              </w:rPr>
              <w:t>规格</w:t>
            </w:r>
            <w:bookmarkEnd w:id="2144"/>
          </w:p>
        </w:tc>
        <w:tc>
          <w:tcPr>
            <w:tcW w:w="1086" w:type="dxa"/>
            <w:noWrap w:val="0"/>
            <w:vAlign w:val="center"/>
          </w:tcPr>
          <w:p w14:paraId="21490F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45" w:name="_Toc221952093"/>
            <w:r>
              <w:rPr>
                <w:rFonts w:hint="eastAsia" w:ascii="宋体" w:hAnsi="宋体" w:eastAsia="宋体" w:cs="宋体"/>
                <w:color w:val="auto"/>
                <w:szCs w:val="22"/>
                <w:highlight w:val="none"/>
              </w:rPr>
              <w:t>数量</w:t>
            </w:r>
            <w:bookmarkEnd w:id="2145"/>
          </w:p>
        </w:tc>
        <w:tc>
          <w:tcPr>
            <w:tcW w:w="737" w:type="dxa"/>
            <w:noWrap w:val="0"/>
            <w:vAlign w:val="center"/>
          </w:tcPr>
          <w:p w14:paraId="5E3180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46" w:name="_Toc221952094"/>
            <w:r>
              <w:rPr>
                <w:rFonts w:hint="eastAsia" w:ascii="宋体" w:hAnsi="宋体" w:eastAsia="宋体" w:cs="宋体"/>
                <w:color w:val="auto"/>
                <w:szCs w:val="22"/>
                <w:highlight w:val="none"/>
              </w:rPr>
              <w:t>国别</w:t>
            </w:r>
            <w:bookmarkEnd w:id="2146"/>
            <w:bookmarkStart w:id="2147" w:name="_Toc221952095"/>
            <w:r>
              <w:rPr>
                <w:rFonts w:hint="eastAsia" w:ascii="宋体" w:hAnsi="宋体" w:eastAsia="宋体" w:cs="宋体"/>
                <w:color w:val="auto"/>
                <w:szCs w:val="22"/>
                <w:highlight w:val="none"/>
              </w:rPr>
              <w:t>产地</w:t>
            </w:r>
            <w:bookmarkEnd w:id="2147"/>
          </w:p>
        </w:tc>
        <w:tc>
          <w:tcPr>
            <w:tcW w:w="810" w:type="dxa"/>
            <w:noWrap w:val="0"/>
            <w:vAlign w:val="center"/>
          </w:tcPr>
          <w:p w14:paraId="1B22EF3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48" w:name="_Toc221952096"/>
            <w:r>
              <w:rPr>
                <w:rFonts w:hint="eastAsia" w:ascii="宋体" w:hAnsi="宋体" w:eastAsia="宋体" w:cs="宋体"/>
                <w:color w:val="auto"/>
                <w:szCs w:val="22"/>
                <w:highlight w:val="none"/>
              </w:rPr>
              <w:t>制造</w:t>
            </w:r>
            <w:bookmarkEnd w:id="2148"/>
            <w:bookmarkStart w:id="2149" w:name="_Toc221952097"/>
            <w:r>
              <w:rPr>
                <w:rFonts w:hint="eastAsia" w:ascii="宋体" w:hAnsi="宋体" w:eastAsia="宋体" w:cs="宋体"/>
                <w:color w:val="auto"/>
                <w:szCs w:val="22"/>
                <w:highlight w:val="none"/>
              </w:rPr>
              <w:t>年份</w:t>
            </w:r>
            <w:bookmarkEnd w:id="2149"/>
          </w:p>
        </w:tc>
        <w:tc>
          <w:tcPr>
            <w:tcW w:w="1330" w:type="dxa"/>
            <w:noWrap w:val="0"/>
            <w:vAlign w:val="center"/>
          </w:tcPr>
          <w:p w14:paraId="4EE5800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50" w:name="_Toc221952098"/>
            <w:r>
              <w:rPr>
                <w:rFonts w:hint="eastAsia" w:ascii="宋体" w:hAnsi="宋体" w:eastAsia="宋体" w:cs="宋体"/>
                <w:color w:val="auto"/>
                <w:szCs w:val="22"/>
                <w:highlight w:val="none"/>
              </w:rPr>
              <w:t>已使用台</w:t>
            </w:r>
          </w:p>
          <w:p w14:paraId="5C08E94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时数</w:t>
            </w:r>
            <w:bookmarkEnd w:id="2150"/>
          </w:p>
        </w:tc>
        <w:tc>
          <w:tcPr>
            <w:tcW w:w="1813" w:type="dxa"/>
            <w:noWrap w:val="0"/>
            <w:vAlign w:val="center"/>
          </w:tcPr>
          <w:p w14:paraId="2ADAC59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51" w:name="_Toc221952099"/>
            <w:r>
              <w:rPr>
                <w:rFonts w:hint="eastAsia" w:ascii="宋体" w:hAnsi="宋体" w:eastAsia="宋体" w:cs="宋体"/>
                <w:color w:val="auto"/>
                <w:szCs w:val="22"/>
                <w:highlight w:val="none"/>
              </w:rPr>
              <w:t>用途</w:t>
            </w:r>
            <w:bookmarkEnd w:id="2151"/>
          </w:p>
        </w:tc>
        <w:tc>
          <w:tcPr>
            <w:tcW w:w="754" w:type="dxa"/>
            <w:noWrap w:val="0"/>
            <w:vAlign w:val="center"/>
          </w:tcPr>
          <w:p w14:paraId="3DEC83C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52" w:name="_Toc221952100"/>
            <w:r>
              <w:rPr>
                <w:rFonts w:hint="eastAsia" w:ascii="宋体" w:hAnsi="宋体" w:eastAsia="宋体" w:cs="宋体"/>
                <w:color w:val="auto"/>
                <w:szCs w:val="22"/>
                <w:highlight w:val="none"/>
              </w:rPr>
              <w:t>备注</w:t>
            </w:r>
            <w:bookmarkEnd w:id="2152"/>
          </w:p>
        </w:tc>
      </w:tr>
      <w:tr w14:paraId="611456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center"/>
          </w:tcPr>
          <w:p w14:paraId="27C59C7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center"/>
          </w:tcPr>
          <w:p w14:paraId="01D299D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center"/>
          </w:tcPr>
          <w:p w14:paraId="6196E53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center"/>
          </w:tcPr>
          <w:p w14:paraId="51C56FD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center"/>
          </w:tcPr>
          <w:p w14:paraId="6145A4A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center"/>
          </w:tcPr>
          <w:p w14:paraId="1F76C76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center"/>
          </w:tcPr>
          <w:p w14:paraId="56293E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center"/>
          </w:tcPr>
          <w:p w14:paraId="06B6885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center"/>
          </w:tcPr>
          <w:p w14:paraId="07BE722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9D1D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trPr>
        <w:tc>
          <w:tcPr>
            <w:tcW w:w="730" w:type="dxa"/>
            <w:noWrap w:val="0"/>
            <w:vAlign w:val="center"/>
          </w:tcPr>
          <w:p w14:paraId="65020FB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center"/>
          </w:tcPr>
          <w:p w14:paraId="7E8DB1A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center"/>
          </w:tcPr>
          <w:p w14:paraId="4AEBE8B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center"/>
          </w:tcPr>
          <w:p w14:paraId="01CCF7C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center"/>
          </w:tcPr>
          <w:p w14:paraId="7EA3193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center"/>
          </w:tcPr>
          <w:p w14:paraId="33E64FA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center"/>
          </w:tcPr>
          <w:p w14:paraId="4FFE296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center"/>
          </w:tcPr>
          <w:p w14:paraId="42CD0ED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center"/>
          </w:tcPr>
          <w:p w14:paraId="33C064E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7E84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top"/>
          </w:tcPr>
          <w:p w14:paraId="3EBD395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47B0968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322C52E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0E6CAD8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4B5A72C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5512709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5000E15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79A0CBB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50DA7A6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03A02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trPr>
        <w:tc>
          <w:tcPr>
            <w:tcW w:w="730" w:type="dxa"/>
            <w:noWrap w:val="0"/>
            <w:vAlign w:val="top"/>
          </w:tcPr>
          <w:p w14:paraId="2F43430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02387CE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6C968A0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4212A18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CFA557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522894E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791BC31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22A70F0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03FB511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338DF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top"/>
          </w:tcPr>
          <w:p w14:paraId="303F68D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5D48986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126DFD3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77CF0E5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3B6608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58D088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45EB3D7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4B91AA2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29BCB8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01C88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trPr>
        <w:tc>
          <w:tcPr>
            <w:tcW w:w="730" w:type="dxa"/>
            <w:noWrap w:val="0"/>
            <w:vAlign w:val="top"/>
          </w:tcPr>
          <w:p w14:paraId="65860F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01E951E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30F71AE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7C45D55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4238389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635C671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685A92A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53F8D25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18AC7B7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9055D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top"/>
          </w:tcPr>
          <w:p w14:paraId="43DD3E7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44E19A5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06B2381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08B1E1F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276D903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7E1E5AA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4F7E57E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7AF8384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5193ACF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C93E5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trPr>
        <w:tc>
          <w:tcPr>
            <w:tcW w:w="730" w:type="dxa"/>
            <w:noWrap w:val="0"/>
            <w:vAlign w:val="top"/>
          </w:tcPr>
          <w:p w14:paraId="580A6DB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167E1DB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4DB20C9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4C4E60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F286D8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1079A7B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5437CEB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60C8996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1194E20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57EC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top"/>
          </w:tcPr>
          <w:p w14:paraId="4291CE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498C7F1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1D453B9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50C8A85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AD8AD3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0439B67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4C886EE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0CC5E21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24E5BBA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688C26CE">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16"/>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br w:type="page"/>
      </w:r>
      <w:bookmarkStart w:id="2153" w:name="_Toc144974867"/>
      <w:bookmarkStart w:id="2154" w:name="_Toc221952101"/>
      <w:bookmarkStart w:id="2155" w:name="_Toc168476329"/>
      <w:bookmarkStart w:id="2156" w:name="_Toc168475926"/>
      <w:r>
        <w:rPr>
          <w:rFonts w:hint="eastAsia" w:ascii="宋体" w:hAnsi="宋体" w:eastAsia="宋体" w:cs="宋体"/>
          <w:b w:val="0"/>
          <w:bCs w:val="0"/>
          <w:color w:val="auto"/>
          <w:kern w:val="2"/>
          <w:sz w:val="21"/>
          <w:szCs w:val="16"/>
          <w:highlight w:val="none"/>
          <w:lang w:val="en-US" w:eastAsia="zh-CN" w:bidi="ar-SA"/>
        </w:rPr>
        <w:t>附件三：</w:t>
      </w:r>
    </w:p>
    <w:p w14:paraId="43B77A1F">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拟投入本标段的劳动力计划表</w:t>
      </w:r>
      <w:bookmarkEnd w:id="2153"/>
      <w:bookmarkEnd w:id="2154"/>
      <w:bookmarkEnd w:id="2155"/>
      <w:bookmarkEnd w:id="2156"/>
    </w:p>
    <w:p w14:paraId="5D020D20">
      <w:pPr>
        <w:widowControl/>
        <w:spacing w:line="440" w:lineRule="exact"/>
        <w:ind w:right="200"/>
        <w:jc w:val="right"/>
        <w:rPr>
          <w:rFonts w:hint="eastAsia" w:ascii="宋体" w:hAnsi="宋体" w:eastAsia="宋体" w:cs="宋体"/>
          <w:color w:val="auto"/>
          <w:szCs w:val="21"/>
          <w:highlight w:val="none"/>
        </w:rPr>
      </w:pPr>
      <w:bookmarkStart w:id="2157" w:name="_Toc221952102"/>
      <w:r>
        <w:rPr>
          <w:rFonts w:hint="eastAsia" w:ascii="宋体" w:hAnsi="宋体" w:eastAsia="宋体" w:cs="宋体"/>
          <w:color w:val="auto"/>
          <w:szCs w:val="21"/>
          <w:highlight w:val="none"/>
        </w:rPr>
        <w:t>单位：人</w:t>
      </w:r>
      <w:bookmarkEnd w:id="2157"/>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00"/>
        <w:gridCol w:w="1420"/>
        <w:gridCol w:w="1161"/>
        <w:gridCol w:w="1161"/>
        <w:gridCol w:w="1161"/>
        <w:gridCol w:w="1161"/>
        <w:gridCol w:w="1161"/>
        <w:gridCol w:w="1161"/>
      </w:tblGrid>
      <w:tr w14:paraId="3DF45E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center"/>
          </w:tcPr>
          <w:p w14:paraId="497378E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58" w:name="_Toc221952103"/>
            <w:r>
              <w:rPr>
                <w:rFonts w:hint="eastAsia" w:ascii="宋体" w:hAnsi="宋体" w:eastAsia="宋体" w:cs="宋体"/>
                <w:color w:val="auto"/>
                <w:szCs w:val="22"/>
                <w:highlight w:val="none"/>
              </w:rPr>
              <w:t>工种</w:t>
            </w:r>
            <w:bookmarkEnd w:id="2158"/>
          </w:p>
        </w:tc>
        <w:tc>
          <w:tcPr>
            <w:tcW w:w="8386" w:type="dxa"/>
            <w:gridSpan w:val="7"/>
            <w:noWrap w:val="0"/>
            <w:vAlign w:val="center"/>
          </w:tcPr>
          <w:p w14:paraId="06E4B16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59" w:name="_Toc221952104"/>
            <w:r>
              <w:rPr>
                <w:rFonts w:hint="eastAsia" w:ascii="宋体" w:hAnsi="宋体" w:eastAsia="宋体" w:cs="宋体"/>
                <w:color w:val="auto"/>
                <w:szCs w:val="22"/>
                <w:highlight w:val="none"/>
              </w:rPr>
              <w:t>按工程施工阶段投入劳动力情况</w:t>
            </w:r>
            <w:bookmarkEnd w:id="2159"/>
          </w:p>
        </w:tc>
      </w:tr>
      <w:tr w14:paraId="6FECE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center"/>
          </w:tcPr>
          <w:p w14:paraId="34DEF0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center"/>
          </w:tcPr>
          <w:p w14:paraId="03BE24E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74CEE84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7B68433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69BB42B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55A12F7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7001BA0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34DBA06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9C320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center"/>
          </w:tcPr>
          <w:p w14:paraId="4FD7DBC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center"/>
          </w:tcPr>
          <w:p w14:paraId="070F9BD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50FD926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39A80C8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3E5EB97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517E85D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5D52C10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56797E8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ECAF5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4FB58CD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1A6CB8F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1987E9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EC85B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DF7360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1A0866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3A4517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AFA79E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177EC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4E1AC8E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297702F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657152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5BB56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B5C885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83F661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DC4C3B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519173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6C066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0C1DAC8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7E69862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20263D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4C172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4C5B61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C97D4B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4A6637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29C74C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E5D39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top"/>
          </w:tcPr>
          <w:p w14:paraId="3ECFAD5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6CE0674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B1A551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B583DE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016789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18B9F2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725166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F1295D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C5ED1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4EB32D3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546C485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4018BC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6F0C0E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2BEC0F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7E27F1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97E490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190169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2172F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05F70F2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6F4BBC2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74DF7A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E90A85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3AC20F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AE1547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FC36AC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60F02A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27E07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1ED1332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75A9CA9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2D3423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92B66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85FE56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0C01FE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416778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727EBB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83BB2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top"/>
          </w:tcPr>
          <w:p w14:paraId="5C8665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479EF0E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1D2716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9914ED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75FAB1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763339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9200BF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3349B4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28B8D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3C98AD9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00DED7F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13367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161D6F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58AD72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07E81B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71CACE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BF2CDD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64D2B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43F3A8F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3D408AB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98D78D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E53497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196215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FE2A3F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D88F04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9D8231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1EB8D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900" w:type="dxa"/>
            <w:noWrap w:val="0"/>
            <w:vAlign w:val="top"/>
          </w:tcPr>
          <w:p w14:paraId="118B7EA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159693D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AF2DBD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E9EBDF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2CCCE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A26F7C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FA5AC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8CCF83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15934BD2">
      <w:pPr>
        <w:widowControl/>
        <w:spacing w:line="440" w:lineRule="exact"/>
        <w:jc w:val="left"/>
        <w:rPr>
          <w:rFonts w:hint="eastAsia" w:ascii="宋体" w:hAnsi="宋体" w:eastAsia="宋体" w:cs="宋体"/>
          <w:color w:val="auto"/>
          <w:sz w:val="20"/>
          <w:szCs w:val="20"/>
          <w:highlight w:val="none"/>
        </w:rPr>
      </w:pPr>
    </w:p>
    <w:p w14:paraId="03C1EEA2">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21"/>
          <w:highlight w:val="none"/>
          <w:lang w:val="en-US" w:eastAsia="zh-CN" w:bidi="ar-SA"/>
        </w:rPr>
      </w:pPr>
      <w:bookmarkStart w:id="2160" w:name="_Toc168475927"/>
      <w:bookmarkStart w:id="2161" w:name="_Toc168476330"/>
      <w:bookmarkStart w:id="2162" w:name="_Toc221952105"/>
      <w:bookmarkStart w:id="2163" w:name="_Toc144974868"/>
      <w:r>
        <w:rPr>
          <w:rFonts w:hint="eastAsia" w:ascii="宋体" w:hAnsi="宋体" w:eastAsia="宋体" w:cs="宋体"/>
          <w:b w:val="0"/>
          <w:bCs w:val="0"/>
          <w:color w:val="auto"/>
          <w:kern w:val="2"/>
          <w:sz w:val="21"/>
          <w:szCs w:val="21"/>
          <w:highlight w:val="none"/>
          <w:lang w:val="en-US" w:eastAsia="zh-CN" w:bidi="ar-SA"/>
        </w:rPr>
        <w:t>附件四：</w:t>
      </w:r>
    </w:p>
    <w:p w14:paraId="7D65B924">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计划</w:t>
      </w:r>
      <w:r>
        <w:rPr>
          <w:rFonts w:hint="eastAsia" w:ascii="宋体" w:hAnsi="宋体" w:eastAsia="宋体" w:cs="宋体"/>
          <w:b/>
          <w:color w:val="auto"/>
          <w:sz w:val="21"/>
          <w:szCs w:val="21"/>
          <w:highlight w:val="none"/>
          <w:lang w:val="en-US" w:eastAsia="zh-CN"/>
        </w:rPr>
        <w:t>开工</w:t>
      </w:r>
      <w:r>
        <w:rPr>
          <w:rFonts w:hint="eastAsia" w:ascii="宋体" w:hAnsi="宋体" w:eastAsia="宋体" w:cs="宋体"/>
          <w:b/>
          <w:color w:val="auto"/>
          <w:sz w:val="21"/>
          <w:szCs w:val="21"/>
          <w:highlight w:val="none"/>
        </w:rPr>
        <w:t>日期、完工日期和施工进度网络图</w:t>
      </w:r>
      <w:bookmarkEnd w:id="2160"/>
      <w:bookmarkEnd w:id="2161"/>
      <w:bookmarkEnd w:id="2162"/>
      <w:bookmarkEnd w:id="2163"/>
    </w:p>
    <w:p w14:paraId="00DA4142">
      <w:pPr>
        <w:widowControl/>
        <w:spacing w:line="440" w:lineRule="exact"/>
        <w:jc w:val="left"/>
        <w:rPr>
          <w:rFonts w:hint="eastAsia" w:ascii="宋体" w:hAnsi="宋体" w:eastAsia="宋体" w:cs="宋体"/>
          <w:color w:val="auto"/>
          <w:sz w:val="21"/>
          <w:szCs w:val="21"/>
          <w:highlight w:val="none"/>
        </w:rPr>
      </w:pPr>
    </w:p>
    <w:p w14:paraId="22C1FDF0">
      <w:pPr>
        <w:widowControl/>
        <w:spacing w:line="440" w:lineRule="exact"/>
        <w:ind w:firstLine="420" w:firstLineChars="200"/>
        <w:jc w:val="left"/>
        <w:rPr>
          <w:rFonts w:hint="eastAsia" w:ascii="宋体" w:hAnsi="宋体" w:eastAsia="宋体" w:cs="宋体"/>
          <w:color w:val="auto"/>
          <w:sz w:val="21"/>
          <w:szCs w:val="21"/>
          <w:highlight w:val="none"/>
        </w:rPr>
      </w:pPr>
      <w:bookmarkStart w:id="2164" w:name="_Toc221952106"/>
      <w:r>
        <w:rPr>
          <w:rFonts w:hint="eastAsia" w:ascii="宋体" w:hAnsi="宋体" w:eastAsia="宋体" w:cs="宋体"/>
          <w:color w:val="auto"/>
          <w:sz w:val="21"/>
          <w:szCs w:val="21"/>
          <w:highlight w:val="none"/>
        </w:rPr>
        <w:t>1. 投标人应递交施工进度网络图或施工进度表，说明按招标文件要求的计划工期进行施工的各个关键日期。</w:t>
      </w:r>
      <w:bookmarkEnd w:id="2164"/>
    </w:p>
    <w:p w14:paraId="7D55D1CD">
      <w:pPr>
        <w:widowControl/>
        <w:spacing w:line="440" w:lineRule="exact"/>
        <w:ind w:firstLine="420" w:firstLineChars="200"/>
        <w:jc w:val="left"/>
        <w:rPr>
          <w:rFonts w:hint="eastAsia" w:ascii="宋体" w:hAnsi="宋体" w:eastAsia="宋体" w:cs="宋体"/>
          <w:color w:val="auto"/>
          <w:sz w:val="21"/>
          <w:szCs w:val="21"/>
          <w:highlight w:val="none"/>
        </w:rPr>
      </w:pPr>
      <w:bookmarkStart w:id="2165" w:name="_Toc221952107"/>
      <w:r>
        <w:rPr>
          <w:rFonts w:hint="eastAsia" w:ascii="宋体" w:hAnsi="宋体" w:eastAsia="宋体" w:cs="宋体"/>
          <w:color w:val="auto"/>
          <w:sz w:val="21"/>
          <w:szCs w:val="21"/>
          <w:highlight w:val="none"/>
        </w:rPr>
        <w:t>2. 施工进度表可采用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网络图（或横道图）表示。</w:t>
      </w:r>
      <w:bookmarkEnd w:id="2165"/>
    </w:p>
    <w:p w14:paraId="705C1AFF">
      <w:pPr>
        <w:widowControl/>
        <w:spacing w:line="440" w:lineRule="exact"/>
        <w:jc w:val="left"/>
        <w:rPr>
          <w:rFonts w:hint="eastAsia" w:ascii="宋体" w:hAnsi="宋体" w:eastAsia="宋体" w:cs="宋体"/>
          <w:color w:val="auto"/>
          <w:sz w:val="24"/>
          <w:szCs w:val="24"/>
          <w:highlight w:val="none"/>
        </w:rPr>
      </w:pPr>
    </w:p>
    <w:p w14:paraId="7BB07696">
      <w:pPr>
        <w:widowControl/>
        <w:spacing w:line="440" w:lineRule="exact"/>
        <w:jc w:val="left"/>
        <w:rPr>
          <w:rFonts w:hint="eastAsia" w:ascii="宋体" w:hAnsi="宋体" w:eastAsia="宋体" w:cs="宋体"/>
          <w:color w:val="auto"/>
          <w:sz w:val="20"/>
          <w:szCs w:val="20"/>
          <w:highlight w:val="none"/>
        </w:rPr>
      </w:pPr>
    </w:p>
    <w:p w14:paraId="3173D8B0">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br w:type="page"/>
      </w:r>
      <w:bookmarkStart w:id="2166" w:name="_Toc221952108"/>
      <w:bookmarkStart w:id="2167" w:name="_Toc168476331"/>
      <w:bookmarkStart w:id="2168" w:name="_Toc144974869"/>
      <w:bookmarkStart w:id="2169" w:name="_Toc168475928"/>
      <w:r>
        <w:rPr>
          <w:rFonts w:hint="eastAsia" w:ascii="宋体" w:hAnsi="宋体" w:eastAsia="宋体" w:cs="宋体"/>
          <w:b w:val="0"/>
          <w:bCs w:val="0"/>
          <w:color w:val="auto"/>
          <w:kern w:val="2"/>
          <w:sz w:val="21"/>
          <w:szCs w:val="21"/>
          <w:highlight w:val="none"/>
          <w:lang w:val="en-US" w:eastAsia="zh-CN" w:bidi="ar-SA"/>
        </w:rPr>
        <w:t>附件五：</w:t>
      </w:r>
    </w:p>
    <w:p w14:paraId="3B64C191">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施工总平面图</w:t>
      </w:r>
      <w:bookmarkEnd w:id="2166"/>
      <w:bookmarkEnd w:id="2167"/>
      <w:bookmarkEnd w:id="2168"/>
      <w:bookmarkEnd w:id="2169"/>
    </w:p>
    <w:p w14:paraId="7EA3DA41">
      <w:pPr>
        <w:widowControl/>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p>
    <w:p w14:paraId="0A912B6C">
      <w:pPr>
        <w:widowControl/>
        <w:spacing w:line="440" w:lineRule="exact"/>
        <w:ind w:firstLine="371" w:firstLineChars="177"/>
        <w:jc w:val="left"/>
        <w:rPr>
          <w:rFonts w:hint="eastAsia" w:ascii="宋体" w:hAnsi="宋体" w:eastAsia="宋体" w:cs="宋体"/>
          <w:color w:val="auto"/>
          <w:sz w:val="21"/>
          <w:szCs w:val="21"/>
          <w:highlight w:val="none"/>
        </w:rPr>
      </w:pPr>
      <w:bookmarkStart w:id="2170" w:name="_Toc221952109"/>
      <w:r>
        <w:rPr>
          <w:rFonts w:hint="eastAsia" w:ascii="宋体" w:hAnsi="宋体" w:eastAsia="宋体" w:cs="宋体"/>
          <w:color w:val="auto"/>
          <w:sz w:val="21"/>
          <w:szCs w:val="21"/>
          <w:highlight w:val="none"/>
        </w:rPr>
        <w:t>投标人应递交一份施工总平面图，绘出现场临时设施布置图表并附文字说明，说明临时设施、加工车间、现场办公、设备及仓储、供电、供水、卫生、生活、道路、消防等设施的情况和布置。</w:t>
      </w:r>
      <w:bookmarkEnd w:id="2170"/>
    </w:p>
    <w:p w14:paraId="108A8060">
      <w:pPr>
        <w:widowControl/>
        <w:spacing w:line="440" w:lineRule="exact"/>
        <w:ind w:firstLine="371" w:firstLineChars="177"/>
        <w:jc w:val="left"/>
        <w:rPr>
          <w:rFonts w:hint="eastAsia" w:ascii="宋体" w:hAnsi="宋体" w:eastAsia="宋体" w:cs="宋体"/>
          <w:color w:val="auto"/>
          <w:sz w:val="21"/>
          <w:szCs w:val="21"/>
          <w:highlight w:val="none"/>
        </w:rPr>
      </w:pPr>
    </w:p>
    <w:p w14:paraId="79479DCE">
      <w:pPr>
        <w:widowControl/>
        <w:spacing w:line="440" w:lineRule="exact"/>
        <w:ind w:firstLine="371" w:firstLineChars="177"/>
        <w:jc w:val="left"/>
        <w:rPr>
          <w:rFonts w:hint="eastAsia" w:ascii="宋体" w:hAnsi="宋体" w:eastAsia="宋体" w:cs="宋体"/>
          <w:color w:val="auto"/>
          <w:sz w:val="21"/>
          <w:szCs w:val="21"/>
          <w:highlight w:val="none"/>
        </w:rPr>
      </w:pPr>
    </w:p>
    <w:p w14:paraId="300F2A08">
      <w:pPr>
        <w:widowControl/>
        <w:spacing w:line="440" w:lineRule="exact"/>
        <w:jc w:val="left"/>
        <w:rPr>
          <w:rFonts w:hint="eastAsia" w:ascii="宋体" w:hAnsi="宋体" w:eastAsia="宋体" w:cs="宋体"/>
          <w:color w:val="auto"/>
          <w:sz w:val="21"/>
          <w:szCs w:val="21"/>
          <w:highlight w:val="none"/>
        </w:rPr>
      </w:pPr>
    </w:p>
    <w:p w14:paraId="2155DFFE">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21"/>
          <w:highlight w:val="none"/>
          <w:lang w:val="en-US" w:eastAsia="zh-CN" w:bidi="ar-SA"/>
        </w:rPr>
      </w:pPr>
      <w:bookmarkStart w:id="2171" w:name="_Toc168475929"/>
      <w:bookmarkStart w:id="2172" w:name="_Toc221952110"/>
      <w:bookmarkStart w:id="2173" w:name="_Toc168476332"/>
      <w:bookmarkStart w:id="2174" w:name="_Toc144974870"/>
      <w:r>
        <w:rPr>
          <w:rFonts w:hint="eastAsia" w:ascii="宋体" w:hAnsi="宋体" w:eastAsia="宋体" w:cs="宋体"/>
          <w:b w:val="0"/>
          <w:bCs w:val="0"/>
          <w:color w:val="auto"/>
          <w:kern w:val="2"/>
          <w:sz w:val="21"/>
          <w:szCs w:val="21"/>
          <w:highlight w:val="none"/>
          <w:lang w:val="en-US" w:eastAsia="zh-CN" w:bidi="ar-SA"/>
        </w:rPr>
        <w:t>附件六：</w:t>
      </w:r>
    </w:p>
    <w:p w14:paraId="7E4128A1">
      <w:pPr>
        <w:widowControl/>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临 时 用 地 表</w:t>
      </w:r>
      <w:bookmarkEnd w:id="2171"/>
      <w:bookmarkEnd w:id="2172"/>
      <w:bookmarkEnd w:id="2173"/>
      <w:bookmarkEnd w:id="2174"/>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1"/>
        <w:gridCol w:w="2321"/>
        <w:gridCol w:w="2322"/>
        <w:gridCol w:w="2322"/>
      </w:tblGrid>
      <w:tr w14:paraId="64003E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6" w:hRule="atLeast"/>
        </w:trPr>
        <w:tc>
          <w:tcPr>
            <w:tcW w:w="2321" w:type="dxa"/>
            <w:noWrap w:val="0"/>
            <w:vAlign w:val="center"/>
          </w:tcPr>
          <w:p w14:paraId="4F2D363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75" w:name="_Toc221952111"/>
            <w:r>
              <w:rPr>
                <w:rFonts w:hint="eastAsia" w:ascii="宋体" w:hAnsi="宋体" w:eastAsia="宋体" w:cs="宋体"/>
                <w:color w:val="auto"/>
                <w:szCs w:val="22"/>
                <w:highlight w:val="none"/>
              </w:rPr>
              <w:t>用 途</w:t>
            </w:r>
            <w:bookmarkEnd w:id="2175"/>
            <w:r>
              <w:rPr>
                <w:rFonts w:hint="eastAsia" w:ascii="宋体" w:hAnsi="宋体" w:eastAsia="宋体" w:cs="宋体"/>
                <w:color w:val="auto"/>
                <w:szCs w:val="22"/>
                <w:highlight w:val="none"/>
              </w:rPr>
              <w:cr/>
            </w:r>
          </w:p>
        </w:tc>
        <w:tc>
          <w:tcPr>
            <w:tcW w:w="2321" w:type="dxa"/>
            <w:noWrap w:val="0"/>
            <w:vAlign w:val="center"/>
          </w:tcPr>
          <w:p w14:paraId="7B73D0F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76" w:name="_Toc221952112"/>
            <w:r>
              <w:rPr>
                <w:rFonts w:hint="eastAsia" w:ascii="宋体" w:hAnsi="宋体" w:eastAsia="宋体" w:cs="宋体"/>
                <w:color w:val="auto"/>
                <w:szCs w:val="22"/>
                <w:highlight w:val="none"/>
              </w:rPr>
              <w:t>面 积</w:t>
            </w:r>
          </w:p>
          <w:p w14:paraId="019411C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（m</w:t>
            </w:r>
            <w:r>
              <w:rPr>
                <w:rFonts w:hint="eastAsia" w:ascii="宋体" w:hAnsi="宋体" w:eastAsia="宋体" w:cs="宋体"/>
                <w:color w:val="auto"/>
                <w:szCs w:val="22"/>
                <w:highlight w:val="none"/>
                <w:vertAlign w:val="superscript"/>
              </w:rPr>
              <w:t>2</w:t>
            </w:r>
            <w:r>
              <w:rPr>
                <w:rFonts w:hint="eastAsia" w:ascii="宋体" w:hAnsi="宋体" w:eastAsia="宋体" w:cs="宋体"/>
                <w:color w:val="auto"/>
                <w:szCs w:val="22"/>
                <w:highlight w:val="none"/>
              </w:rPr>
              <w:t>）</w:t>
            </w:r>
            <w:bookmarkEnd w:id="2176"/>
          </w:p>
        </w:tc>
        <w:tc>
          <w:tcPr>
            <w:tcW w:w="2322" w:type="dxa"/>
            <w:noWrap w:val="0"/>
            <w:vAlign w:val="center"/>
          </w:tcPr>
          <w:p w14:paraId="260FEF9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77" w:name="_Toc221952113"/>
            <w:r>
              <w:rPr>
                <w:rFonts w:hint="eastAsia" w:ascii="宋体" w:hAnsi="宋体" w:eastAsia="宋体" w:cs="宋体"/>
                <w:color w:val="auto"/>
                <w:szCs w:val="22"/>
                <w:highlight w:val="none"/>
              </w:rPr>
              <w:t>位 置</w:t>
            </w:r>
            <w:bookmarkEnd w:id="2177"/>
          </w:p>
        </w:tc>
        <w:tc>
          <w:tcPr>
            <w:tcW w:w="2322" w:type="dxa"/>
            <w:noWrap w:val="0"/>
            <w:vAlign w:val="center"/>
          </w:tcPr>
          <w:p w14:paraId="02ED0A4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178" w:name="_Toc221952114"/>
            <w:r>
              <w:rPr>
                <w:rFonts w:hint="eastAsia" w:ascii="宋体" w:hAnsi="宋体" w:eastAsia="宋体" w:cs="宋体"/>
                <w:color w:val="auto"/>
                <w:szCs w:val="22"/>
                <w:highlight w:val="none"/>
              </w:rPr>
              <w:t>需用时间</w:t>
            </w:r>
            <w:bookmarkEnd w:id="2178"/>
          </w:p>
        </w:tc>
      </w:tr>
      <w:tr w14:paraId="1B12F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3" w:hRule="atLeast"/>
        </w:trPr>
        <w:tc>
          <w:tcPr>
            <w:tcW w:w="2321" w:type="dxa"/>
            <w:noWrap w:val="0"/>
            <w:vAlign w:val="top"/>
          </w:tcPr>
          <w:p w14:paraId="189BE93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219C07B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58E44F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0F28CE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27F0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30034F4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679A7C6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0DDCF4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F8421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CB99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3BC943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0912F7C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7CF8AE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67AD3AB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39E6C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3" w:hRule="atLeast"/>
        </w:trPr>
        <w:tc>
          <w:tcPr>
            <w:tcW w:w="2321" w:type="dxa"/>
            <w:noWrap w:val="0"/>
            <w:vAlign w:val="top"/>
          </w:tcPr>
          <w:p w14:paraId="7D4EDE2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5AB84B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186C943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FBA3D5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F3E28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03A8FD7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2407F84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33B25A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49A523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04D25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3FE673E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5BEA4AF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0EF417E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60483AD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6628E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6288E2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55507B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6C4061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2828A0A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5507F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1B92BA9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72DB87B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1458EEB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43FB1A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E9CC0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3" w:hRule="atLeast"/>
        </w:trPr>
        <w:tc>
          <w:tcPr>
            <w:tcW w:w="2321" w:type="dxa"/>
            <w:noWrap w:val="0"/>
            <w:vAlign w:val="top"/>
          </w:tcPr>
          <w:p w14:paraId="569621D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3B7DC40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3B7349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69A5B2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979D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303649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452A9EA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B14814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28CBF77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D6B86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3C17EF9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31D0544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ECED7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7000DC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0939F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3" w:hRule="atLeast"/>
        </w:trPr>
        <w:tc>
          <w:tcPr>
            <w:tcW w:w="2321" w:type="dxa"/>
            <w:noWrap w:val="0"/>
            <w:vAlign w:val="top"/>
          </w:tcPr>
          <w:p w14:paraId="1DDDD17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3B1C592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D37A3F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EDDABC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08CA5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2B9153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3B261E1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32EEC85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C98837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DA0A5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20173D3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4FF6846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0C422EF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8C107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B8EC7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1E3A32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01E88AC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63DEFD1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15EE46D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17C48A2E">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120A35F0">
      <w:pPr>
        <w:keepNext/>
        <w:keepLines/>
        <w:adjustRightInd w:val="0"/>
        <w:snapToGrid w:val="0"/>
        <w:spacing w:before="0" w:after="0" w:line="360" w:lineRule="auto"/>
        <w:outlineLvl w:val="9"/>
        <w:rPr>
          <w:rFonts w:hint="eastAsia" w:ascii="宋体" w:hAnsi="宋体" w:eastAsia="宋体" w:cs="宋体"/>
          <w:b/>
          <w:bCs w:val="0"/>
          <w:color w:val="auto"/>
          <w:kern w:val="2"/>
          <w:sz w:val="24"/>
          <w:szCs w:val="24"/>
          <w:highlight w:val="none"/>
          <w:lang w:val="en-US" w:eastAsia="zh-CN" w:bidi="ar-SA"/>
        </w:rPr>
      </w:pPr>
      <w:bookmarkStart w:id="2179" w:name="_Toc266886262"/>
    </w:p>
    <w:bookmarkEnd w:id="2179"/>
    <w:p w14:paraId="0AC395AC">
      <w:pPr>
        <w:widowControl/>
        <w:spacing w:line="600" w:lineRule="exact"/>
        <w:ind w:firstLine="2640" w:firstLineChars="1100"/>
        <w:jc w:val="left"/>
        <w:rPr>
          <w:rFonts w:hint="eastAsia" w:ascii="宋体" w:hAnsi="宋体" w:eastAsia="宋体" w:cs="宋体"/>
          <w:color w:val="auto"/>
          <w:sz w:val="24"/>
          <w:szCs w:val="24"/>
          <w:highlight w:val="none"/>
        </w:rPr>
      </w:pPr>
    </w:p>
    <w:bookmarkEnd w:id="2078"/>
    <w:bookmarkEnd w:id="2079"/>
    <w:bookmarkEnd w:id="2080"/>
    <w:bookmarkEnd w:id="2081"/>
    <w:bookmarkEnd w:id="2082"/>
    <w:bookmarkEnd w:id="2083"/>
    <w:bookmarkEnd w:id="2084"/>
    <w:bookmarkEnd w:id="2085"/>
    <w:bookmarkEnd w:id="2086"/>
    <w:bookmarkEnd w:id="2087"/>
    <w:bookmarkEnd w:id="2088"/>
    <w:p w14:paraId="036462A7">
      <w:pPr>
        <w:keepNext/>
        <w:keepLines/>
        <w:tabs>
          <w:tab w:val="left" w:pos="2700"/>
        </w:tabs>
        <w:adjustRightInd w:val="0"/>
        <w:snapToGrid w:val="0"/>
        <w:spacing w:before="0" w:after="0" w:line="360" w:lineRule="auto"/>
        <w:jc w:val="center"/>
        <w:outlineLvl w:val="1"/>
        <w:rPr>
          <w:rFonts w:hint="eastAsia" w:ascii="宋体" w:hAnsi="宋体" w:eastAsia="宋体" w:cs="宋体"/>
          <w:b/>
          <w:bCs w:val="0"/>
          <w:color w:val="auto"/>
          <w:kern w:val="2"/>
          <w:sz w:val="21"/>
          <w:szCs w:val="21"/>
          <w:highlight w:val="none"/>
          <w:lang w:val="en-US" w:eastAsia="zh-CN" w:bidi="ar-SA"/>
        </w:rPr>
      </w:pPr>
      <w:bookmarkStart w:id="2180" w:name="_Toc222029565"/>
      <w:bookmarkStart w:id="2181" w:name="_Toc222031067"/>
      <w:bookmarkStart w:id="2182" w:name="_Toc144974863"/>
      <w:bookmarkStart w:id="2183" w:name="_Toc222033916"/>
      <w:bookmarkStart w:id="2184" w:name="_Toc168475922"/>
      <w:bookmarkStart w:id="2185" w:name="_Toc168476325"/>
      <w:bookmarkStart w:id="2186" w:name="_Toc221952063"/>
      <w:bookmarkStart w:id="2187" w:name="_Toc266886260"/>
      <w:bookmarkStart w:id="2188" w:name="_Toc229305425"/>
      <w:bookmarkStart w:id="2189" w:name="_Toc222032734"/>
      <w:r>
        <w:rPr>
          <w:rFonts w:hint="eastAsia" w:ascii="宋体" w:hAnsi="宋体" w:eastAsia="宋体" w:cs="宋体"/>
          <w:b w:val="0"/>
          <w:bCs w:val="0"/>
          <w:color w:val="auto"/>
          <w:kern w:val="2"/>
          <w:sz w:val="28"/>
          <w:szCs w:val="20"/>
          <w:highlight w:val="none"/>
          <w:lang w:val="en-US" w:eastAsia="zh-CN" w:bidi="ar-SA"/>
        </w:rPr>
        <w:br w:type="page"/>
      </w:r>
      <w:bookmarkEnd w:id="2180"/>
      <w:bookmarkEnd w:id="2181"/>
      <w:bookmarkEnd w:id="2182"/>
      <w:bookmarkEnd w:id="2183"/>
      <w:bookmarkEnd w:id="2184"/>
      <w:bookmarkEnd w:id="2185"/>
      <w:bookmarkEnd w:id="2186"/>
      <w:bookmarkEnd w:id="2187"/>
      <w:bookmarkEnd w:id="2188"/>
      <w:bookmarkEnd w:id="2189"/>
      <w:bookmarkStart w:id="2190" w:name="_Toc221952153"/>
      <w:bookmarkStart w:id="2191" w:name="_Toc222031071"/>
      <w:bookmarkStart w:id="2192" w:name="_Toc222029569"/>
      <w:bookmarkStart w:id="2193" w:name="_Toc229305429"/>
      <w:bookmarkStart w:id="2194" w:name="_Toc221948389"/>
      <w:bookmarkStart w:id="2195" w:name="_Toc266886264"/>
      <w:bookmarkStart w:id="2196" w:name="_Toc3451634"/>
      <w:bookmarkStart w:id="2197" w:name="_Toc222033920"/>
      <w:bookmarkStart w:id="2198" w:name="_Toc222032738"/>
      <w:bookmarkStart w:id="2199" w:name="_Toc28769"/>
      <w:bookmarkStart w:id="2200" w:name="_Toc28428"/>
      <w:bookmarkStart w:id="2201" w:name="_Toc26473"/>
      <w:r>
        <w:rPr>
          <w:rFonts w:hint="eastAsia" w:ascii="宋体" w:hAnsi="宋体" w:eastAsia="宋体" w:cs="宋体"/>
          <w:b/>
          <w:bCs w:val="0"/>
          <w:color w:val="auto"/>
          <w:kern w:val="2"/>
          <w:sz w:val="32"/>
          <w:szCs w:val="32"/>
          <w:highlight w:val="none"/>
          <w:lang w:val="en-US" w:eastAsia="zh-CN" w:bidi="ar-SA"/>
        </w:rPr>
        <w:t>六、</w:t>
      </w:r>
      <w:bookmarkEnd w:id="2190"/>
      <w:bookmarkEnd w:id="2191"/>
      <w:bookmarkEnd w:id="2192"/>
      <w:bookmarkEnd w:id="2193"/>
      <w:bookmarkEnd w:id="2194"/>
      <w:bookmarkEnd w:id="2195"/>
      <w:bookmarkEnd w:id="2196"/>
      <w:bookmarkEnd w:id="2197"/>
      <w:bookmarkEnd w:id="2198"/>
      <w:r>
        <w:rPr>
          <w:rFonts w:hint="eastAsia" w:ascii="宋体" w:hAnsi="宋体" w:eastAsia="宋体" w:cs="宋体"/>
          <w:b/>
          <w:bCs w:val="0"/>
          <w:color w:val="auto"/>
          <w:kern w:val="2"/>
          <w:sz w:val="32"/>
          <w:szCs w:val="32"/>
          <w:highlight w:val="none"/>
          <w:lang w:val="en-US" w:eastAsia="zh-CN" w:bidi="ar-SA"/>
        </w:rPr>
        <w:t>投标人基本情况</w:t>
      </w:r>
      <w:bookmarkEnd w:id="2199"/>
      <w:bookmarkEnd w:id="2200"/>
      <w:bookmarkEnd w:id="2201"/>
    </w:p>
    <w:p w14:paraId="11C75BFF">
      <w:pPr>
        <w:widowControl/>
        <w:adjustRightInd w:val="0"/>
        <w:snapToGrid w:val="0"/>
        <w:spacing w:line="360" w:lineRule="auto"/>
        <w:jc w:val="center"/>
        <w:outlineLvl w:val="2"/>
        <w:rPr>
          <w:rFonts w:hint="eastAsia" w:ascii="宋体" w:hAnsi="宋体" w:eastAsia="宋体" w:cs="宋体"/>
          <w:b/>
          <w:color w:val="auto"/>
          <w:sz w:val="24"/>
          <w:szCs w:val="24"/>
          <w:highlight w:val="none"/>
        </w:rPr>
      </w:pPr>
      <w:bookmarkStart w:id="2202" w:name="_Toc36069924"/>
      <w:bookmarkStart w:id="2203" w:name="_Toc221952154"/>
      <w:bookmarkStart w:id="2204" w:name="_Toc24319"/>
      <w:bookmarkStart w:id="2205" w:name="_Toc427510360"/>
      <w:bookmarkStart w:id="2206" w:name="_Toc32534"/>
      <w:bookmarkStart w:id="2207" w:name="_Toc266891017"/>
      <w:bookmarkStart w:id="2208" w:name="_Toc7513"/>
      <w:bookmarkStart w:id="2209" w:name="_Toc27925"/>
      <w:bookmarkStart w:id="2210" w:name="_Toc11206"/>
      <w:bookmarkStart w:id="2211" w:name="_Toc3451635"/>
      <w:bookmarkStart w:id="2212" w:name="_Toc403835505"/>
      <w:bookmarkStart w:id="2213" w:name="_Toc268300146"/>
      <w:bookmarkStart w:id="2214" w:name="_Toc266886265"/>
      <w:bookmarkStart w:id="2215" w:name="_Toc179715759"/>
      <w:bookmarkStart w:id="2216" w:name="_Toc271870753"/>
      <w:bookmarkStart w:id="2217" w:name="_Toc152047266"/>
      <w:bookmarkStart w:id="2218" w:name="_Toc332379472"/>
      <w:bookmarkStart w:id="2219" w:name="_Toc27258"/>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投标人基本情况表</w:t>
      </w:r>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p>
    <w:tbl>
      <w:tblPr>
        <w:tblStyle w:val="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71"/>
        <w:gridCol w:w="971"/>
        <w:gridCol w:w="1031"/>
        <w:gridCol w:w="910"/>
        <w:gridCol w:w="455"/>
        <w:gridCol w:w="338"/>
        <w:gridCol w:w="1168"/>
        <w:gridCol w:w="531"/>
        <w:gridCol w:w="932"/>
        <w:gridCol w:w="1079"/>
      </w:tblGrid>
      <w:tr w14:paraId="2B6B18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1871" w:type="dxa"/>
            <w:noWrap w:val="0"/>
            <w:vAlign w:val="center"/>
          </w:tcPr>
          <w:p w14:paraId="5F99D711">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0" w:name="_Toc221952155"/>
            <w:r>
              <w:rPr>
                <w:rFonts w:hint="eastAsia" w:ascii="宋体" w:hAnsi="宋体" w:eastAsia="宋体" w:cs="宋体"/>
                <w:color w:val="auto"/>
                <w:szCs w:val="21"/>
                <w:highlight w:val="none"/>
              </w:rPr>
              <w:t>投标人名称</w:t>
            </w:r>
            <w:bookmarkEnd w:id="2220"/>
          </w:p>
        </w:tc>
        <w:tc>
          <w:tcPr>
            <w:tcW w:w="7415" w:type="dxa"/>
            <w:gridSpan w:val="9"/>
            <w:noWrap w:val="0"/>
            <w:vAlign w:val="center"/>
          </w:tcPr>
          <w:p w14:paraId="2B77626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5565D7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1871" w:type="dxa"/>
            <w:noWrap w:val="0"/>
            <w:vAlign w:val="center"/>
          </w:tcPr>
          <w:p w14:paraId="0FCB6FB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1" w:name="_Toc221952156"/>
            <w:r>
              <w:rPr>
                <w:rFonts w:hint="eastAsia" w:ascii="宋体" w:hAnsi="宋体" w:eastAsia="宋体" w:cs="宋体"/>
                <w:color w:val="auto"/>
                <w:szCs w:val="21"/>
                <w:highlight w:val="none"/>
              </w:rPr>
              <w:t>注册地址</w:t>
            </w:r>
            <w:bookmarkEnd w:id="2221"/>
          </w:p>
        </w:tc>
        <w:tc>
          <w:tcPr>
            <w:tcW w:w="3705" w:type="dxa"/>
            <w:gridSpan w:val="5"/>
            <w:noWrap w:val="0"/>
            <w:vAlign w:val="center"/>
          </w:tcPr>
          <w:p w14:paraId="6605B8F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168" w:type="dxa"/>
            <w:noWrap w:val="0"/>
            <w:vAlign w:val="center"/>
          </w:tcPr>
          <w:p w14:paraId="44E2B49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2" w:name="_Toc221952157"/>
            <w:r>
              <w:rPr>
                <w:rFonts w:hint="eastAsia" w:ascii="宋体" w:hAnsi="宋体" w:eastAsia="宋体" w:cs="宋体"/>
                <w:color w:val="auto"/>
                <w:szCs w:val="21"/>
                <w:highlight w:val="none"/>
              </w:rPr>
              <w:t>邮政编码</w:t>
            </w:r>
            <w:bookmarkEnd w:id="2222"/>
          </w:p>
        </w:tc>
        <w:tc>
          <w:tcPr>
            <w:tcW w:w="2542" w:type="dxa"/>
            <w:gridSpan w:val="3"/>
            <w:noWrap w:val="0"/>
            <w:vAlign w:val="center"/>
          </w:tcPr>
          <w:p w14:paraId="7C8FC073">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48B3ED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5" w:hRule="atLeast"/>
          <w:jc w:val="center"/>
        </w:trPr>
        <w:tc>
          <w:tcPr>
            <w:tcW w:w="1871" w:type="dxa"/>
            <w:vMerge w:val="restart"/>
            <w:noWrap w:val="0"/>
            <w:vAlign w:val="center"/>
          </w:tcPr>
          <w:p w14:paraId="0CD6479F">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3" w:name="_Toc221952158"/>
            <w:r>
              <w:rPr>
                <w:rFonts w:hint="eastAsia" w:ascii="宋体" w:hAnsi="宋体" w:eastAsia="宋体" w:cs="宋体"/>
                <w:color w:val="auto"/>
                <w:szCs w:val="21"/>
                <w:highlight w:val="none"/>
              </w:rPr>
              <w:t>联系方式</w:t>
            </w:r>
            <w:bookmarkEnd w:id="2223"/>
          </w:p>
        </w:tc>
        <w:tc>
          <w:tcPr>
            <w:tcW w:w="971" w:type="dxa"/>
            <w:noWrap w:val="0"/>
            <w:vAlign w:val="center"/>
          </w:tcPr>
          <w:p w14:paraId="71DD74E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4" w:name="_Toc221952159"/>
            <w:r>
              <w:rPr>
                <w:rFonts w:hint="eastAsia" w:ascii="宋体" w:hAnsi="宋体" w:eastAsia="宋体" w:cs="宋体"/>
                <w:color w:val="auto"/>
                <w:szCs w:val="21"/>
                <w:highlight w:val="none"/>
              </w:rPr>
              <w:t>联系人</w:t>
            </w:r>
            <w:bookmarkEnd w:id="2224"/>
          </w:p>
        </w:tc>
        <w:tc>
          <w:tcPr>
            <w:tcW w:w="2734" w:type="dxa"/>
            <w:gridSpan w:val="4"/>
            <w:noWrap w:val="0"/>
            <w:vAlign w:val="center"/>
          </w:tcPr>
          <w:p w14:paraId="0FE3818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168" w:type="dxa"/>
            <w:noWrap w:val="0"/>
            <w:vAlign w:val="center"/>
          </w:tcPr>
          <w:p w14:paraId="7700E4C0">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5" w:name="_Toc221952160"/>
            <w:r>
              <w:rPr>
                <w:rFonts w:hint="eastAsia" w:ascii="宋体" w:hAnsi="宋体" w:eastAsia="宋体" w:cs="宋体"/>
                <w:color w:val="auto"/>
                <w:szCs w:val="21"/>
                <w:highlight w:val="none"/>
              </w:rPr>
              <w:t>电 话</w:t>
            </w:r>
            <w:bookmarkEnd w:id="2225"/>
          </w:p>
        </w:tc>
        <w:tc>
          <w:tcPr>
            <w:tcW w:w="2542" w:type="dxa"/>
            <w:gridSpan w:val="3"/>
            <w:noWrap w:val="0"/>
            <w:vAlign w:val="center"/>
          </w:tcPr>
          <w:p w14:paraId="7175E6B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73596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3" w:hRule="atLeast"/>
          <w:jc w:val="center"/>
        </w:trPr>
        <w:tc>
          <w:tcPr>
            <w:tcW w:w="1871" w:type="dxa"/>
            <w:vMerge w:val="continue"/>
            <w:noWrap w:val="0"/>
            <w:vAlign w:val="center"/>
          </w:tcPr>
          <w:p w14:paraId="4BE79A0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71" w:type="dxa"/>
            <w:noWrap w:val="0"/>
            <w:vAlign w:val="center"/>
          </w:tcPr>
          <w:p w14:paraId="7CDD6AB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6" w:name="_Toc221952161"/>
            <w:r>
              <w:rPr>
                <w:rFonts w:hint="eastAsia" w:ascii="宋体" w:hAnsi="宋体" w:eastAsia="宋体" w:cs="宋体"/>
                <w:color w:val="auto"/>
                <w:szCs w:val="21"/>
                <w:highlight w:val="none"/>
              </w:rPr>
              <w:t>传  真</w:t>
            </w:r>
            <w:bookmarkEnd w:id="2226"/>
          </w:p>
        </w:tc>
        <w:tc>
          <w:tcPr>
            <w:tcW w:w="2734" w:type="dxa"/>
            <w:gridSpan w:val="4"/>
            <w:noWrap w:val="0"/>
            <w:vAlign w:val="center"/>
          </w:tcPr>
          <w:p w14:paraId="0986327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168" w:type="dxa"/>
            <w:noWrap w:val="0"/>
            <w:vAlign w:val="center"/>
          </w:tcPr>
          <w:p w14:paraId="79143B9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7" w:name="_Toc221952162"/>
            <w:r>
              <w:rPr>
                <w:rFonts w:hint="eastAsia" w:ascii="宋体" w:hAnsi="宋体" w:eastAsia="宋体" w:cs="宋体"/>
                <w:color w:val="auto"/>
                <w:szCs w:val="21"/>
                <w:highlight w:val="none"/>
              </w:rPr>
              <w:t>网 址</w:t>
            </w:r>
            <w:bookmarkEnd w:id="2227"/>
          </w:p>
        </w:tc>
        <w:tc>
          <w:tcPr>
            <w:tcW w:w="2542" w:type="dxa"/>
            <w:gridSpan w:val="3"/>
            <w:noWrap w:val="0"/>
            <w:vAlign w:val="center"/>
          </w:tcPr>
          <w:p w14:paraId="36C86C63">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13E6FB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4" w:hRule="atLeast"/>
          <w:jc w:val="center"/>
        </w:trPr>
        <w:tc>
          <w:tcPr>
            <w:tcW w:w="1871" w:type="dxa"/>
            <w:noWrap w:val="0"/>
            <w:vAlign w:val="center"/>
          </w:tcPr>
          <w:p w14:paraId="1DB8DB9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8" w:name="_Toc221952163"/>
            <w:r>
              <w:rPr>
                <w:rFonts w:hint="eastAsia" w:ascii="宋体" w:hAnsi="宋体" w:eastAsia="宋体" w:cs="宋体"/>
                <w:color w:val="auto"/>
                <w:szCs w:val="21"/>
                <w:highlight w:val="none"/>
              </w:rPr>
              <w:t>组织结构</w:t>
            </w:r>
            <w:bookmarkEnd w:id="2228"/>
          </w:p>
        </w:tc>
        <w:tc>
          <w:tcPr>
            <w:tcW w:w="7415" w:type="dxa"/>
            <w:gridSpan w:val="9"/>
            <w:noWrap w:val="0"/>
            <w:vAlign w:val="center"/>
          </w:tcPr>
          <w:p w14:paraId="045F50DB">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156B3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1871" w:type="dxa"/>
            <w:noWrap w:val="0"/>
            <w:vAlign w:val="center"/>
          </w:tcPr>
          <w:p w14:paraId="07AB14BB">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29" w:name="_Toc221952164"/>
            <w:r>
              <w:rPr>
                <w:rFonts w:hint="eastAsia" w:ascii="宋体" w:hAnsi="宋体" w:eastAsia="宋体" w:cs="宋体"/>
                <w:color w:val="auto"/>
                <w:szCs w:val="21"/>
                <w:highlight w:val="none"/>
              </w:rPr>
              <w:t>法定代表人</w:t>
            </w:r>
            <w:bookmarkEnd w:id="2229"/>
          </w:p>
        </w:tc>
        <w:tc>
          <w:tcPr>
            <w:tcW w:w="971" w:type="dxa"/>
            <w:noWrap w:val="0"/>
            <w:vAlign w:val="center"/>
          </w:tcPr>
          <w:p w14:paraId="4E0B918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30" w:name="_Toc221952165"/>
            <w:r>
              <w:rPr>
                <w:rFonts w:hint="eastAsia" w:ascii="宋体" w:hAnsi="宋体" w:eastAsia="宋体" w:cs="宋体"/>
                <w:color w:val="auto"/>
                <w:szCs w:val="21"/>
                <w:highlight w:val="none"/>
              </w:rPr>
              <w:t>姓名</w:t>
            </w:r>
            <w:bookmarkEnd w:id="2230"/>
          </w:p>
        </w:tc>
        <w:tc>
          <w:tcPr>
            <w:tcW w:w="1031" w:type="dxa"/>
            <w:noWrap w:val="0"/>
            <w:vAlign w:val="center"/>
          </w:tcPr>
          <w:p w14:paraId="5F3009B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365" w:type="dxa"/>
            <w:gridSpan w:val="2"/>
            <w:noWrap w:val="0"/>
            <w:vAlign w:val="center"/>
          </w:tcPr>
          <w:p w14:paraId="29B9AD53">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31" w:name="_Toc221952166"/>
            <w:r>
              <w:rPr>
                <w:rFonts w:hint="eastAsia" w:ascii="宋体" w:hAnsi="宋体" w:eastAsia="宋体" w:cs="宋体"/>
                <w:color w:val="auto"/>
                <w:szCs w:val="21"/>
                <w:highlight w:val="none"/>
              </w:rPr>
              <w:t>技术职称</w:t>
            </w:r>
            <w:bookmarkEnd w:id="2231"/>
          </w:p>
        </w:tc>
        <w:tc>
          <w:tcPr>
            <w:tcW w:w="2037" w:type="dxa"/>
            <w:gridSpan w:val="3"/>
            <w:noWrap w:val="0"/>
            <w:vAlign w:val="center"/>
          </w:tcPr>
          <w:p w14:paraId="7EACE56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32" w:type="dxa"/>
            <w:noWrap w:val="0"/>
            <w:vAlign w:val="center"/>
          </w:tcPr>
          <w:p w14:paraId="2CB8E1B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32" w:name="_Toc221952167"/>
            <w:r>
              <w:rPr>
                <w:rFonts w:hint="eastAsia" w:ascii="宋体" w:hAnsi="宋体" w:eastAsia="宋体" w:cs="宋体"/>
                <w:color w:val="auto"/>
                <w:szCs w:val="21"/>
                <w:highlight w:val="none"/>
              </w:rPr>
              <w:t>电话</w:t>
            </w:r>
            <w:bookmarkEnd w:id="2232"/>
          </w:p>
        </w:tc>
        <w:tc>
          <w:tcPr>
            <w:tcW w:w="1079" w:type="dxa"/>
            <w:noWrap w:val="0"/>
            <w:vAlign w:val="center"/>
          </w:tcPr>
          <w:p w14:paraId="0D99858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3D212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1871" w:type="dxa"/>
            <w:noWrap w:val="0"/>
            <w:vAlign w:val="center"/>
          </w:tcPr>
          <w:p w14:paraId="49510EA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33" w:name="_Toc221952168"/>
            <w:r>
              <w:rPr>
                <w:rFonts w:hint="eastAsia" w:ascii="宋体" w:hAnsi="宋体" w:eastAsia="宋体" w:cs="宋体"/>
                <w:color w:val="auto"/>
                <w:szCs w:val="21"/>
                <w:highlight w:val="none"/>
              </w:rPr>
              <w:t>技术负责人</w:t>
            </w:r>
            <w:bookmarkEnd w:id="2233"/>
          </w:p>
        </w:tc>
        <w:tc>
          <w:tcPr>
            <w:tcW w:w="971" w:type="dxa"/>
            <w:noWrap w:val="0"/>
            <w:vAlign w:val="center"/>
          </w:tcPr>
          <w:p w14:paraId="6CE8346E">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34" w:name="_Toc221952169"/>
            <w:r>
              <w:rPr>
                <w:rFonts w:hint="eastAsia" w:ascii="宋体" w:hAnsi="宋体" w:eastAsia="宋体" w:cs="宋体"/>
                <w:color w:val="auto"/>
                <w:szCs w:val="21"/>
                <w:highlight w:val="none"/>
              </w:rPr>
              <w:t>姓名</w:t>
            </w:r>
            <w:bookmarkEnd w:id="2234"/>
          </w:p>
        </w:tc>
        <w:tc>
          <w:tcPr>
            <w:tcW w:w="1031" w:type="dxa"/>
            <w:noWrap w:val="0"/>
            <w:vAlign w:val="center"/>
          </w:tcPr>
          <w:p w14:paraId="57C28D0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365" w:type="dxa"/>
            <w:gridSpan w:val="2"/>
            <w:noWrap w:val="0"/>
            <w:vAlign w:val="center"/>
          </w:tcPr>
          <w:p w14:paraId="6EC520DA">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35" w:name="_Toc221952170"/>
            <w:r>
              <w:rPr>
                <w:rFonts w:hint="eastAsia" w:ascii="宋体" w:hAnsi="宋体" w:eastAsia="宋体" w:cs="宋体"/>
                <w:color w:val="auto"/>
                <w:szCs w:val="21"/>
                <w:highlight w:val="none"/>
              </w:rPr>
              <w:t>技术职称</w:t>
            </w:r>
            <w:bookmarkEnd w:id="2235"/>
          </w:p>
        </w:tc>
        <w:tc>
          <w:tcPr>
            <w:tcW w:w="2037" w:type="dxa"/>
            <w:gridSpan w:val="3"/>
            <w:noWrap w:val="0"/>
            <w:vAlign w:val="center"/>
          </w:tcPr>
          <w:p w14:paraId="39956539">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32" w:type="dxa"/>
            <w:noWrap w:val="0"/>
            <w:vAlign w:val="center"/>
          </w:tcPr>
          <w:p w14:paraId="1769D3C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36" w:name="_Toc221952171"/>
            <w:r>
              <w:rPr>
                <w:rFonts w:hint="eastAsia" w:ascii="宋体" w:hAnsi="宋体" w:eastAsia="宋体" w:cs="宋体"/>
                <w:color w:val="auto"/>
                <w:szCs w:val="21"/>
                <w:highlight w:val="none"/>
              </w:rPr>
              <w:t>电话</w:t>
            </w:r>
            <w:bookmarkEnd w:id="2236"/>
          </w:p>
        </w:tc>
        <w:tc>
          <w:tcPr>
            <w:tcW w:w="1079" w:type="dxa"/>
            <w:noWrap w:val="0"/>
            <w:vAlign w:val="center"/>
          </w:tcPr>
          <w:p w14:paraId="0727F71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358619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871" w:type="dxa"/>
            <w:noWrap w:val="0"/>
            <w:vAlign w:val="center"/>
          </w:tcPr>
          <w:p w14:paraId="1E0150A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37" w:name="_Toc221952172"/>
            <w:r>
              <w:rPr>
                <w:rFonts w:hint="eastAsia" w:ascii="宋体" w:hAnsi="宋体" w:eastAsia="宋体" w:cs="宋体"/>
                <w:color w:val="auto"/>
                <w:szCs w:val="21"/>
                <w:highlight w:val="none"/>
              </w:rPr>
              <w:t>成立时间</w:t>
            </w:r>
            <w:bookmarkEnd w:id="2237"/>
          </w:p>
        </w:tc>
        <w:tc>
          <w:tcPr>
            <w:tcW w:w="2002" w:type="dxa"/>
            <w:gridSpan w:val="2"/>
            <w:noWrap w:val="0"/>
            <w:vAlign w:val="center"/>
          </w:tcPr>
          <w:p w14:paraId="69C8752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3402" w:type="dxa"/>
            <w:gridSpan w:val="5"/>
            <w:noWrap w:val="0"/>
            <w:vAlign w:val="center"/>
          </w:tcPr>
          <w:p w14:paraId="3CA2CB3E">
            <w:pPr>
              <w:keepNext w:val="0"/>
              <w:keepLines w:val="0"/>
              <w:widowControl/>
              <w:suppressLineNumbers w:val="0"/>
              <w:topLinePunct/>
              <w:spacing w:before="0" w:beforeAutospacing="0" w:after="0" w:afterAutospacing="0" w:line="440" w:lineRule="exact"/>
              <w:ind w:left="0" w:right="0" w:firstLine="1050" w:firstLineChars="500"/>
              <w:jc w:val="left"/>
              <w:rPr>
                <w:rFonts w:hint="default" w:ascii="宋体" w:hAnsi="宋体" w:eastAsia="宋体" w:cs="宋体"/>
                <w:color w:val="auto"/>
                <w:szCs w:val="21"/>
                <w:highlight w:val="none"/>
              </w:rPr>
            </w:pPr>
            <w:bookmarkStart w:id="2238" w:name="_Toc221952173"/>
            <w:r>
              <w:rPr>
                <w:rFonts w:hint="eastAsia" w:ascii="宋体" w:hAnsi="宋体" w:eastAsia="宋体" w:cs="宋体"/>
                <w:color w:val="auto"/>
                <w:szCs w:val="21"/>
                <w:highlight w:val="none"/>
              </w:rPr>
              <w:t>员工总人数</w:t>
            </w:r>
            <w:bookmarkEnd w:id="2238"/>
          </w:p>
        </w:tc>
        <w:tc>
          <w:tcPr>
            <w:tcW w:w="2011" w:type="dxa"/>
            <w:gridSpan w:val="2"/>
            <w:noWrap w:val="0"/>
            <w:vAlign w:val="center"/>
          </w:tcPr>
          <w:p w14:paraId="26E64A3E">
            <w:pPr>
              <w:keepNext w:val="0"/>
              <w:keepLines w:val="0"/>
              <w:widowControl/>
              <w:suppressLineNumbers w:val="0"/>
              <w:topLinePunct/>
              <w:spacing w:before="0" w:beforeAutospacing="0" w:after="0" w:afterAutospacing="0" w:line="440" w:lineRule="exact"/>
              <w:ind w:left="0" w:right="0"/>
              <w:jc w:val="left"/>
              <w:rPr>
                <w:rFonts w:hint="default" w:ascii="宋体" w:hAnsi="宋体" w:eastAsia="宋体" w:cs="宋体"/>
                <w:color w:val="auto"/>
                <w:szCs w:val="21"/>
                <w:highlight w:val="none"/>
              </w:rPr>
            </w:pPr>
          </w:p>
        </w:tc>
      </w:tr>
      <w:tr w14:paraId="1C0392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8" w:hRule="atLeast"/>
          <w:jc w:val="center"/>
        </w:trPr>
        <w:tc>
          <w:tcPr>
            <w:tcW w:w="1871" w:type="dxa"/>
            <w:noWrap w:val="0"/>
            <w:vAlign w:val="center"/>
          </w:tcPr>
          <w:p w14:paraId="78019EF7">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39" w:name="_Toc221952174"/>
            <w:r>
              <w:rPr>
                <w:rFonts w:hint="eastAsia" w:ascii="宋体" w:hAnsi="宋体" w:eastAsia="宋体" w:cs="宋体"/>
                <w:color w:val="auto"/>
                <w:szCs w:val="21"/>
                <w:highlight w:val="none"/>
              </w:rPr>
              <w:t>企业资质等级</w:t>
            </w:r>
            <w:bookmarkEnd w:id="2239"/>
          </w:p>
        </w:tc>
        <w:tc>
          <w:tcPr>
            <w:tcW w:w="2002" w:type="dxa"/>
            <w:gridSpan w:val="2"/>
            <w:noWrap w:val="0"/>
            <w:vAlign w:val="center"/>
          </w:tcPr>
          <w:p w14:paraId="43CF073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restart"/>
            <w:noWrap w:val="0"/>
            <w:vAlign w:val="center"/>
          </w:tcPr>
          <w:p w14:paraId="1228E52E">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40" w:name="_Toc221952175"/>
            <w:r>
              <w:rPr>
                <w:rFonts w:hint="eastAsia" w:ascii="宋体" w:hAnsi="宋体" w:eastAsia="宋体" w:cs="宋体"/>
                <w:color w:val="auto"/>
                <w:szCs w:val="21"/>
                <w:highlight w:val="none"/>
              </w:rPr>
              <w:t>其中</w:t>
            </w:r>
            <w:bookmarkEnd w:id="2240"/>
          </w:p>
        </w:tc>
        <w:tc>
          <w:tcPr>
            <w:tcW w:w="2492" w:type="dxa"/>
            <w:gridSpan w:val="4"/>
            <w:noWrap w:val="0"/>
            <w:vAlign w:val="center"/>
          </w:tcPr>
          <w:p w14:paraId="006C775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41" w:name="_Toc221952176"/>
            <w:r>
              <w:rPr>
                <w:rFonts w:hint="eastAsia" w:ascii="宋体" w:hAnsi="宋体" w:eastAsia="宋体" w:cs="宋体"/>
                <w:color w:val="auto"/>
                <w:szCs w:val="21"/>
                <w:highlight w:val="none"/>
              </w:rPr>
              <w:t>项目经理</w:t>
            </w:r>
            <w:bookmarkEnd w:id="2241"/>
          </w:p>
        </w:tc>
        <w:tc>
          <w:tcPr>
            <w:tcW w:w="2011" w:type="dxa"/>
            <w:gridSpan w:val="2"/>
            <w:noWrap w:val="0"/>
            <w:vAlign w:val="center"/>
          </w:tcPr>
          <w:p w14:paraId="2B62EAA1">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605099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jc w:val="center"/>
        </w:trPr>
        <w:tc>
          <w:tcPr>
            <w:tcW w:w="1871" w:type="dxa"/>
            <w:noWrap w:val="0"/>
            <w:vAlign w:val="center"/>
          </w:tcPr>
          <w:p w14:paraId="19657FB0">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42" w:name="_Toc221952177"/>
            <w:r>
              <w:rPr>
                <w:rFonts w:hint="eastAsia" w:ascii="宋体" w:hAnsi="宋体" w:eastAsia="宋体" w:cs="宋体"/>
                <w:color w:val="auto"/>
                <w:szCs w:val="21"/>
                <w:highlight w:val="none"/>
              </w:rPr>
              <w:t>营业执照号</w:t>
            </w:r>
            <w:bookmarkEnd w:id="2242"/>
          </w:p>
        </w:tc>
        <w:tc>
          <w:tcPr>
            <w:tcW w:w="2002" w:type="dxa"/>
            <w:gridSpan w:val="2"/>
            <w:noWrap w:val="0"/>
            <w:vAlign w:val="center"/>
          </w:tcPr>
          <w:p w14:paraId="567FBFD0">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continue"/>
            <w:noWrap w:val="0"/>
            <w:vAlign w:val="center"/>
          </w:tcPr>
          <w:p w14:paraId="4F06487F">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2492" w:type="dxa"/>
            <w:gridSpan w:val="4"/>
            <w:noWrap w:val="0"/>
            <w:vAlign w:val="center"/>
          </w:tcPr>
          <w:p w14:paraId="30B01E8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43" w:name="_Toc221952178"/>
            <w:r>
              <w:rPr>
                <w:rFonts w:hint="eastAsia" w:ascii="宋体" w:hAnsi="宋体" w:eastAsia="宋体" w:cs="宋体"/>
                <w:color w:val="auto"/>
                <w:szCs w:val="21"/>
                <w:highlight w:val="none"/>
              </w:rPr>
              <w:t>高级职称人员</w:t>
            </w:r>
            <w:bookmarkEnd w:id="2243"/>
          </w:p>
        </w:tc>
        <w:tc>
          <w:tcPr>
            <w:tcW w:w="2011" w:type="dxa"/>
            <w:gridSpan w:val="2"/>
            <w:noWrap w:val="0"/>
            <w:vAlign w:val="center"/>
          </w:tcPr>
          <w:p w14:paraId="47D0DC77">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433C55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4" w:hRule="atLeast"/>
          <w:jc w:val="center"/>
        </w:trPr>
        <w:tc>
          <w:tcPr>
            <w:tcW w:w="1871" w:type="dxa"/>
            <w:noWrap w:val="0"/>
            <w:vAlign w:val="center"/>
          </w:tcPr>
          <w:p w14:paraId="7387E4D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44" w:name="_Toc221952179"/>
            <w:r>
              <w:rPr>
                <w:rFonts w:hint="eastAsia" w:ascii="宋体" w:hAnsi="宋体" w:eastAsia="宋体" w:cs="宋体"/>
                <w:color w:val="auto"/>
                <w:szCs w:val="21"/>
                <w:highlight w:val="none"/>
              </w:rPr>
              <w:t>注册资金</w:t>
            </w:r>
            <w:bookmarkEnd w:id="2244"/>
          </w:p>
        </w:tc>
        <w:tc>
          <w:tcPr>
            <w:tcW w:w="2002" w:type="dxa"/>
            <w:gridSpan w:val="2"/>
            <w:noWrap w:val="0"/>
            <w:vAlign w:val="center"/>
          </w:tcPr>
          <w:p w14:paraId="78DBC9B7">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continue"/>
            <w:noWrap w:val="0"/>
            <w:vAlign w:val="center"/>
          </w:tcPr>
          <w:p w14:paraId="0B288FF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2492" w:type="dxa"/>
            <w:gridSpan w:val="4"/>
            <w:noWrap w:val="0"/>
            <w:vAlign w:val="center"/>
          </w:tcPr>
          <w:p w14:paraId="7484954B">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45" w:name="_Toc221952180"/>
            <w:r>
              <w:rPr>
                <w:rFonts w:hint="eastAsia" w:ascii="宋体" w:hAnsi="宋体" w:eastAsia="宋体" w:cs="宋体"/>
                <w:color w:val="auto"/>
                <w:szCs w:val="21"/>
                <w:highlight w:val="none"/>
              </w:rPr>
              <w:t>中级职称人员</w:t>
            </w:r>
            <w:bookmarkEnd w:id="2245"/>
          </w:p>
        </w:tc>
        <w:tc>
          <w:tcPr>
            <w:tcW w:w="2011" w:type="dxa"/>
            <w:gridSpan w:val="2"/>
            <w:noWrap w:val="0"/>
            <w:vAlign w:val="center"/>
          </w:tcPr>
          <w:p w14:paraId="695DF66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4AE61B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6" w:hRule="atLeast"/>
          <w:jc w:val="center"/>
        </w:trPr>
        <w:tc>
          <w:tcPr>
            <w:tcW w:w="1871" w:type="dxa"/>
            <w:noWrap w:val="0"/>
            <w:vAlign w:val="center"/>
          </w:tcPr>
          <w:p w14:paraId="3F7D61DF">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46" w:name="_Toc221952181"/>
            <w:r>
              <w:rPr>
                <w:rFonts w:hint="eastAsia" w:ascii="宋体" w:hAnsi="宋体" w:eastAsia="宋体" w:cs="宋体"/>
                <w:color w:val="auto"/>
                <w:szCs w:val="21"/>
                <w:highlight w:val="none"/>
              </w:rPr>
              <w:t>开户银行</w:t>
            </w:r>
            <w:bookmarkEnd w:id="2246"/>
          </w:p>
        </w:tc>
        <w:tc>
          <w:tcPr>
            <w:tcW w:w="2002" w:type="dxa"/>
            <w:gridSpan w:val="2"/>
            <w:noWrap w:val="0"/>
            <w:vAlign w:val="center"/>
          </w:tcPr>
          <w:p w14:paraId="1C0DE8C0">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continue"/>
            <w:noWrap w:val="0"/>
            <w:vAlign w:val="center"/>
          </w:tcPr>
          <w:p w14:paraId="447564D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2492" w:type="dxa"/>
            <w:gridSpan w:val="4"/>
            <w:noWrap w:val="0"/>
            <w:vAlign w:val="center"/>
          </w:tcPr>
          <w:p w14:paraId="7C25A2A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47" w:name="_Toc221952182"/>
            <w:r>
              <w:rPr>
                <w:rFonts w:hint="eastAsia" w:ascii="宋体" w:hAnsi="宋体" w:eastAsia="宋体" w:cs="宋体"/>
                <w:color w:val="auto"/>
                <w:szCs w:val="21"/>
                <w:highlight w:val="none"/>
              </w:rPr>
              <w:t>初级职称人员</w:t>
            </w:r>
            <w:bookmarkEnd w:id="2247"/>
          </w:p>
        </w:tc>
        <w:tc>
          <w:tcPr>
            <w:tcW w:w="2011" w:type="dxa"/>
            <w:gridSpan w:val="2"/>
            <w:noWrap w:val="0"/>
            <w:vAlign w:val="center"/>
          </w:tcPr>
          <w:p w14:paraId="0B9B21D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3D41B7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6" w:hRule="atLeast"/>
          <w:jc w:val="center"/>
        </w:trPr>
        <w:tc>
          <w:tcPr>
            <w:tcW w:w="1871" w:type="dxa"/>
            <w:noWrap w:val="0"/>
            <w:vAlign w:val="center"/>
          </w:tcPr>
          <w:p w14:paraId="30905989">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48" w:name="_Toc221952183"/>
            <w:r>
              <w:rPr>
                <w:rFonts w:hint="eastAsia" w:ascii="宋体" w:hAnsi="宋体" w:eastAsia="宋体" w:cs="宋体"/>
                <w:color w:val="auto"/>
                <w:szCs w:val="21"/>
                <w:highlight w:val="none"/>
              </w:rPr>
              <w:t>账号</w:t>
            </w:r>
            <w:bookmarkEnd w:id="2248"/>
          </w:p>
        </w:tc>
        <w:tc>
          <w:tcPr>
            <w:tcW w:w="2002" w:type="dxa"/>
            <w:gridSpan w:val="2"/>
            <w:noWrap w:val="0"/>
            <w:vAlign w:val="center"/>
          </w:tcPr>
          <w:p w14:paraId="6D71D0D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continue"/>
            <w:noWrap w:val="0"/>
            <w:vAlign w:val="center"/>
          </w:tcPr>
          <w:p w14:paraId="712CCA3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2492" w:type="dxa"/>
            <w:gridSpan w:val="4"/>
            <w:noWrap w:val="0"/>
            <w:vAlign w:val="center"/>
          </w:tcPr>
          <w:p w14:paraId="13989134">
            <w:pPr>
              <w:keepNext w:val="0"/>
              <w:keepLines w:val="0"/>
              <w:widowControl/>
              <w:suppressLineNumbers w:val="0"/>
              <w:spacing w:before="0" w:beforeAutospacing="0" w:after="0" w:afterAutospacing="0"/>
              <w:ind w:left="0" w:right="0"/>
              <w:jc w:val="center"/>
              <w:rPr>
                <w:rFonts w:hint="default" w:ascii="宋体" w:hAnsi="宋体" w:eastAsia="宋体" w:cs="宋体"/>
                <w:color w:val="auto"/>
                <w:szCs w:val="21"/>
                <w:highlight w:val="none"/>
              </w:rPr>
            </w:pPr>
            <w:bookmarkStart w:id="2249" w:name="_Toc221952184"/>
            <w:r>
              <w:rPr>
                <w:rFonts w:hint="eastAsia" w:ascii="宋体" w:hAnsi="宋体" w:eastAsia="宋体" w:cs="宋体"/>
                <w:color w:val="auto"/>
                <w:szCs w:val="21"/>
                <w:highlight w:val="none"/>
              </w:rPr>
              <w:t>技  工</w:t>
            </w:r>
            <w:bookmarkEnd w:id="2249"/>
          </w:p>
        </w:tc>
        <w:tc>
          <w:tcPr>
            <w:tcW w:w="2011" w:type="dxa"/>
            <w:gridSpan w:val="2"/>
            <w:noWrap w:val="0"/>
            <w:vAlign w:val="center"/>
          </w:tcPr>
          <w:p w14:paraId="446522A1">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2DAC01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80" w:hRule="atLeast"/>
          <w:jc w:val="center"/>
        </w:trPr>
        <w:tc>
          <w:tcPr>
            <w:tcW w:w="1871" w:type="dxa"/>
            <w:noWrap w:val="0"/>
            <w:vAlign w:val="center"/>
          </w:tcPr>
          <w:p w14:paraId="5AC8E95B">
            <w:pPr>
              <w:keepNext w:val="0"/>
              <w:keepLines w:val="0"/>
              <w:widowControl/>
              <w:suppressLineNumbers w:val="0"/>
              <w:topLinePunct/>
              <w:spacing w:before="0" w:beforeAutospacing="0" w:after="0" w:afterAutospacing="0" w:line="440" w:lineRule="exact"/>
              <w:ind w:left="0" w:right="0" w:firstLine="210" w:firstLineChars="100"/>
              <w:jc w:val="center"/>
              <w:rPr>
                <w:rFonts w:hint="default" w:ascii="宋体" w:hAnsi="宋体" w:eastAsia="宋体" w:cs="宋体"/>
                <w:color w:val="auto"/>
                <w:szCs w:val="21"/>
                <w:highlight w:val="none"/>
              </w:rPr>
            </w:pPr>
            <w:bookmarkStart w:id="2250" w:name="_Toc221952185"/>
            <w:r>
              <w:rPr>
                <w:rFonts w:hint="eastAsia" w:ascii="宋体" w:hAnsi="宋体" w:eastAsia="宋体" w:cs="宋体"/>
                <w:color w:val="auto"/>
                <w:szCs w:val="21"/>
                <w:highlight w:val="none"/>
              </w:rPr>
              <w:t>经营范围</w:t>
            </w:r>
            <w:bookmarkEnd w:id="2250"/>
          </w:p>
        </w:tc>
        <w:tc>
          <w:tcPr>
            <w:tcW w:w="7415" w:type="dxa"/>
            <w:gridSpan w:val="9"/>
            <w:noWrap w:val="0"/>
            <w:vAlign w:val="center"/>
          </w:tcPr>
          <w:p w14:paraId="4789FEB7">
            <w:pPr>
              <w:keepNext w:val="0"/>
              <w:keepLines w:val="0"/>
              <w:widowControl/>
              <w:suppressLineNumbers w:val="0"/>
              <w:topLinePunct/>
              <w:spacing w:before="0" w:beforeAutospacing="0" w:after="0" w:afterAutospacing="0" w:line="440" w:lineRule="exact"/>
              <w:ind w:left="0" w:right="0"/>
              <w:jc w:val="left"/>
              <w:rPr>
                <w:rFonts w:hint="default" w:ascii="宋体" w:hAnsi="宋体" w:eastAsia="宋体" w:cs="宋体"/>
                <w:color w:val="auto"/>
                <w:szCs w:val="21"/>
                <w:highlight w:val="none"/>
              </w:rPr>
            </w:pPr>
          </w:p>
          <w:p w14:paraId="55A9389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p w14:paraId="67EB8B1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p w14:paraId="7E1DCA9E">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p w14:paraId="06D4AC7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p w14:paraId="0A0E195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5FC58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1871" w:type="dxa"/>
            <w:noWrap w:val="0"/>
            <w:vAlign w:val="center"/>
          </w:tcPr>
          <w:p w14:paraId="6D536B79">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bookmarkStart w:id="2251" w:name="_Toc221952186"/>
            <w:r>
              <w:rPr>
                <w:rFonts w:hint="eastAsia" w:ascii="宋体" w:hAnsi="宋体" w:eastAsia="宋体" w:cs="宋体"/>
                <w:color w:val="auto"/>
                <w:szCs w:val="21"/>
                <w:highlight w:val="none"/>
              </w:rPr>
              <w:t>备注</w:t>
            </w:r>
            <w:bookmarkEnd w:id="2251"/>
          </w:p>
        </w:tc>
        <w:tc>
          <w:tcPr>
            <w:tcW w:w="7415" w:type="dxa"/>
            <w:gridSpan w:val="9"/>
            <w:noWrap w:val="0"/>
            <w:vAlign w:val="center"/>
          </w:tcPr>
          <w:p w14:paraId="7E81AC0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bl>
    <w:p w14:paraId="5DF2F460">
      <w:pPr>
        <w:widowControl/>
        <w:spacing w:line="400" w:lineRule="exact"/>
        <w:ind w:firstLine="105" w:firstLineChars="50"/>
        <w:jc w:val="left"/>
        <w:rPr>
          <w:rFonts w:hint="eastAsia" w:ascii="宋体" w:hAnsi="宋体" w:eastAsia="宋体" w:cs="宋体"/>
          <w:b/>
          <w:color w:val="auto"/>
          <w:spacing w:val="-5"/>
          <w:szCs w:val="21"/>
          <w:highlight w:val="none"/>
        </w:rPr>
      </w:pPr>
      <w:bookmarkStart w:id="2252" w:name="_Toc266886266"/>
      <w:bookmarkStart w:id="2253" w:name="_Toc222032739"/>
      <w:bookmarkStart w:id="2254" w:name="_Toc152047267"/>
      <w:bookmarkStart w:id="2255" w:name="_Toc222031072"/>
      <w:bookmarkStart w:id="2256" w:name="_Toc221952187"/>
      <w:bookmarkStart w:id="2257" w:name="_Toc229305430"/>
      <w:bookmarkStart w:id="2258" w:name="_Toc266891018"/>
      <w:bookmarkStart w:id="2259" w:name="_Toc222033921"/>
      <w:bookmarkStart w:id="2260" w:name="_Toc222029570"/>
      <w:bookmarkStart w:id="2261" w:name="_Toc179715760"/>
      <w:r>
        <w:rPr>
          <w:rFonts w:hint="eastAsia" w:ascii="宋体" w:hAnsi="宋体" w:eastAsia="宋体" w:cs="宋体"/>
          <w:b/>
          <w:bCs/>
          <w:caps w:val="0"/>
          <w:smallCaps w:val="0"/>
          <w:color w:val="auto"/>
          <w:spacing w:val="0"/>
          <w:w w:val="100"/>
          <w:position w:val="0"/>
          <w:sz w:val="21"/>
          <w:szCs w:val="21"/>
          <w:highlight w:val="none"/>
          <w:lang w:eastAsia="zh-CN"/>
        </w:rPr>
        <w:t>注：投标人应根据投标人须知第3.5.1项的要求在本表后</w:t>
      </w:r>
      <w:r>
        <w:rPr>
          <w:rFonts w:hint="eastAsia" w:ascii="宋体" w:hAnsi="宋体" w:eastAsia="宋体" w:cs="宋体"/>
          <w:b/>
          <w:color w:val="auto"/>
          <w:spacing w:val="-5"/>
          <w:szCs w:val="21"/>
          <w:highlight w:val="none"/>
        </w:rPr>
        <w:t>附营业执照、安全生产许可证、资质证书等</w:t>
      </w:r>
      <w:r>
        <w:rPr>
          <w:rFonts w:hint="eastAsia" w:ascii="宋体" w:hAnsi="宋体" w:eastAsia="宋体" w:cs="宋体"/>
          <w:b/>
          <w:color w:val="auto"/>
          <w:spacing w:val="-5"/>
          <w:szCs w:val="21"/>
          <w:highlight w:val="none"/>
          <w:lang w:eastAsia="zh-CN"/>
        </w:rPr>
        <w:t>相关证明材料</w:t>
      </w:r>
      <w:r>
        <w:rPr>
          <w:rFonts w:hint="eastAsia" w:ascii="宋体" w:hAnsi="宋体" w:eastAsia="宋体" w:cs="宋体"/>
          <w:b/>
          <w:color w:val="auto"/>
          <w:spacing w:val="-5"/>
          <w:szCs w:val="21"/>
          <w:highlight w:val="none"/>
        </w:rPr>
        <w:t>。</w:t>
      </w:r>
      <w:r>
        <w:rPr>
          <w:rFonts w:hint="eastAsia" w:ascii="宋体" w:hAnsi="宋体" w:eastAsia="宋体" w:cs="宋体"/>
          <w:b/>
          <w:color w:val="auto"/>
          <w:spacing w:val="-5"/>
          <w:szCs w:val="21"/>
          <w:highlight w:val="none"/>
        </w:rPr>
        <w:br w:type="page"/>
      </w:r>
    </w:p>
    <w:p w14:paraId="366D0583">
      <w:pPr>
        <w:widowControl/>
        <w:adjustRightInd w:val="0"/>
        <w:snapToGrid w:val="0"/>
        <w:spacing w:line="360" w:lineRule="auto"/>
        <w:jc w:val="cente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（二）近年财务状况</w:t>
      </w:r>
    </w:p>
    <w:p w14:paraId="473C4AE9">
      <w:pPr>
        <w:widowControl/>
        <w:spacing w:line="400" w:lineRule="exact"/>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财 务 状 况 表</w:t>
      </w:r>
    </w:p>
    <w:tbl>
      <w:tblPr>
        <w:tblStyle w:val="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858"/>
        <w:gridCol w:w="1857"/>
        <w:gridCol w:w="1857"/>
        <w:gridCol w:w="1857"/>
        <w:gridCol w:w="1857"/>
      </w:tblGrid>
      <w:tr w14:paraId="060FE7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3E34E08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p>
        </w:tc>
        <w:tc>
          <w:tcPr>
            <w:tcW w:w="1857" w:type="dxa"/>
            <w:noWrap w:val="0"/>
            <w:vAlign w:val="top"/>
          </w:tcPr>
          <w:p w14:paraId="4EE6FF5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   位</w:t>
            </w:r>
          </w:p>
        </w:tc>
        <w:tc>
          <w:tcPr>
            <w:tcW w:w="1857" w:type="dxa"/>
            <w:noWrap w:val="0"/>
            <w:vAlign w:val="center"/>
          </w:tcPr>
          <w:p w14:paraId="7E5FE18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年度</w:t>
            </w:r>
          </w:p>
        </w:tc>
        <w:tc>
          <w:tcPr>
            <w:tcW w:w="1857" w:type="dxa"/>
            <w:noWrap w:val="0"/>
            <w:vAlign w:val="center"/>
          </w:tcPr>
          <w:p w14:paraId="12FB9A7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年度</w:t>
            </w:r>
          </w:p>
        </w:tc>
        <w:tc>
          <w:tcPr>
            <w:tcW w:w="1857" w:type="dxa"/>
            <w:noWrap w:val="0"/>
            <w:vAlign w:val="center"/>
          </w:tcPr>
          <w:p w14:paraId="034DA401">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年度</w:t>
            </w:r>
          </w:p>
        </w:tc>
      </w:tr>
      <w:tr w14:paraId="132BE2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770C850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一、注册资金</w:t>
            </w:r>
          </w:p>
        </w:tc>
        <w:tc>
          <w:tcPr>
            <w:tcW w:w="1857" w:type="dxa"/>
            <w:noWrap w:val="0"/>
            <w:vAlign w:val="top"/>
          </w:tcPr>
          <w:p w14:paraId="4E4A721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2B8661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614C24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2F8CFA5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56A8A8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6A393CA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二、净资产</w:t>
            </w:r>
          </w:p>
        </w:tc>
        <w:tc>
          <w:tcPr>
            <w:tcW w:w="1857" w:type="dxa"/>
            <w:noWrap w:val="0"/>
            <w:vAlign w:val="top"/>
          </w:tcPr>
          <w:p w14:paraId="58D6E0A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5CF8CA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12443E2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69E86D2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0CB6E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0D00A63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三、总资产</w:t>
            </w:r>
          </w:p>
        </w:tc>
        <w:tc>
          <w:tcPr>
            <w:tcW w:w="1857" w:type="dxa"/>
            <w:noWrap w:val="0"/>
            <w:vAlign w:val="top"/>
          </w:tcPr>
          <w:p w14:paraId="1BECE13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A340B3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403555C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42F02D2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13B4D5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0C2E9AE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四、固定资产</w:t>
            </w:r>
          </w:p>
        </w:tc>
        <w:tc>
          <w:tcPr>
            <w:tcW w:w="1857" w:type="dxa"/>
            <w:noWrap w:val="0"/>
            <w:vAlign w:val="top"/>
          </w:tcPr>
          <w:p w14:paraId="3CDFB7B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0E6C822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2B940C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1F1D56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132D0B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5AA723E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五、流动资产</w:t>
            </w:r>
          </w:p>
        </w:tc>
        <w:tc>
          <w:tcPr>
            <w:tcW w:w="1857" w:type="dxa"/>
            <w:noWrap w:val="0"/>
            <w:vAlign w:val="top"/>
          </w:tcPr>
          <w:p w14:paraId="5B424F1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7C1366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192BCCE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7BF835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756B72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6C383C8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六、流动负债</w:t>
            </w:r>
          </w:p>
        </w:tc>
        <w:tc>
          <w:tcPr>
            <w:tcW w:w="1857" w:type="dxa"/>
            <w:noWrap w:val="0"/>
            <w:vAlign w:val="top"/>
          </w:tcPr>
          <w:p w14:paraId="151CAAB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5CFF2B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C98AF0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64A6977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8F871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1944196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七、负债合计</w:t>
            </w:r>
          </w:p>
        </w:tc>
        <w:tc>
          <w:tcPr>
            <w:tcW w:w="1857" w:type="dxa"/>
            <w:noWrap w:val="0"/>
            <w:vAlign w:val="top"/>
          </w:tcPr>
          <w:p w14:paraId="0D0C87D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0B3A47E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44FDF5F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63FC627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2AED20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5181B5C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八、营业收入</w:t>
            </w:r>
          </w:p>
        </w:tc>
        <w:tc>
          <w:tcPr>
            <w:tcW w:w="1857" w:type="dxa"/>
            <w:noWrap w:val="0"/>
            <w:vAlign w:val="top"/>
          </w:tcPr>
          <w:p w14:paraId="13BA816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6DD64D1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160E243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1503E0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33E17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58B64ED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九、净利润</w:t>
            </w:r>
          </w:p>
        </w:tc>
        <w:tc>
          <w:tcPr>
            <w:tcW w:w="1857" w:type="dxa"/>
            <w:noWrap w:val="0"/>
            <w:vAlign w:val="top"/>
          </w:tcPr>
          <w:p w14:paraId="0DC15BF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D30101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BC314E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FF1105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0064A5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7BC341F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F023F3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669F19A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259EB79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296BBF55">
            <w:pPr>
              <w:keepNext w:val="0"/>
              <w:keepLines w:val="0"/>
              <w:widowControl/>
              <w:suppressLineNumbers w:val="0"/>
              <w:spacing w:before="0" w:beforeAutospacing="0" w:after="0" w:afterAutospacing="0" w:line="400" w:lineRule="exact"/>
              <w:ind w:left="0" w:right="0"/>
              <w:jc w:val="left"/>
              <w:rPr>
                <w:rFonts w:hint="default" w:ascii="宋体" w:hAnsi="宋体" w:eastAsia="宋体" w:cs="宋体"/>
                <w:color w:val="auto"/>
                <w:szCs w:val="21"/>
                <w:highlight w:val="none"/>
                <w:lang w:val="en-US" w:eastAsia="zh-CN"/>
              </w:rPr>
            </w:pPr>
          </w:p>
        </w:tc>
      </w:tr>
    </w:tbl>
    <w:p w14:paraId="10B89E28">
      <w:pPr>
        <w:widowControl/>
        <w:spacing w:line="400" w:lineRule="exact"/>
        <w:jc w:val="left"/>
        <w:rPr>
          <w:rFonts w:hint="eastAsia" w:ascii="宋体" w:hAnsi="宋体" w:eastAsia="宋体" w:cs="宋体"/>
          <w:b/>
          <w:color w:val="auto"/>
          <w:szCs w:val="21"/>
          <w:highlight w:val="none"/>
        </w:rPr>
      </w:pPr>
    </w:p>
    <w:p w14:paraId="728FA0EC">
      <w:pPr>
        <w:widowControl/>
        <w:jc w:val="center"/>
        <w:rPr>
          <w:rFonts w:hint="eastAsia" w:ascii="宋体" w:hAnsi="宋体" w:eastAsia="宋体" w:cs="宋体"/>
          <w:b/>
          <w:color w:val="auto"/>
          <w:szCs w:val="22"/>
          <w:highlight w:val="none"/>
        </w:rPr>
      </w:pPr>
    </w:p>
    <w:p w14:paraId="12809D2A">
      <w:pPr>
        <w:widowControl/>
        <w:jc w:val="center"/>
        <w:rPr>
          <w:rFonts w:hint="eastAsia" w:ascii="宋体" w:hAnsi="宋体" w:eastAsia="宋体" w:cs="宋体"/>
          <w:b/>
          <w:color w:val="auto"/>
          <w:szCs w:val="22"/>
          <w:highlight w:val="none"/>
        </w:rPr>
      </w:pPr>
    </w:p>
    <w:p w14:paraId="0F39F15A">
      <w:pPr>
        <w:widowControl/>
        <w:jc w:val="center"/>
        <w:rPr>
          <w:rFonts w:hint="eastAsia" w:ascii="宋体" w:hAnsi="宋体" w:eastAsia="宋体" w:cs="宋体"/>
          <w:b/>
          <w:color w:val="auto"/>
          <w:szCs w:val="22"/>
          <w:highlight w:val="none"/>
        </w:rPr>
      </w:pPr>
    </w:p>
    <w:p w14:paraId="78EC1B12">
      <w:pPr>
        <w:widowControl/>
        <w:jc w:val="center"/>
        <w:rPr>
          <w:rFonts w:hint="eastAsia" w:ascii="宋体" w:hAnsi="宋体" w:eastAsia="宋体" w:cs="宋体"/>
          <w:b/>
          <w:color w:val="auto"/>
          <w:szCs w:val="22"/>
          <w:highlight w:val="none"/>
        </w:rPr>
      </w:pPr>
    </w:p>
    <w:p w14:paraId="117BC614">
      <w:pPr>
        <w:widowControl/>
        <w:jc w:val="center"/>
        <w:rPr>
          <w:rFonts w:hint="eastAsia" w:ascii="宋体" w:hAnsi="宋体" w:eastAsia="宋体" w:cs="宋体"/>
          <w:b/>
          <w:color w:val="auto"/>
          <w:szCs w:val="22"/>
          <w:highlight w:val="none"/>
        </w:rPr>
      </w:pPr>
    </w:p>
    <w:p w14:paraId="26BA3FAC">
      <w:pPr>
        <w:widowControl/>
        <w:jc w:val="center"/>
        <w:rPr>
          <w:rFonts w:hint="eastAsia" w:ascii="宋体" w:hAnsi="宋体" w:eastAsia="宋体" w:cs="宋体"/>
          <w:b/>
          <w:color w:val="auto"/>
          <w:szCs w:val="22"/>
          <w:highlight w:val="none"/>
        </w:rPr>
      </w:pPr>
    </w:p>
    <w:p w14:paraId="471E2AEA">
      <w:pPr>
        <w:widowControl/>
        <w:jc w:val="center"/>
        <w:rPr>
          <w:rFonts w:hint="eastAsia" w:ascii="宋体" w:hAnsi="宋体" w:eastAsia="宋体" w:cs="宋体"/>
          <w:b/>
          <w:color w:val="auto"/>
          <w:szCs w:val="22"/>
          <w:highlight w:val="none"/>
        </w:rPr>
      </w:pPr>
    </w:p>
    <w:p w14:paraId="05840234">
      <w:pPr>
        <w:widowControl/>
        <w:jc w:val="center"/>
        <w:rPr>
          <w:rFonts w:hint="eastAsia" w:ascii="宋体" w:hAnsi="宋体" w:eastAsia="宋体" w:cs="宋体"/>
          <w:b/>
          <w:color w:val="auto"/>
          <w:szCs w:val="22"/>
          <w:highlight w:val="none"/>
        </w:rPr>
      </w:pPr>
    </w:p>
    <w:p w14:paraId="2AC7570F">
      <w:pPr>
        <w:widowControl/>
        <w:jc w:val="center"/>
        <w:rPr>
          <w:rFonts w:hint="eastAsia" w:ascii="宋体" w:hAnsi="宋体" w:eastAsia="宋体" w:cs="宋体"/>
          <w:b/>
          <w:color w:val="auto"/>
          <w:szCs w:val="22"/>
          <w:highlight w:val="none"/>
        </w:rPr>
      </w:pPr>
    </w:p>
    <w:p w14:paraId="6BE597EE">
      <w:pPr>
        <w:widowControl/>
        <w:jc w:val="center"/>
        <w:rPr>
          <w:rFonts w:hint="eastAsia" w:ascii="宋体" w:hAnsi="宋体" w:eastAsia="宋体" w:cs="宋体"/>
          <w:b/>
          <w:color w:val="auto"/>
          <w:szCs w:val="22"/>
          <w:highlight w:val="none"/>
        </w:rPr>
      </w:pPr>
    </w:p>
    <w:p w14:paraId="7729917F">
      <w:pPr>
        <w:widowControl/>
        <w:jc w:val="center"/>
        <w:rPr>
          <w:rFonts w:hint="eastAsia" w:ascii="宋体" w:hAnsi="宋体" w:eastAsia="宋体" w:cs="宋体"/>
          <w:b/>
          <w:color w:val="auto"/>
          <w:szCs w:val="22"/>
          <w:highlight w:val="none"/>
        </w:rPr>
      </w:pPr>
    </w:p>
    <w:p w14:paraId="6AB6152E">
      <w:pPr>
        <w:widowControl/>
        <w:jc w:val="center"/>
        <w:rPr>
          <w:rFonts w:hint="eastAsia" w:ascii="宋体" w:hAnsi="宋体" w:eastAsia="宋体" w:cs="宋体"/>
          <w:b/>
          <w:color w:val="auto"/>
          <w:szCs w:val="22"/>
          <w:highlight w:val="none"/>
        </w:rPr>
      </w:pPr>
    </w:p>
    <w:p w14:paraId="182F1514">
      <w:pPr>
        <w:widowControl/>
        <w:jc w:val="center"/>
        <w:rPr>
          <w:rFonts w:hint="eastAsia" w:ascii="宋体" w:hAnsi="宋体" w:eastAsia="宋体" w:cs="宋体"/>
          <w:b/>
          <w:color w:val="auto"/>
          <w:szCs w:val="22"/>
          <w:highlight w:val="none"/>
        </w:rPr>
      </w:pPr>
    </w:p>
    <w:p w14:paraId="7F70D90A">
      <w:pPr>
        <w:widowControl/>
        <w:jc w:val="center"/>
        <w:rPr>
          <w:rFonts w:hint="eastAsia" w:ascii="宋体" w:hAnsi="宋体" w:eastAsia="宋体" w:cs="宋体"/>
          <w:b/>
          <w:color w:val="auto"/>
          <w:szCs w:val="22"/>
          <w:highlight w:val="none"/>
        </w:rPr>
      </w:pPr>
    </w:p>
    <w:p w14:paraId="646038E7">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5BC27605">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18BDB003">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44D30E1E">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5501261A">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56F8240D">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066CE282">
      <w:pPr>
        <w:widowControl/>
        <w:jc w:val="center"/>
        <w:rPr>
          <w:rFonts w:hint="eastAsia" w:ascii="宋体" w:hAnsi="宋体" w:eastAsia="宋体" w:cs="宋体"/>
          <w:b/>
          <w:color w:val="auto"/>
          <w:szCs w:val="22"/>
          <w:highlight w:val="none"/>
        </w:rPr>
      </w:pPr>
    </w:p>
    <w:p w14:paraId="6D87AB3D">
      <w:pPr>
        <w:widowControl/>
        <w:jc w:val="center"/>
        <w:rPr>
          <w:rFonts w:hint="eastAsia" w:ascii="宋体" w:hAnsi="宋体" w:eastAsia="宋体" w:cs="宋体"/>
          <w:b/>
          <w:color w:val="auto"/>
          <w:szCs w:val="22"/>
          <w:highlight w:val="none"/>
        </w:rPr>
      </w:pPr>
    </w:p>
    <w:p w14:paraId="705AEFDC">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bookmarkEnd w:id="2252"/>
    <w:bookmarkEnd w:id="2253"/>
    <w:bookmarkEnd w:id="2254"/>
    <w:bookmarkEnd w:id="2255"/>
    <w:bookmarkEnd w:id="2256"/>
    <w:bookmarkEnd w:id="2257"/>
    <w:bookmarkEnd w:id="2258"/>
    <w:bookmarkEnd w:id="2259"/>
    <w:bookmarkEnd w:id="2260"/>
    <w:bookmarkEnd w:id="2261"/>
    <w:p w14:paraId="4C29F183">
      <w:pPr>
        <w:widowControl/>
        <w:adjustRightInd/>
        <w:snapToGrid/>
        <w:spacing w:line="240" w:lineRule="auto"/>
        <w:jc w:val="left"/>
        <w:outlineLvl w:val="9"/>
        <w:rPr>
          <w:rFonts w:hint="eastAsia" w:ascii="宋体" w:hAnsi="宋体" w:eastAsia="宋体" w:cs="宋体"/>
          <w:b/>
          <w:color w:val="auto"/>
          <w:sz w:val="24"/>
          <w:szCs w:val="24"/>
          <w:highlight w:val="none"/>
          <w:lang w:val="en-US" w:eastAsia="zh-CN"/>
        </w:rPr>
      </w:pPr>
      <w:bookmarkStart w:id="2262" w:name="_Toc221952188"/>
      <w:bookmarkStart w:id="2263" w:name="_Toc222031073"/>
      <w:bookmarkStart w:id="2264" w:name="_Toc222033922"/>
      <w:bookmarkStart w:id="2265" w:name="_Toc152047268"/>
      <w:bookmarkStart w:id="2266" w:name="_Toc222029571"/>
      <w:bookmarkStart w:id="2267" w:name="_Toc266886267"/>
      <w:bookmarkStart w:id="2268" w:name="_Toc179715761"/>
      <w:bookmarkStart w:id="2269" w:name="_Toc222032740"/>
      <w:bookmarkStart w:id="2270" w:name="_Toc229305431"/>
      <w:r>
        <w:rPr>
          <w:rFonts w:hint="eastAsia" w:ascii="宋体" w:hAnsi="宋体" w:eastAsia="宋体" w:cs="宋体"/>
          <w:b/>
          <w:color w:val="auto"/>
          <w:sz w:val="24"/>
          <w:szCs w:val="24"/>
          <w:highlight w:val="none"/>
          <w:lang w:val="en-US" w:eastAsia="zh-CN"/>
        </w:rPr>
        <w:br w:type="page"/>
      </w:r>
    </w:p>
    <w:p w14:paraId="274DD4E1">
      <w:pPr>
        <w:widowControl/>
        <w:adjustRightInd w:val="0"/>
        <w:snapToGrid w:val="0"/>
        <w:spacing w:line="360" w:lineRule="auto"/>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（三）类似项目情况表</w:t>
      </w:r>
      <w:bookmarkEnd w:id="2262"/>
      <w:bookmarkEnd w:id="2263"/>
      <w:bookmarkEnd w:id="2264"/>
      <w:bookmarkEnd w:id="2265"/>
      <w:bookmarkEnd w:id="2266"/>
      <w:bookmarkEnd w:id="2267"/>
      <w:bookmarkEnd w:id="2268"/>
      <w:bookmarkEnd w:id="2269"/>
      <w:bookmarkEnd w:id="2270"/>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2189"/>
        <w:gridCol w:w="1519"/>
        <w:gridCol w:w="1519"/>
        <w:gridCol w:w="1520"/>
        <w:gridCol w:w="1524"/>
      </w:tblGrid>
      <w:tr w14:paraId="4CC6E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120" w:type="dxa"/>
            <w:gridSpan w:val="6"/>
          </w:tcPr>
          <w:p w14:paraId="7D1A7EF9">
            <w:pPr>
              <w:keepNext w:val="0"/>
              <w:keepLines w:val="0"/>
              <w:widowControl/>
              <w:suppressLineNumbers w:val="0"/>
              <w:spacing w:before="0" w:beforeAutospacing="0" w:after="0" w:afterAutospacing="0"/>
              <w:ind w:left="0" w:right="0"/>
              <w:jc w:val="center"/>
              <w:rPr>
                <w:rFonts w:hint="default" w:ascii="宋体" w:hAnsi="宋体" w:eastAsia="宋体" w:cs="宋体"/>
                <w:color w:val="auto"/>
                <w:szCs w:val="22"/>
                <w:highlight w:val="none"/>
                <w:vertAlign w:val="baseline"/>
                <w:lang w:val="en-US" w:eastAsia="zh-CN"/>
              </w:rPr>
            </w:pPr>
            <w:bookmarkStart w:id="2271" w:name="_Toc26924"/>
            <w:bookmarkStart w:id="2272" w:name="_Toc6854"/>
            <w:bookmarkStart w:id="2273" w:name="_Toc3956"/>
            <w:bookmarkStart w:id="2274" w:name="_Toc17000"/>
            <w:bookmarkStart w:id="2275" w:name="_Toc3451636"/>
            <w:bookmarkStart w:id="2276" w:name="_Toc4368"/>
            <w:bookmarkStart w:id="2277" w:name="_Toc36069925"/>
            <w:bookmarkStart w:id="2278" w:name="_Toc10069"/>
            <w:r>
              <w:rPr>
                <w:rFonts w:hint="eastAsia" w:ascii="宋体" w:hAnsi="宋体" w:eastAsia="宋体" w:cs="宋体"/>
                <w:color w:val="auto"/>
                <w:szCs w:val="22"/>
                <w:highlight w:val="none"/>
                <w:vertAlign w:val="baseline"/>
                <w:lang w:val="en-US" w:eastAsia="zh-CN"/>
              </w:rPr>
              <w:t>类似项目汇总表</w:t>
            </w:r>
          </w:p>
        </w:tc>
      </w:tr>
      <w:tr w14:paraId="72BFE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shd w:val="clear" w:color="auto" w:fill="auto"/>
            <w:vAlign w:val="top"/>
          </w:tcPr>
          <w:p w14:paraId="6418D6E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rPr>
              <w:br w:type="page"/>
            </w:r>
            <w:r>
              <w:rPr>
                <w:rFonts w:hint="eastAsia" w:ascii="宋体" w:hAnsi="宋体" w:eastAsia="宋体" w:cs="宋体"/>
                <w:color w:val="auto"/>
                <w:szCs w:val="22"/>
                <w:highlight w:val="none"/>
                <w:vertAlign w:val="baseline"/>
                <w:lang w:val="en-US" w:eastAsia="zh-CN"/>
              </w:rPr>
              <w:t>序号</w:t>
            </w:r>
          </w:p>
        </w:tc>
        <w:tc>
          <w:tcPr>
            <w:tcW w:w="2189" w:type="dxa"/>
            <w:shd w:val="clear" w:color="auto" w:fill="auto"/>
            <w:vAlign w:val="top"/>
          </w:tcPr>
          <w:p w14:paraId="391A63C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项目名称</w:t>
            </w:r>
          </w:p>
        </w:tc>
        <w:tc>
          <w:tcPr>
            <w:tcW w:w="1519" w:type="dxa"/>
            <w:shd w:val="clear" w:color="auto" w:fill="auto"/>
            <w:vAlign w:val="top"/>
          </w:tcPr>
          <w:p w14:paraId="4AA5E81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发包人</w:t>
            </w:r>
          </w:p>
        </w:tc>
        <w:tc>
          <w:tcPr>
            <w:tcW w:w="1519" w:type="dxa"/>
            <w:shd w:val="clear" w:color="auto" w:fill="auto"/>
            <w:vAlign w:val="top"/>
          </w:tcPr>
          <w:p w14:paraId="0A353EA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合同金额</w:t>
            </w:r>
          </w:p>
        </w:tc>
        <w:tc>
          <w:tcPr>
            <w:tcW w:w="1520" w:type="dxa"/>
            <w:shd w:val="clear" w:color="auto" w:fill="auto"/>
            <w:vAlign w:val="top"/>
          </w:tcPr>
          <w:p w14:paraId="7153502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签订时间</w:t>
            </w:r>
          </w:p>
        </w:tc>
        <w:tc>
          <w:tcPr>
            <w:tcW w:w="1524" w:type="dxa"/>
            <w:shd w:val="clear" w:color="auto" w:fill="auto"/>
            <w:vAlign w:val="top"/>
          </w:tcPr>
          <w:p w14:paraId="18DE9D7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项目负责人</w:t>
            </w:r>
          </w:p>
        </w:tc>
      </w:tr>
      <w:tr w14:paraId="0A5E0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51B56F5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57AEEBD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0F15DBE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5242F4A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3081B78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167099A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45F6A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3AA6539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2FFF260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899390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66D8975E">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4DAC126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6CFF965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0B49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27968C7E">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77F49ED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4ABDE6F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A3F1E2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60AF7DD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6388C91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63143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0548AFA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66926B6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7EE1BE9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45CC78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34A2EF6E">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049D806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264EB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5AB1E0C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2CC1522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38A51C5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6BB2AC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750FEB8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3FA67B3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3A55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348F595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39D3067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26F114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588510E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631C84E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34A6E2C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12AE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76A54D2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73271F3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69BA13C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2CC664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2E045E7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7ECEFCF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0B33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49" w:type="dxa"/>
          </w:tcPr>
          <w:p w14:paraId="2874CF6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7E44D6B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339DF40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486E7F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7C551D9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1C63034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bl>
    <w:p w14:paraId="062DE681">
      <w:pPr>
        <w:widowControl/>
        <w:jc w:val="left"/>
        <w:rPr>
          <w:rFonts w:hint="default"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注：后附单项情况表。</w:t>
      </w:r>
    </w:p>
    <w:p w14:paraId="34B3B8FD">
      <w:pPr>
        <w:widowControl/>
        <w:spacing w:line="400" w:lineRule="exact"/>
        <w:jc w:val="center"/>
        <w:outlineLvl w:val="9"/>
        <w:rPr>
          <w:rFonts w:hint="eastAsia" w:ascii="宋体" w:hAnsi="宋体" w:eastAsia="宋体" w:cs="宋体"/>
          <w:color w:val="auto"/>
          <w:sz w:val="24"/>
          <w:szCs w:val="22"/>
          <w:highlight w:val="none"/>
        </w:rPr>
      </w:pPr>
    </w:p>
    <w:p w14:paraId="5FC66E49">
      <w:pPr>
        <w:widowControl/>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br w:type="page"/>
      </w:r>
    </w:p>
    <w:bookmarkEnd w:id="2271"/>
    <w:bookmarkEnd w:id="2272"/>
    <w:bookmarkEnd w:id="2273"/>
    <w:bookmarkEnd w:id="2274"/>
    <w:bookmarkEnd w:id="2275"/>
    <w:bookmarkEnd w:id="2276"/>
    <w:bookmarkEnd w:id="2277"/>
    <w:bookmarkEnd w:id="2278"/>
    <w:p w14:paraId="36FD5C27">
      <w:pPr>
        <w:widowControl/>
        <w:spacing w:line="400" w:lineRule="exact"/>
        <w:jc w:val="both"/>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2"/>
          <w:highlight w:val="none"/>
          <w:lang w:val="en-US" w:eastAsia="zh-CN"/>
        </w:rPr>
        <w:t>序号：</w:t>
      </w:r>
    </w:p>
    <w:tbl>
      <w:tblPr>
        <w:tblStyle w:val="2"/>
        <w:tblW w:w="9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04"/>
        <w:gridCol w:w="6915"/>
      </w:tblGrid>
      <w:tr w14:paraId="4F9C40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5" w:hRule="atLeast"/>
        </w:trPr>
        <w:tc>
          <w:tcPr>
            <w:tcW w:w="2504" w:type="dxa"/>
            <w:noWrap w:val="0"/>
            <w:vAlign w:val="center"/>
          </w:tcPr>
          <w:p w14:paraId="16E6CB7F">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79" w:name="_Toc221952189"/>
            <w:r>
              <w:rPr>
                <w:rFonts w:hint="eastAsia" w:ascii="宋体" w:hAnsi="宋体" w:eastAsia="宋体" w:cs="宋体"/>
                <w:color w:val="auto"/>
                <w:szCs w:val="22"/>
                <w:highlight w:val="none"/>
              </w:rPr>
              <w:t>合同名称</w:t>
            </w:r>
            <w:bookmarkEnd w:id="2279"/>
          </w:p>
        </w:tc>
        <w:tc>
          <w:tcPr>
            <w:tcW w:w="6915" w:type="dxa"/>
            <w:noWrap w:val="0"/>
            <w:vAlign w:val="top"/>
          </w:tcPr>
          <w:p w14:paraId="3688792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52F05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9" w:hRule="atLeast"/>
        </w:trPr>
        <w:tc>
          <w:tcPr>
            <w:tcW w:w="2504" w:type="dxa"/>
            <w:noWrap w:val="0"/>
            <w:vAlign w:val="center"/>
          </w:tcPr>
          <w:p w14:paraId="7CE5DB43">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80" w:name="_Toc221952190"/>
            <w:r>
              <w:rPr>
                <w:rFonts w:hint="eastAsia" w:ascii="宋体" w:hAnsi="宋体" w:eastAsia="宋体" w:cs="宋体"/>
                <w:color w:val="auto"/>
                <w:szCs w:val="22"/>
                <w:highlight w:val="none"/>
              </w:rPr>
              <w:t>合同项目所在地</w:t>
            </w:r>
            <w:bookmarkEnd w:id="2280"/>
          </w:p>
        </w:tc>
        <w:tc>
          <w:tcPr>
            <w:tcW w:w="6915" w:type="dxa"/>
            <w:noWrap w:val="0"/>
            <w:vAlign w:val="top"/>
          </w:tcPr>
          <w:p w14:paraId="500AC91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7BA58F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7" w:hRule="atLeast"/>
        </w:trPr>
        <w:tc>
          <w:tcPr>
            <w:tcW w:w="2504" w:type="dxa"/>
            <w:noWrap w:val="0"/>
            <w:vAlign w:val="center"/>
          </w:tcPr>
          <w:p w14:paraId="0A10E5A2">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81" w:name="_Toc221952191"/>
            <w:r>
              <w:rPr>
                <w:rFonts w:hint="eastAsia" w:ascii="宋体" w:hAnsi="宋体" w:eastAsia="宋体" w:cs="宋体"/>
                <w:color w:val="auto"/>
                <w:szCs w:val="22"/>
                <w:highlight w:val="none"/>
              </w:rPr>
              <w:t>发包人名称</w:t>
            </w:r>
            <w:bookmarkEnd w:id="2281"/>
          </w:p>
        </w:tc>
        <w:tc>
          <w:tcPr>
            <w:tcW w:w="6915" w:type="dxa"/>
            <w:noWrap w:val="0"/>
            <w:vAlign w:val="top"/>
          </w:tcPr>
          <w:p w14:paraId="661F770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05297C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1" w:hRule="atLeast"/>
        </w:trPr>
        <w:tc>
          <w:tcPr>
            <w:tcW w:w="2504" w:type="dxa"/>
            <w:noWrap w:val="0"/>
            <w:vAlign w:val="center"/>
          </w:tcPr>
          <w:p w14:paraId="37573390">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82" w:name="_Toc221952192"/>
            <w:r>
              <w:rPr>
                <w:rFonts w:hint="eastAsia" w:ascii="宋体" w:hAnsi="宋体" w:eastAsia="宋体" w:cs="宋体"/>
                <w:color w:val="auto"/>
                <w:szCs w:val="22"/>
                <w:highlight w:val="none"/>
              </w:rPr>
              <w:t>发包人地址</w:t>
            </w:r>
            <w:bookmarkEnd w:id="2282"/>
          </w:p>
        </w:tc>
        <w:tc>
          <w:tcPr>
            <w:tcW w:w="6915" w:type="dxa"/>
            <w:noWrap w:val="0"/>
            <w:vAlign w:val="top"/>
          </w:tcPr>
          <w:p w14:paraId="0B4CA6F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629BF9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trPr>
        <w:tc>
          <w:tcPr>
            <w:tcW w:w="2504" w:type="dxa"/>
            <w:noWrap w:val="0"/>
            <w:vAlign w:val="center"/>
          </w:tcPr>
          <w:p w14:paraId="31CC8629">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83" w:name="_Toc221952193"/>
            <w:r>
              <w:rPr>
                <w:rFonts w:hint="eastAsia" w:ascii="宋体" w:hAnsi="宋体" w:eastAsia="宋体" w:cs="宋体"/>
                <w:color w:val="auto"/>
                <w:szCs w:val="22"/>
                <w:highlight w:val="none"/>
              </w:rPr>
              <w:t>发包人电话</w:t>
            </w:r>
            <w:bookmarkEnd w:id="2283"/>
          </w:p>
        </w:tc>
        <w:tc>
          <w:tcPr>
            <w:tcW w:w="6915" w:type="dxa"/>
            <w:noWrap w:val="0"/>
            <w:vAlign w:val="top"/>
          </w:tcPr>
          <w:p w14:paraId="7B6A885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71CA3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3" w:hRule="atLeast"/>
        </w:trPr>
        <w:tc>
          <w:tcPr>
            <w:tcW w:w="2504" w:type="dxa"/>
            <w:noWrap w:val="0"/>
            <w:vAlign w:val="center"/>
          </w:tcPr>
          <w:p w14:paraId="2AF5F49E">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lang w:eastAsia="zh-CN"/>
              </w:rPr>
            </w:pPr>
            <w:bookmarkStart w:id="2284" w:name="_Toc221952194"/>
            <w:r>
              <w:rPr>
                <w:rFonts w:hint="eastAsia" w:ascii="宋体" w:hAnsi="宋体" w:eastAsia="宋体" w:cs="宋体"/>
                <w:color w:val="auto"/>
                <w:szCs w:val="22"/>
                <w:highlight w:val="none"/>
              </w:rPr>
              <w:t>签约合同价</w:t>
            </w:r>
            <w:bookmarkEnd w:id="2284"/>
            <w:r>
              <w:rPr>
                <w:rFonts w:hint="eastAsia" w:ascii="宋体" w:hAnsi="宋体" w:eastAsia="宋体" w:cs="宋体"/>
                <w:color w:val="auto"/>
                <w:szCs w:val="22"/>
                <w:highlight w:val="none"/>
                <w:lang w:eastAsia="zh-CN"/>
              </w:rPr>
              <w:t>（</w:t>
            </w:r>
            <w:r>
              <w:rPr>
                <w:rFonts w:hint="eastAsia" w:ascii="宋体" w:hAnsi="宋体" w:eastAsia="宋体" w:cs="宋体"/>
                <w:color w:val="auto"/>
                <w:szCs w:val="22"/>
                <w:highlight w:val="none"/>
                <w:lang w:val="en-US" w:eastAsia="zh-CN"/>
              </w:rPr>
              <w:t>元</w:t>
            </w:r>
            <w:r>
              <w:rPr>
                <w:rFonts w:hint="eastAsia" w:ascii="宋体" w:hAnsi="宋体" w:eastAsia="宋体" w:cs="宋体"/>
                <w:color w:val="auto"/>
                <w:szCs w:val="22"/>
                <w:highlight w:val="none"/>
                <w:lang w:eastAsia="zh-CN"/>
              </w:rPr>
              <w:t>）</w:t>
            </w:r>
          </w:p>
        </w:tc>
        <w:tc>
          <w:tcPr>
            <w:tcW w:w="6915" w:type="dxa"/>
            <w:noWrap w:val="0"/>
            <w:vAlign w:val="top"/>
          </w:tcPr>
          <w:p w14:paraId="5F89E87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0D6C0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2504" w:type="dxa"/>
            <w:noWrap w:val="0"/>
            <w:vAlign w:val="center"/>
          </w:tcPr>
          <w:p w14:paraId="111EFCFC">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85" w:name="_Toc221952195"/>
            <w:r>
              <w:rPr>
                <w:rFonts w:hint="eastAsia" w:ascii="宋体" w:hAnsi="宋体" w:eastAsia="宋体" w:cs="宋体"/>
                <w:color w:val="auto"/>
                <w:szCs w:val="22"/>
                <w:highlight w:val="none"/>
              </w:rPr>
              <w:t>开工日期</w:t>
            </w:r>
            <w:bookmarkEnd w:id="2285"/>
          </w:p>
        </w:tc>
        <w:tc>
          <w:tcPr>
            <w:tcW w:w="6915" w:type="dxa"/>
            <w:noWrap w:val="0"/>
            <w:vAlign w:val="top"/>
          </w:tcPr>
          <w:p w14:paraId="360CBA9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5F264B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8" w:hRule="atLeast"/>
        </w:trPr>
        <w:tc>
          <w:tcPr>
            <w:tcW w:w="2504" w:type="dxa"/>
            <w:noWrap w:val="0"/>
            <w:vAlign w:val="center"/>
          </w:tcPr>
          <w:p w14:paraId="0D74C570">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86" w:name="_Toc221952196"/>
            <w:r>
              <w:rPr>
                <w:rFonts w:hint="eastAsia" w:ascii="宋体" w:hAnsi="宋体" w:eastAsia="宋体" w:cs="宋体"/>
                <w:color w:val="auto"/>
                <w:szCs w:val="22"/>
                <w:highlight w:val="none"/>
              </w:rPr>
              <w:t>完工日期</w:t>
            </w:r>
            <w:bookmarkEnd w:id="2286"/>
          </w:p>
        </w:tc>
        <w:tc>
          <w:tcPr>
            <w:tcW w:w="6915" w:type="dxa"/>
            <w:noWrap w:val="0"/>
            <w:vAlign w:val="top"/>
          </w:tcPr>
          <w:p w14:paraId="646DDE6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30C88D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2504" w:type="dxa"/>
            <w:noWrap w:val="0"/>
            <w:vAlign w:val="center"/>
          </w:tcPr>
          <w:p w14:paraId="7AF40E14">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87" w:name="_Toc221952197"/>
            <w:r>
              <w:rPr>
                <w:rFonts w:hint="eastAsia" w:ascii="宋体" w:hAnsi="宋体" w:eastAsia="宋体" w:cs="宋体"/>
                <w:color w:val="auto"/>
                <w:szCs w:val="22"/>
                <w:highlight w:val="none"/>
              </w:rPr>
              <w:t>承担的工作</w:t>
            </w:r>
            <w:bookmarkEnd w:id="2287"/>
          </w:p>
        </w:tc>
        <w:tc>
          <w:tcPr>
            <w:tcW w:w="6915" w:type="dxa"/>
            <w:noWrap w:val="0"/>
            <w:vAlign w:val="top"/>
          </w:tcPr>
          <w:p w14:paraId="7779BBD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1774D4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7" w:hRule="atLeast"/>
        </w:trPr>
        <w:tc>
          <w:tcPr>
            <w:tcW w:w="2504" w:type="dxa"/>
            <w:noWrap w:val="0"/>
            <w:vAlign w:val="center"/>
          </w:tcPr>
          <w:p w14:paraId="71394375">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88" w:name="_Toc221952198"/>
            <w:r>
              <w:rPr>
                <w:rFonts w:hint="eastAsia" w:ascii="宋体" w:hAnsi="宋体" w:eastAsia="宋体" w:cs="宋体"/>
                <w:color w:val="auto"/>
                <w:szCs w:val="22"/>
                <w:highlight w:val="none"/>
              </w:rPr>
              <w:t>工程质量</w:t>
            </w:r>
            <w:bookmarkEnd w:id="2288"/>
          </w:p>
        </w:tc>
        <w:tc>
          <w:tcPr>
            <w:tcW w:w="6915" w:type="dxa"/>
            <w:noWrap w:val="0"/>
            <w:vAlign w:val="top"/>
          </w:tcPr>
          <w:p w14:paraId="5D78C2AE">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7B166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2" w:hRule="atLeast"/>
        </w:trPr>
        <w:tc>
          <w:tcPr>
            <w:tcW w:w="2504" w:type="dxa"/>
            <w:noWrap w:val="0"/>
            <w:vAlign w:val="center"/>
          </w:tcPr>
          <w:p w14:paraId="5BDD0B8C">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89" w:name="_Toc221952199"/>
            <w:r>
              <w:rPr>
                <w:rFonts w:hint="eastAsia" w:ascii="宋体" w:hAnsi="宋体" w:eastAsia="宋体" w:cs="宋体"/>
                <w:color w:val="auto"/>
                <w:szCs w:val="22"/>
                <w:highlight w:val="none"/>
              </w:rPr>
              <w:t>项目经理</w:t>
            </w:r>
            <w:bookmarkEnd w:id="2289"/>
          </w:p>
        </w:tc>
        <w:tc>
          <w:tcPr>
            <w:tcW w:w="6915" w:type="dxa"/>
            <w:noWrap w:val="0"/>
            <w:vAlign w:val="top"/>
          </w:tcPr>
          <w:p w14:paraId="6D5333A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540606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trPr>
        <w:tc>
          <w:tcPr>
            <w:tcW w:w="2504" w:type="dxa"/>
            <w:noWrap w:val="0"/>
            <w:vAlign w:val="center"/>
          </w:tcPr>
          <w:p w14:paraId="650EF9FE">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90" w:name="_Toc221952200"/>
            <w:r>
              <w:rPr>
                <w:rFonts w:hint="eastAsia" w:ascii="宋体" w:hAnsi="宋体" w:eastAsia="宋体" w:cs="宋体"/>
                <w:color w:val="auto"/>
                <w:szCs w:val="22"/>
                <w:highlight w:val="none"/>
              </w:rPr>
              <w:t>技术负责人</w:t>
            </w:r>
            <w:bookmarkEnd w:id="2290"/>
          </w:p>
        </w:tc>
        <w:tc>
          <w:tcPr>
            <w:tcW w:w="6915" w:type="dxa"/>
            <w:noWrap w:val="0"/>
            <w:vAlign w:val="top"/>
          </w:tcPr>
          <w:p w14:paraId="4DC1E2F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406FCB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3" w:hRule="atLeast"/>
        </w:trPr>
        <w:tc>
          <w:tcPr>
            <w:tcW w:w="2504" w:type="dxa"/>
            <w:noWrap w:val="0"/>
            <w:vAlign w:val="center"/>
          </w:tcPr>
          <w:p w14:paraId="1B96E9A1">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91" w:name="_Toc221952201"/>
            <w:r>
              <w:rPr>
                <w:rFonts w:hint="eastAsia" w:ascii="宋体" w:hAnsi="宋体" w:eastAsia="宋体" w:cs="宋体"/>
                <w:color w:val="auto"/>
                <w:szCs w:val="22"/>
                <w:highlight w:val="none"/>
              </w:rPr>
              <w:t>监理人和总监理工程师及电话</w:t>
            </w:r>
            <w:bookmarkEnd w:id="2291"/>
          </w:p>
        </w:tc>
        <w:tc>
          <w:tcPr>
            <w:tcW w:w="6915" w:type="dxa"/>
            <w:noWrap w:val="0"/>
            <w:vAlign w:val="top"/>
          </w:tcPr>
          <w:p w14:paraId="223985C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03374E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4" w:hRule="atLeast"/>
        </w:trPr>
        <w:tc>
          <w:tcPr>
            <w:tcW w:w="2504" w:type="dxa"/>
            <w:noWrap w:val="0"/>
            <w:vAlign w:val="center"/>
          </w:tcPr>
          <w:p w14:paraId="26C7DFD1">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92" w:name="_Toc221952202"/>
            <w:r>
              <w:rPr>
                <w:rFonts w:hint="eastAsia" w:ascii="宋体" w:hAnsi="宋体" w:eastAsia="宋体" w:cs="宋体"/>
                <w:color w:val="auto"/>
                <w:szCs w:val="22"/>
                <w:highlight w:val="none"/>
              </w:rPr>
              <w:t>项目描述</w:t>
            </w:r>
            <w:bookmarkEnd w:id="2292"/>
          </w:p>
        </w:tc>
        <w:tc>
          <w:tcPr>
            <w:tcW w:w="6915" w:type="dxa"/>
            <w:noWrap w:val="0"/>
            <w:vAlign w:val="top"/>
          </w:tcPr>
          <w:p w14:paraId="14747B7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p w14:paraId="3BEB005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p w14:paraId="4F35443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1C1491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trPr>
        <w:tc>
          <w:tcPr>
            <w:tcW w:w="2504" w:type="dxa"/>
            <w:noWrap w:val="0"/>
            <w:vAlign w:val="center"/>
          </w:tcPr>
          <w:p w14:paraId="7566E9EC">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bookmarkStart w:id="2293" w:name="_Toc221952203"/>
            <w:r>
              <w:rPr>
                <w:rFonts w:hint="eastAsia" w:ascii="宋体" w:hAnsi="宋体" w:eastAsia="宋体" w:cs="宋体"/>
                <w:color w:val="auto"/>
                <w:szCs w:val="22"/>
                <w:highlight w:val="none"/>
              </w:rPr>
              <w:t>备注</w:t>
            </w:r>
            <w:bookmarkEnd w:id="2293"/>
          </w:p>
        </w:tc>
        <w:tc>
          <w:tcPr>
            <w:tcW w:w="6915" w:type="dxa"/>
            <w:noWrap w:val="0"/>
            <w:vAlign w:val="center"/>
          </w:tcPr>
          <w:p w14:paraId="614242B2">
            <w:pPr>
              <w:keepNext w:val="0"/>
              <w:keepLines w:val="0"/>
              <w:widowControl/>
              <w:suppressLineNumbers w:val="0"/>
              <w:spacing w:before="0" w:beforeAutospacing="0" w:after="0" w:afterAutospacing="0"/>
              <w:ind w:left="0" w:right="0"/>
              <w:jc w:val="both"/>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rPr>
              <w:t>合同项目描述内容至少包括项目概况和合同工程完工</w:t>
            </w:r>
            <w:r>
              <w:rPr>
                <w:rFonts w:hint="eastAsia" w:ascii="宋体" w:hAnsi="宋体" w:eastAsia="宋体" w:cs="宋体"/>
                <w:color w:val="auto"/>
                <w:szCs w:val="22"/>
                <w:highlight w:val="none"/>
                <w:lang w:val="en-US" w:eastAsia="zh-CN"/>
              </w:rPr>
              <w:t>或竣工</w:t>
            </w:r>
            <w:r>
              <w:rPr>
                <w:rFonts w:hint="eastAsia" w:ascii="宋体" w:hAnsi="宋体" w:eastAsia="宋体" w:cs="宋体"/>
                <w:color w:val="auto"/>
                <w:szCs w:val="22"/>
                <w:highlight w:val="none"/>
              </w:rPr>
              <w:t>验收鉴定书有关验收结论</w:t>
            </w:r>
            <w:r>
              <w:rPr>
                <w:rFonts w:hint="eastAsia" w:ascii="宋体" w:hAnsi="宋体" w:eastAsia="宋体" w:cs="宋体"/>
                <w:color w:val="auto"/>
                <w:szCs w:val="22"/>
                <w:highlight w:val="none"/>
                <w:lang w:val="en-US" w:eastAsia="zh-CN"/>
              </w:rPr>
              <w:t>等。</w:t>
            </w:r>
          </w:p>
        </w:tc>
      </w:tr>
    </w:tbl>
    <w:p w14:paraId="0566EB7E">
      <w:pPr>
        <w:widowControl/>
        <w:jc w:val="left"/>
        <w:rPr>
          <w:rFonts w:hint="eastAsia" w:ascii="宋体" w:hAnsi="宋体" w:eastAsia="宋体" w:cs="宋体"/>
          <w:color w:val="auto"/>
          <w:szCs w:val="22"/>
          <w:highlight w:val="none"/>
        </w:rPr>
      </w:pPr>
    </w:p>
    <w:p w14:paraId="76E49ED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如投标人不提供相关已完成业绩，则在表格中填写“/”；</w:t>
      </w:r>
    </w:p>
    <w:p w14:paraId="2DF67F02">
      <w:pPr>
        <w:keepNext w:val="0"/>
        <w:keepLines w:val="0"/>
        <w:pageBreakBefore w:val="0"/>
        <w:widowControl w:val="0"/>
        <w:kinsoku/>
        <w:wordWrap/>
        <w:overflowPunct/>
        <w:topLinePunct w:val="0"/>
        <w:autoSpaceDE/>
        <w:autoSpaceDN/>
        <w:bidi w:val="0"/>
        <w:adjustRightInd/>
        <w:snapToGrid/>
        <w:spacing w:line="360" w:lineRule="auto"/>
        <w:ind w:firstLine="840" w:firstLineChars="4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如投标人提供相关已完成业绩，如实填写表格中内容，在本表后附有符合评分标准评审要求的已完成业绩相关证明材料，提供证明材料不符合评审要求，不予计分。每张表格只填写一个项目，并标明序号。</w:t>
      </w:r>
    </w:p>
    <w:p w14:paraId="04F97DF5">
      <w:pPr>
        <w:widowControl/>
        <w:jc w:val="left"/>
        <w:rPr>
          <w:rFonts w:hint="eastAsia" w:ascii="宋体" w:hAnsi="宋体" w:eastAsia="宋体" w:cs="宋体"/>
          <w:b/>
          <w:bCs/>
          <w:color w:val="auto"/>
          <w:sz w:val="21"/>
          <w:szCs w:val="21"/>
          <w:highlight w:val="none"/>
          <w:lang w:eastAsia="zh-CN"/>
        </w:rPr>
      </w:pPr>
    </w:p>
    <w:p w14:paraId="01CD568F">
      <w:pPr>
        <w:widowControl/>
        <w:jc w:val="left"/>
        <w:rPr>
          <w:rFonts w:hint="eastAsia" w:ascii="宋体" w:hAnsi="宋体" w:eastAsia="宋体" w:cs="宋体"/>
          <w:b/>
          <w:color w:val="auto"/>
          <w:sz w:val="24"/>
          <w:szCs w:val="24"/>
          <w:highlight w:val="none"/>
          <w:lang w:val="en-US" w:eastAsia="zh-CN"/>
        </w:rPr>
      </w:pPr>
      <w:bookmarkStart w:id="2294" w:name="_Toc179715762"/>
      <w:bookmarkStart w:id="2295" w:name="_Toc222032741"/>
      <w:bookmarkStart w:id="2296" w:name="_Toc222029572"/>
      <w:bookmarkStart w:id="2297" w:name="_Toc221952204"/>
      <w:bookmarkStart w:id="2298" w:name="_Toc266891019"/>
      <w:bookmarkStart w:id="2299" w:name="_Toc266886268"/>
      <w:bookmarkStart w:id="2300" w:name="_Toc222033923"/>
      <w:bookmarkStart w:id="2301" w:name="_Toc229305432"/>
      <w:bookmarkStart w:id="2302" w:name="_Toc222031074"/>
      <w:bookmarkStart w:id="2303" w:name="_Toc152047269"/>
      <w:bookmarkStart w:id="2304" w:name="_Toc222031075"/>
      <w:bookmarkStart w:id="2305" w:name="_Toc221952220"/>
      <w:bookmarkStart w:id="2306" w:name="_Toc222033924"/>
      <w:bookmarkStart w:id="2307" w:name="_Toc222032742"/>
      <w:bookmarkStart w:id="2308" w:name="_Toc229305433"/>
      <w:bookmarkStart w:id="2309" w:name="_Toc179715763"/>
      <w:bookmarkStart w:id="2310" w:name="_Toc266886269"/>
      <w:bookmarkStart w:id="2311" w:name="_Toc152047270"/>
      <w:bookmarkStart w:id="2312" w:name="_Toc266891020"/>
      <w:bookmarkStart w:id="2313" w:name="_Toc222029573"/>
      <w:r>
        <w:rPr>
          <w:rFonts w:hint="eastAsia" w:ascii="宋体" w:hAnsi="宋体" w:eastAsia="宋体" w:cs="宋体"/>
          <w:b/>
          <w:color w:val="auto"/>
          <w:sz w:val="24"/>
          <w:szCs w:val="24"/>
          <w:highlight w:val="none"/>
          <w:lang w:val="en-US" w:eastAsia="zh-CN"/>
        </w:rPr>
        <w:br w:type="page"/>
      </w:r>
    </w:p>
    <w:p w14:paraId="15ABD3E1">
      <w:pPr>
        <w:widowControl/>
        <w:adjustRightInd w:val="0"/>
        <w:snapToGrid w:val="0"/>
        <w:spacing w:line="360" w:lineRule="auto"/>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（四）正在施工的和新承接的类似项目情况表</w:t>
      </w:r>
      <w:bookmarkEnd w:id="2294"/>
      <w:bookmarkEnd w:id="2295"/>
      <w:bookmarkEnd w:id="2296"/>
      <w:bookmarkEnd w:id="2297"/>
      <w:bookmarkEnd w:id="2298"/>
      <w:bookmarkEnd w:id="2299"/>
      <w:bookmarkEnd w:id="2300"/>
      <w:bookmarkEnd w:id="2301"/>
      <w:bookmarkEnd w:id="2302"/>
      <w:bookmarkEnd w:id="2303"/>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2189"/>
        <w:gridCol w:w="1519"/>
        <w:gridCol w:w="1519"/>
        <w:gridCol w:w="1520"/>
        <w:gridCol w:w="1524"/>
      </w:tblGrid>
      <w:tr w14:paraId="2E8F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120" w:type="dxa"/>
            <w:gridSpan w:val="6"/>
          </w:tcPr>
          <w:p w14:paraId="4D2F285F">
            <w:pPr>
              <w:keepNext w:val="0"/>
              <w:keepLines w:val="0"/>
              <w:widowControl/>
              <w:suppressLineNumbers w:val="0"/>
              <w:spacing w:before="0" w:beforeAutospacing="0" w:after="0" w:afterAutospacing="0"/>
              <w:ind w:left="0" w:right="0"/>
              <w:jc w:val="center"/>
              <w:rPr>
                <w:rFonts w:hint="default" w:ascii="宋体" w:hAnsi="宋体" w:eastAsia="宋体" w:cs="宋体"/>
                <w:color w:val="auto"/>
                <w:szCs w:val="22"/>
                <w:highlight w:val="none"/>
                <w:vertAlign w:val="baseline"/>
                <w:lang w:val="en-US" w:eastAsia="zh-CN"/>
              </w:rPr>
            </w:pPr>
            <w:r>
              <w:rPr>
                <w:rFonts w:hint="eastAsia" w:ascii="宋体" w:hAnsi="宋体" w:eastAsia="宋体" w:cs="宋体"/>
                <w:color w:val="auto"/>
                <w:szCs w:val="22"/>
                <w:highlight w:val="none"/>
                <w:vertAlign w:val="baseline"/>
                <w:lang w:val="en-US" w:eastAsia="zh-CN"/>
              </w:rPr>
              <w:t>正在施工的和新承接的类似项目汇总表</w:t>
            </w:r>
          </w:p>
        </w:tc>
      </w:tr>
      <w:tr w14:paraId="0A75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shd w:val="clear" w:color="auto" w:fill="auto"/>
            <w:vAlign w:val="top"/>
          </w:tcPr>
          <w:p w14:paraId="7298E64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rPr>
              <w:br w:type="page"/>
            </w:r>
            <w:r>
              <w:rPr>
                <w:rFonts w:hint="eastAsia" w:ascii="宋体" w:hAnsi="宋体" w:eastAsia="宋体" w:cs="宋体"/>
                <w:color w:val="auto"/>
                <w:szCs w:val="22"/>
                <w:highlight w:val="none"/>
                <w:vertAlign w:val="baseline"/>
                <w:lang w:val="en-US" w:eastAsia="zh-CN"/>
              </w:rPr>
              <w:t>序号</w:t>
            </w:r>
          </w:p>
        </w:tc>
        <w:tc>
          <w:tcPr>
            <w:tcW w:w="2189" w:type="dxa"/>
            <w:shd w:val="clear" w:color="auto" w:fill="auto"/>
            <w:vAlign w:val="top"/>
          </w:tcPr>
          <w:p w14:paraId="350A7F5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项目名称</w:t>
            </w:r>
          </w:p>
        </w:tc>
        <w:tc>
          <w:tcPr>
            <w:tcW w:w="1519" w:type="dxa"/>
            <w:shd w:val="clear" w:color="auto" w:fill="auto"/>
            <w:vAlign w:val="top"/>
          </w:tcPr>
          <w:p w14:paraId="3848E99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发包人</w:t>
            </w:r>
          </w:p>
        </w:tc>
        <w:tc>
          <w:tcPr>
            <w:tcW w:w="1519" w:type="dxa"/>
            <w:shd w:val="clear" w:color="auto" w:fill="auto"/>
            <w:vAlign w:val="top"/>
          </w:tcPr>
          <w:p w14:paraId="4F6CF29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合同金额</w:t>
            </w:r>
          </w:p>
        </w:tc>
        <w:tc>
          <w:tcPr>
            <w:tcW w:w="1520" w:type="dxa"/>
            <w:shd w:val="clear" w:color="auto" w:fill="auto"/>
            <w:vAlign w:val="top"/>
          </w:tcPr>
          <w:p w14:paraId="2E5CFDD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签订时间</w:t>
            </w:r>
          </w:p>
        </w:tc>
        <w:tc>
          <w:tcPr>
            <w:tcW w:w="1524" w:type="dxa"/>
            <w:shd w:val="clear" w:color="auto" w:fill="auto"/>
            <w:vAlign w:val="top"/>
          </w:tcPr>
          <w:p w14:paraId="1B30BF5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项目负责人</w:t>
            </w:r>
          </w:p>
        </w:tc>
      </w:tr>
      <w:tr w14:paraId="5F079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258593D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35B12C4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C13423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0767C64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5AF8460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6A3BCE3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24754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310A64E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5D3B96F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01F3001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14FCD1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0D52EBB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540EA06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3D97C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45727BF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6CB6AD1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6354DD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770DE0C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4195F1E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3965F71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112FF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79AE92E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768F8C7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76B8068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3A7F212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4BA8BE4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02E3A7D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50272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305A912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66164F5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0AA1313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4CA7694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7575C0F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23339D1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2E151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59BEBAC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43604B5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43F8BB6E">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439AA8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1C2689E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5A92033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79B7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03A89DD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1BF1A72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6FB8124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422E429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15A91A7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202576A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5F35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49" w:type="dxa"/>
          </w:tcPr>
          <w:p w14:paraId="58485EB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1666ACC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4ABBF34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55AC4F2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36E8C85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585FF86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bl>
    <w:p w14:paraId="2B41EBDE">
      <w:pPr>
        <w:widowControl/>
        <w:jc w:val="left"/>
        <w:rPr>
          <w:rFonts w:hint="default"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注：后附单项情况表。</w:t>
      </w:r>
    </w:p>
    <w:p w14:paraId="626DBA7F">
      <w:pPr>
        <w:widowControl/>
        <w:jc w:val="left"/>
        <w:rPr>
          <w:rFonts w:hint="eastAsia" w:ascii="Calibri" w:hAnsi="Calibri" w:eastAsia="宋体" w:cs="Times New Roman"/>
          <w:color w:val="auto"/>
          <w:szCs w:val="22"/>
          <w:highlight w:val="none"/>
          <w:lang w:val="en-US" w:eastAsia="zh-CN"/>
        </w:rPr>
      </w:pPr>
      <w:r>
        <w:rPr>
          <w:rFonts w:hint="eastAsia" w:ascii="Calibri" w:hAnsi="Calibri" w:eastAsia="宋体" w:cs="Times New Roman"/>
          <w:color w:val="auto"/>
          <w:szCs w:val="22"/>
          <w:highlight w:val="none"/>
          <w:lang w:val="en-US" w:eastAsia="zh-CN"/>
        </w:rPr>
        <w:br w:type="textWrapping"/>
      </w:r>
    </w:p>
    <w:p w14:paraId="01045082">
      <w:pPr>
        <w:widowControl/>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12ACA11A">
      <w:pPr>
        <w:widowControl/>
        <w:jc w:val="left"/>
        <w:rPr>
          <w:rFonts w:hint="default" w:ascii="Calibri" w:hAnsi="Calibri" w:eastAsia="宋体" w:cs="Times New Roman"/>
          <w:color w:val="auto"/>
          <w:szCs w:val="22"/>
          <w:highlight w:val="none"/>
          <w:lang w:val="en-US" w:eastAsia="zh-CN"/>
        </w:rPr>
      </w:pPr>
      <w:r>
        <w:rPr>
          <w:rFonts w:hint="eastAsia" w:ascii="Calibri" w:hAnsi="Calibri" w:eastAsia="宋体" w:cs="Times New Roman"/>
          <w:color w:val="auto"/>
          <w:szCs w:val="22"/>
          <w:highlight w:val="none"/>
          <w:lang w:val="en-US" w:eastAsia="zh-CN"/>
        </w:rPr>
        <w:t>序号：</w:t>
      </w:r>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204"/>
        <w:gridCol w:w="6075"/>
      </w:tblGrid>
      <w:tr w14:paraId="48FA2C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3" w:hRule="atLeast"/>
        </w:trPr>
        <w:tc>
          <w:tcPr>
            <w:tcW w:w="3204" w:type="dxa"/>
            <w:noWrap w:val="0"/>
            <w:vAlign w:val="center"/>
          </w:tcPr>
          <w:p w14:paraId="4B22837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14" w:name="_Toc221952205"/>
            <w:r>
              <w:rPr>
                <w:rFonts w:hint="eastAsia" w:ascii="宋体" w:hAnsi="宋体" w:eastAsia="宋体" w:cs="宋体"/>
                <w:color w:val="auto"/>
                <w:szCs w:val="21"/>
                <w:highlight w:val="none"/>
              </w:rPr>
              <w:t>合同名称</w:t>
            </w:r>
            <w:bookmarkEnd w:id="2314"/>
          </w:p>
        </w:tc>
        <w:tc>
          <w:tcPr>
            <w:tcW w:w="6075" w:type="dxa"/>
            <w:noWrap w:val="0"/>
            <w:vAlign w:val="top"/>
          </w:tcPr>
          <w:p w14:paraId="3B31D1C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0C26D0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04" w:type="dxa"/>
            <w:noWrap w:val="0"/>
            <w:vAlign w:val="center"/>
          </w:tcPr>
          <w:p w14:paraId="1CC1A03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15" w:name="_Toc221952206"/>
            <w:r>
              <w:rPr>
                <w:rFonts w:hint="eastAsia" w:ascii="宋体" w:hAnsi="宋体" w:eastAsia="宋体" w:cs="宋体"/>
                <w:color w:val="auto"/>
                <w:szCs w:val="21"/>
                <w:highlight w:val="none"/>
              </w:rPr>
              <w:t>合同项目所在地</w:t>
            </w:r>
            <w:bookmarkEnd w:id="2315"/>
          </w:p>
        </w:tc>
        <w:tc>
          <w:tcPr>
            <w:tcW w:w="6075" w:type="dxa"/>
            <w:noWrap w:val="0"/>
            <w:vAlign w:val="top"/>
          </w:tcPr>
          <w:p w14:paraId="372F21A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4EF162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3204" w:type="dxa"/>
            <w:noWrap w:val="0"/>
            <w:vAlign w:val="center"/>
          </w:tcPr>
          <w:p w14:paraId="41D64FE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16" w:name="_Toc221952207"/>
            <w:r>
              <w:rPr>
                <w:rFonts w:hint="eastAsia" w:ascii="宋体" w:hAnsi="宋体" w:eastAsia="宋体" w:cs="宋体"/>
                <w:color w:val="auto"/>
                <w:szCs w:val="21"/>
                <w:highlight w:val="none"/>
              </w:rPr>
              <w:t>发包人名称</w:t>
            </w:r>
            <w:bookmarkEnd w:id="2316"/>
          </w:p>
        </w:tc>
        <w:tc>
          <w:tcPr>
            <w:tcW w:w="6075" w:type="dxa"/>
            <w:noWrap w:val="0"/>
            <w:vAlign w:val="top"/>
          </w:tcPr>
          <w:p w14:paraId="5123B50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63CDA4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2" w:hRule="atLeast"/>
        </w:trPr>
        <w:tc>
          <w:tcPr>
            <w:tcW w:w="3204" w:type="dxa"/>
            <w:noWrap w:val="0"/>
            <w:vAlign w:val="center"/>
          </w:tcPr>
          <w:p w14:paraId="5EC949F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17" w:name="_Toc221952208"/>
            <w:r>
              <w:rPr>
                <w:rFonts w:hint="eastAsia" w:ascii="宋体" w:hAnsi="宋体" w:eastAsia="宋体" w:cs="宋体"/>
                <w:color w:val="auto"/>
                <w:szCs w:val="21"/>
                <w:highlight w:val="none"/>
              </w:rPr>
              <w:t>发包人地址</w:t>
            </w:r>
            <w:bookmarkEnd w:id="2317"/>
          </w:p>
        </w:tc>
        <w:tc>
          <w:tcPr>
            <w:tcW w:w="6075" w:type="dxa"/>
            <w:noWrap w:val="0"/>
            <w:vAlign w:val="top"/>
          </w:tcPr>
          <w:p w14:paraId="06C5BAA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116FFE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1" w:hRule="atLeast"/>
        </w:trPr>
        <w:tc>
          <w:tcPr>
            <w:tcW w:w="3204" w:type="dxa"/>
            <w:noWrap w:val="0"/>
            <w:vAlign w:val="center"/>
          </w:tcPr>
          <w:p w14:paraId="68384D5F">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18" w:name="_Toc221952209"/>
            <w:r>
              <w:rPr>
                <w:rFonts w:hint="eastAsia" w:ascii="宋体" w:hAnsi="宋体" w:eastAsia="宋体" w:cs="宋体"/>
                <w:color w:val="auto"/>
                <w:szCs w:val="21"/>
                <w:highlight w:val="none"/>
              </w:rPr>
              <w:t>发包人电话</w:t>
            </w:r>
            <w:bookmarkEnd w:id="2318"/>
          </w:p>
        </w:tc>
        <w:tc>
          <w:tcPr>
            <w:tcW w:w="6075" w:type="dxa"/>
            <w:noWrap w:val="0"/>
            <w:vAlign w:val="top"/>
          </w:tcPr>
          <w:p w14:paraId="788CF9C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22628A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trPr>
        <w:tc>
          <w:tcPr>
            <w:tcW w:w="3204" w:type="dxa"/>
            <w:noWrap w:val="0"/>
            <w:vAlign w:val="center"/>
          </w:tcPr>
          <w:p w14:paraId="44FF48D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19" w:name="_Toc221952210"/>
            <w:r>
              <w:rPr>
                <w:rFonts w:hint="eastAsia" w:ascii="宋体" w:hAnsi="宋体" w:eastAsia="宋体" w:cs="宋体"/>
                <w:color w:val="auto"/>
                <w:szCs w:val="21"/>
                <w:highlight w:val="none"/>
              </w:rPr>
              <w:t>签约合同价</w:t>
            </w:r>
            <w:bookmarkEnd w:id="2319"/>
            <w:r>
              <w:rPr>
                <w:rFonts w:hint="eastAsia" w:ascii="宋体" w:hAnsi="宋体" w:eastAsia="宋体" w:cs="宋体"/>
                <w:color w:val="auto"/>
                <w:szCs w:val="22"/>
                <w:highlight w:val="none"/>
                <w:lang w:eastAsia="zh-CN"/>
              </w:rPr>
              <w:t>（</w:t>
            </w:r>
            <w:r>
              <w:rPr>
                <w:rFonts w:hint="eastAsia" w:ascii="宋体" w:hAnsi="宋体" w:eastAsia="宋体" w:cs="宋体"/>
                <w:color w:val="auto"/>
                <w:szCs w:val="22"/>
                <w:highlight w:val="none"/>
                <w:lang w:val="en-US" w:eastAsia="zh-CN"/>
              </w:rPr>
              <w:t>元</w:t>
            </w:r>
            <w:r>
              <w:rPr>
                <w:rFonts w:hint="eastAsia" w:ascii="宋体" w:hAnsi="宋体" w:eastAsia="宋体" w:cs="宋体"/>
                <w:color w:val="auto"/>
                <w:szCs w:val="22"/>
                <w:highlight w:val="none"/>
                <w:lang w:eastAsia="zh-CN"/>
              </w:rPr>
              <w:t>）</w:t>
            </w:r>
          </w:p>
        </w:tc>
        <w:tc>
          <w:tcPr>
            <w:tcW w:w="6075" w:type="dxa"/>
            <w:noWrap w:val="0"/>
            <w:vAlign w:val="top"/>
          </w:tcPr>
          <w:p w14:paraId="236E0D3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5C76A0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trPr>
        <w:tc>
          <w:tcPr>
            <w:tcW w:w="3204" w:type="dxa"/>
            <w:noWrap w:val="0"/>
            <w:vAlign w:val="center"/>
          </w:tcPr>
          <w:p w14:paraId="7C7F1B0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20" w:name="_Toc221952211"/>
            <w:r>
              <w:rPr>
                <w:rFonts w:hint="eastAsia" w:ascii="宋体" w:hAnsi="宋体" w:eastAsia="宋体" w:cs="宋体"/>
                <w:color w:val="auto"/>
                <w:szCs w:val="21"/>
                <w:highlight w:val="none"/>
              </w:rPr>
              <w:t>开工日期</w:t>
            </w:r>
            <w:bookmarkEnd w:id="2320"/>
          </w:p>
        </w:tc>
        <w:tc>
          <w:tcPr>
            <w:tcW w:w="6075" w:type="dxa"/>
            <w:noWrap w:val="0"/>
            <w:vAlign w:val="top"/>
          </w:tcPr>
          <w:p w14:paraId="460F67AE">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3F1C4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0" w:hRule="atLeast"/>
        </w:trPr>
        <w:tc>
          <w:tcPr>
            <w:tcW w:w="3204" w:type="dxa"/>
            <w:noWrap w:val="0"/>
            <w:vAlign w:val="center"/>
          </w:tcPr>
          <w:p w14:paraId="0A3606B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21" w:name="_Toc221952212"/>
            <w:r>
              <w:rPr>
                <w:rFonts w:hint="eastAsia" w:ascii="宋体" w:hAnsi="宋体" w:eastAsia="宋体" w:cs="宋体"/>
                <w:color w:val="auto"/>
                <w:szCs w:val="21"/>
                <w:highlight w:val="none"/>
              </w:rPr>
              <w:t>计划完工日期</w:t>
            </w:r>
            <w:bookmarkEnd w:id="2321"/>
          </w:p>
        </w:tc>
        <w:tc>
          <w:tcPr>
            <w:tcW w:w="6075" w:type="dxa"/>
            <w:noWrap w:val="0"/>
            <w:vAlign w:val="top"/>
          </w:tcPr>
          <w:p w14:paraId="319633C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107B99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5" w:hRule="atLeast"/>
        </w:trPr>
        <w:tc>
          <w:tcPr>
            <w:tcW w:w="3204" w:type="dxa"/>
            <w:noWrap w:val="0"/>
            <w:vAlign w:val="center"/>
          </w:tcPr>
          <w:p w14:paraId="43251B1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22" w:name="_Toc221952213"/>
            <w:r>
              <w:rPr>
                <w:rFonts w:hint="eastAsia" w:ascii="宋体" w:hAnsi="宋体" w:eastAsia="宋体" w:cs="宋体"/>
                <w:color w:val="auto"/>
                <w:szCs w:val="21"/>
                <w:highlight w:val="none"/>
              </w:rPr>
              <w:t>承担的工作</w:t>
            </w:r>
            <w:bookmarkEnd w:id="2322"/>
          </w:p>
        </w:tc>
        <w:tc>
          <w:tcPr>
            <w:tcW w:w="6075" w:type="dxa"/>
            <w:noWrap w:val="0"/>
            <w:vAlign w:val="top"/>
          </w:tcPr>
          <w:p w14:paraId="13E6591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2AD49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atLeast"/>
        </w:trPr>
        <w:tc>
          <w:tcPr>
            <w:tcW w:w="3204" w:type="dxa"/>
            <w:noWrap w:val="0"/>
            <w:vAlign w:val="center"/>
          </w:tcPr>
          <w:p w14:paraId="3E523AAF">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23" w:name="_Toc221952214"/>
            <w:r>
              <w:rPr>
                <w:rFonts w:hint="eastAsia" w:ascii="宋体" w:hAnsi="宋体" w:eastAsia="宋体" w:cs="宋体"/>
                <w:color w:val="auto"/>
                <w:szCs w:val="21"/>
                <w:highlight w:val="none"/>
              </w:rPr>
              <w:t>工程质量</w:t>
            </w:r>
            <w:bookmarkEnd w:id="2323"/>
          </w:p>
        </w:tc>
        <w:tc>
          <w:tcPr>
            <w:tcW w:w="6075" w:type="dxa"/>
            <w:noWrap w:val="0"/>
            <w:vAlign w:val="top"/>
          </w:tcPr>
          <w:p w14:paraId="258F8E71">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631D9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atLeast"/>
        </w:trPr>
        <w:tc>
          <w:tcPr>
            <w:tcW w:w="3204" w:type="dxa"/>
            <w:noWrap w:val="0"/>
            <w:vAlign w:val="center"/>
          </w:tcPr>
          <w:p w14:paraId="1E56B6BE">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24" w:name="_Toc221952215"/>
            <w:r>
              <w:rPr>
                <w:rFonts w:hint="eastAsia" w:ascii="宋体" w:hAnsi="宋体" w:eastAsia="宋体" w:cs="宋体"/>
                <w:color w:val="auto"/>
                <w:szCs w:val="21"/>
                <w:highlight w:val="none"/>
              </w:rPr>
              <w:t>项目经理</w:t>
            </w:r>
            <w:bookmarkEnd w:id="2324"/>
          </w:p>
        </w:tc>
        <w:tc>
          <w:tcPr>
            <w:tcW w:w="6075" w:type="dxa"/>
            <w:noWrap w:val="0"/>
            <w:vAlign w:val="top"/>
          </w:tcPr>
          <w:p w14:paraId="4A137E1E">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6D5E4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trPr>
        <w:tc>
          <w:tcPr>
            <w:tcW w:w="3204" w:type="dxa"/>
            <w:noWrap w:val="0"/>
            <w:vAlign w:val="center"/>
          </w:tcPr>
          <w:p w14:paraId="587F927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25" w:name="_Toc221952216"/>
            <w:r>
              <w:rPr>
                <w:rFonts w:hint="eastAsia" w:ascii="宋体" w:hAnsi="宋体" w:eastAsia="宋体" w:cs="宋体"/>
                <w:color w:val="auto"/>
                <w:szCs w:val="21"/>
                <w:highlight w:val="none"/>
              </w:rPr>
              <w:t>技术负责人</w:t>
            </w:r>
            <w:bookmarkEnd w:id="2325"/>
          </w:p>
        </w:tc>
        <w:tc>
          <w:tcPr>
            <w:tcW w:w="6075" w:type="dxa"/>
            <w:noWrap w:val="0"/>
            <w:vAlign w:val="top"/>
          </w:tcPr>
          <w:p w14:paraId="2B571E5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04CE6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3204" w:type="dxa"/>
            <w:noWrap w:val="0"/>
            <w:vAlign w:val="center"/>
          </w:tcPr>
          <w:p w14:paraId="6978CCF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26" w:name="_Toc221952217"/>
            <w:r>
              <w:rPr>
                <w:rFonts w:hint="eastAsia" w:ascii="宋体" w:hAnsi="宋体" w:eastAsia="宋体" w:cs="宋体"/>
                <w:color w:val="auto"/>
                <w:szCs w:val="21"/>
                <w:highlight w:val="none"/>
              </w:rPr>
              <w:t>监理人和总监理</w:t>
            </w:r>
            <w:r>
              <w:rPr>
                <w:rFonts w:hint="eastAsia" w:ascii="宋体" w:hAnsi="宋体" w:eastAsia="宋体" w:cs="宋体"/>
                <w:color w:val="auto"/>
                <w:szCs w:val="21"/>
                <w:highlight w:val="none"/>
                <w:lang w:val="en-US" w:eastAsia="zh-CN"/>
              </w:rPr>
              <w:t>工</w:t>
            </w:r>
            <w:r>
              <w:rPr>
                <w:rFonts w:hint="eastAsia" w:ascii="宋体" w:hAnsi="宋体" w:eastAsia="宋体" w:cs="宋体"/>
                <w:color w:val="auto"/>
                <w:szCs w:val="21"/>
                <w:highlight w:val="none"/>
              </w:rPr>
              <w:t>程师及电话</w:t>
            </w:r>
            <w:bookmarkEnd w:id="2326"/>
          </w:p>
        </w:tc>
        <w:tc>
          <w:tcPr>
            <w:tcW w:w="6075" w:type="dxa"/>
            <w:noWrap w:val="0"/>
            <w:vAlign w:val="top"/>
          </w:tcPr>
          <w:p w14:paraId="467040CE">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018C2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2" w:hRule="atLeast"/>
        </w:trPr>
        <w:tc>
          <w:tcPr>
            <w:tcW w:w="3204" w:type="dxa"/>
            <w:noWrap w:val="0"/>
            <w:vAlign w:val="center"/>
          </w:tcPr>
          <w:p w14:paraId="45E8F15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bookmarkStart w:id="2327" w:name="_Toc221952218"/>
            <w:r>
              <w:rPr>
                <w:rFonts w:hint="eastAsia" w:ascii="宋体" w:hAnsi="宋体" w:eastAsia="宋体" w:cs="宋体"/>
                <w:color w:val="auto"/>
                <w:szCs w:val="21"/>
                <w:highlight w:val="none"/>
              </w:rPr>
              <w:t>项目描述</w:t>
            </w:r>
            <w:bookmarkEnd w:id="2327"/>
          </w:p>
        </w:tc>
        <w:tc>
          <w:tcPr>
            <w:tcW w:w="6075" w:type="dxa"/>
            <w:noWrap w:val="0"/>
            <w:vAlign w:val="top"/>
          </w:tcPr>
          <w:p w14:paraId="623852F4">
            <w:pPr>
              <w:keepNext w:val="0"/>
              <w:keepLines w:val="0"/>
              <w:widowControl/>
              <w:suppressLineNumbers w:val="0"/>
              <w:spacing w:before="0" w:beforeAutospacing="0" w:after="0" w:afterAutospacing="0" w:line="400" w:lineRule="exact"/>
              <w:ind w:left="0" w:right="0"/>
              <w:jc w:val="both"/>
              <w:rPr>
                <w:rFonts w:hint="eastAsia" w:ascii="宋体" w:hAnsi="宋体" w:eastAsia="宋体" w:cs="宋体"/>
                <w:color w:val="auto"/>
                <w:szCs w:val="21"/>
                <w:highlight w:val="none"/>
              </w:rPr>
            </w:pPr>
          </w:p>
        </w:tc>
      </w:tr>
      <w:tr w14:paraId="2198E6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9" w:hRule="atLeast"/>
        </w:trPr>
        <w:tc>
          <w:tcPr>
            <w:tcW w:w="3204" w:type="dxa"/>
            <w:noWrap w:val="0"/>
            <w:vAlign w:val="center"/>
          </w:tcPr>
          <w:p w14:paraId="735EF7A5">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1"/>
                <w:highlight w:val="none"/>
              </w:rPr>
            </w:pPr>
            <w:bookmarkStart w:id="2328" w:name="_Toc221952219"/>
            <w:r>
              <w:rPr>
                <w:rFonts w:hint="eastAsia" w:ascii="宋体" w:hAnsi="宋体" w:eastAsia="宋体" w:cs="宋体"/>
                <w:color w:val="auto"/>
                <w:szCs w:val="21"/>
                <w:highlight w:val="none"/>
              </w:rPr>
              <w:t>备注</w:t>
            </w:r>
            <w:bookmarkEnd w:id="2328"/>
          </w:p>
        </w:tc>
        <w:tc>
          <w:tcPr>
            <w:tcW w:w="6075" w:type="dxa"/>
            <w:noWrap w:val="0"/>
            <w:vAlign w:val="center"/>
          </w:tcPr>
          <w:p w14:paraId="5D40AB5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合同项目描述内容至少包括项目概况</w:t>
            </w:r>
            <w:r>
              <w:rPr>
                <w:rFonts w:hint="eastAsia" w:ascii="宋体" w:hAnsi="宋体" w:eastAsia="宋体" w:cs="宋体"/>
                <w:color w:val="auto"/>
                <w:szCs w:val="21"/>
                <w:highlight w:val="none"/>
                <w:lang w:val="en-US" w:eastAsia="zh-CN"/>
              </w:rPr>
              <w:t>等</w:t>
            </w:r>
            <w:r>
              <w:rPr>
                <w:rFonts w:hint="eastAsia" w:ascii="宋体" w:hAnsi="宋体" w:eastAsia="宋体" w:cs="宋体"/>
                <w:color w:val="auto"/>
                <w:szCs w:val="21"/>
                <w:highlight w:val="none"/>
                <w:lang w:eastAsia="zh-CN"/>
              </w:rPr>
              <w:t>。</w:t>
            </w:r>
          </w:p>
        </w:tc>
      </w:tr>
    </w:tbl>
    <w:p w14:paraId="0EC89C14">
      <w:pPr>
        <w:keepNext w:val="0"/>
        <w:keepLines w:val="0"/>
        <w:pageBreakBefore w:val="0"/>
        <w:widowControl/>
        <w:kinsoku/>
        <w:wordWrap/>
        <w:overflowPunct/>
        <w:topLinePunct w:val="0"/>
        <w:autoSpaceDE/>
        <w:autoSpaceDN/>
        <w:bidi w:val="0"/>
        <w:adjustRightInd/>
        <w:snapToGrid/>
        <w:spacing w:before="0" w:before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如投标人不提供相关正在施工的和新承接的项目业绩，则在表格中填写“/”；</w:t>
      </w:r>
    </w:p>
    <w:p w14:paraId="32C59861">
      <w:pPr>
        <w:keepNext w:val="0"/>
        <w:keepLines w:val="0"/>
        <w:pageBreakBefore w:val="0"/>
        <w:widowControl/>
        <w:kinsoku/>
        <w:wordWrap/>
        <w:overflowPunct/>
        <w:topLinePunct w:val="0"/>
        <w:autoSpaceDE/>
        <w:autoSpaceDN/>
        <w:bidi w:val="0"/>
        <w:adjustRightInd/>
        <w:snapToGrid/>
        <w:spacing w:beforeLines="0" w:line="360" w:lineRule="auto"/>
        <w:ind w:firstLine="840" w:firstLineChars="4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如投标人提供相关正在施工的和新承接的项目业绩，如实填写表格中内容，在本表后附有符合评分标准评审要求的正在施工的和新承接业绩相关证明材料，提供证明材料不符合评审要求</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，不予计分。每张表格只填写一个项目，并标明序号。</w:t>
      </w:r>
    </w:p>
    <w:p w14:paraId="2BE1AE6C">
      <w:pPr>
        <w:widowControl w:val="0"/>
        <w:autoSpaceDE w:val="0"/>
        <w:autoSpaceDN w:val="0"/>
        <w:adjustRightInd w:val="0"/>
        <w:outlineLvl w:val="9"/>
        <w:rPr>
          <w:rFonts w:hint="eastAsia" w:ascii="宋体" w:hAnsi="宋体" w:eastAsia="宋体" w:cs="宋体"/>
          <w:color w:val="auto"/>
          <w:kern w:val="2"/>
          <w:sz w:val="24"/>
          <w:szCs w:val="21"/>
          <w:highlight w:val="none"/>
          <w:lang w:val="en-US" w:eastAsia="zh-CN" w:bidi="ar-SA"/>
        </w:rPr>
      </w:pPr>
    </w:p>
    <w:p w14:paraId="6695E992">
      <w:pPr>
        <w:widowControl w:val="0"/>
        <w:autoSpaceDE w:val="0"/>
        <w:autoSpaceDN w:val="0"/>
        <w:adjustRightInd w:val="0"/>
        <w:outlineLvl w:val="9"/>
        <w:rPr>
          <w:rFonts w:hint="eastAsia" w:ascii="宋体" w:hAnsi="宋体" w:eastAsia="宋体" w:cs="宋体"/>
          <w:color w:val="auto"/>
          <w:kern w:val="2"/>
          <w:sz w:val="24"/>
          <w:szCs w:val="21"/>
          <w:highlight w:val="none"/>
          <w:lang w:val="en-US" w:eastAsia="zh-CN" w:bidi="ar-SA"/>
        </w:rPr>
      </w:pPr>
    </w:p>
    <w:p w14:paraId="1EC9C7D5">
      <w:pPr>
        <w:widowControl/>
        <w:adjustRightInd w:val="0"/>
        <w:snapToGrid w:val="0"/>
        <w:spacing w:line="360" w:lineRule="auto"/>
        <w:jc w:val="center"/>
        <w:outlineLvl w:val="9"/>
        <w:rPr>
          <w:rFonts w:hint="eastAsia" w:ascii="宋体" w:hAnsi="宋体" w:eastAsia="宋体" w:cs="宋体"/>
          <w:b/>
          <w:color w:val="auto"/>
          <w:sz w:val="24"/>
          <w:szCs w:val="24"/>
          <w:highlight w:val="none"/>
          <w:lang w:val="en-US" w:eastAsia="zh-CN"/>
        </w:rPr>
      </w:pPr>
    </w:p>
    <w:p w14:paraId="364AA27E">
      <w:pPr>
        <w:widowControl/>
        <w:adjustRightInd/>
        <w:snapToGrid/>
        <w:spacing w:line="240" w:lineRule="auto"/>
        <w:jc w:val="left"/>
        <w:outlineLvl w:val="9"/>
        <w:rPr>
          <w:rFonts w:hint="eastAsia" w:ascii="宋体" w:hAnsi="宋体" w:eastAsia="宋体" w:cs="宋体"/>
          <w:b/>
          <w:color w:val="auto"/>
          <w:sz w:val="24"/>
          <w:szCs w:val="24"/>
          <w:highlight w:val="none"/>
          <w:lang w:val="en-US" w:eastAsia="zh-CN"/>
        </w:rPr>
      </w:pPr>
    </w:p>
    <w:p w14:paraId="0D36AF98">
      <w:pPr>
        <w:widowControl/>
        <w:adjustRightInd w:val="0"/>
        <w:snapToGrid w:val="0"/>
        <w:spacing w:line="360" w:lineRule="auto"/>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（五）近三年发生的诉讼及仲裁情况</w:t>
      </w:r>
      <w:bookmarkEnd w:id="2304"/>
      <w:bookmarkEnd w:id="2305"/>
      <w:bookmarkEnd w:id="2306"/>
      <w:bookmarkEnd w:id="2307"/>
      <w:bookmarkEnd w:id="2308"/>
      <w:bookmarkEnd w:id="2309"/>
      <w:bookmarkEnd w:id="2310"/>
      <w:bookmarkEnd w:id="2311"/>
      <w:bookmarkEnd w:id="2312"/>
      <w:bookmarkEnd w:id="2313"/>
    </w:p>
    <w:tbl>
      <w:tblPr>
        <w:tblStyle w:val="2"/>
        <w:tblW w:w="0" w:type="auto"/>
        <w:tblInd w:w="13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98"/>
        <w:gridCol w:w="2112"/>
        <w:gridCol w:w="2401"/>
        <w:gridCol w:w="1003"/>
        <w:gridCol w:w="1170"/>
        <w:gridCol w:w="1564"/>
      </w:tblGrid>
      <w:tr w14:paraId="2C8AC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5" w:hRule="atLeast"/>
        </w:trPr>
        <w:tc>
          <w:tcPr>
            <w:tcW w:w="898" w:type="dxa"/>
            <w:noWrap w:val="0"/>
            <w:vAlign w:val="center"/>
          </w:tcPr>
          <w:p w14:paraId="65788E63">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112" w:type="dxa"/>
            <w:noWrap w:val="0"/>
            <w:vAlign w:val="center"/>
          </w:tcPr>
          <w:p w14:paraId="5D3AA710">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诉讼或仲裁事项</w:t>
            </w:r>
          </w:p>
        </w:tc>
        <w:tc>
          <w:tcPr>
            <w:tcW w:w="2401" w:type="dxa"/>
            <w:noWrap w:val="0"/>
            <w:vAlign w:val="center"/>
          </w:tcPr>
          <w:p w14:paraId="17B53D2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诉讼或仲裁中的地位</w:t>
            </w:r>
          </w:p>
        </w:tc>
        <w:tc>
          <w:tcPr>
            <w:tcW w:w="1003" w:type="dxa"/>
            <w:noWrap w:val="0"/>
            <w:vAlign w:val="center"/>
          </w:tcPr>
          <w:p w14:paraId="61BB605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缘由</w:t>
            </w:r>
          </w:p>
        </w:tc>
        <w:tc>
          <w:tcPr>
            <w:tcW w:w="1170" w:type="dxa"/>
            <w:noWrap w:val="0"/>
            <w:vAlign w:val="center"/>
          </w:tcPr>
          <w:p w14:paraId="4C0328BC">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结果</w:t>
            </w:r>
          </w:p>
        </w:tc>
        <w:tc>
          <w:tcPr>
            <w:tcW w:w="1564" w:type="dxa"/>
            <w:noWrap w:val="0"/>
            <w:vAlign w:val="center"/>
          </w:tcPr>
          <w:p w14:paraId="2E3C172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1B7981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898" w:type="dxa"/>
            <w:noWrap w:val="0"/>
            <w:vAlign w:val="top"/>
          </w:tcPr>
          <w:p w14:paraId="3933B47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w:t>
            </w:r>
          </w:p>
        </w:tc>
        <w:tc>
          <w:tcPr>
            <w:tcW w:w="2112" w:type="dxa"/>
            <w:noWrap w:val="0"/>
            <w:vAlign w:val="top"/>
          </w:tcPr>
          <w:p w14:paraId="1C700BC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诉讼事项</w:t>
            </w:r>
          </w:p>
        </w:tc>
        <w:tc>
          <w:tcPr>
            <w:tcW w:w="2401" w:type="dxa"/>
            <w:noWrap w:val="0"/>
            <w:vAlign w:val="top"/>
          </w:tcPr>
          <w:p w14:paraId="5D39143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7067054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6D0103F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3FE4D46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3FF0A7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265FD73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112" w:type="dxa"/>
            <w:noWrap w:val="0"/>
            <w:vAlign w:val="top"/>
          </w:tcPr>
          <w:p w14:paraId="4D8F8D6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401" w:type="dxa"/>
            <w:noWrap w:val="0"/>
            <w:vAlign w:val="top"/>
          </w:tcPr>
          <w:p w14:paraId="4174E2E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5259302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2F1200A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4A8B7C5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19A2F0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0" w:hRule="atLeast"/>
        </w:trPr>
        <w:tc>
          <w:tcPr>
            <w:tcW w:w="898" w:type="dxa"/>
            <w:noWrap w:val="0"/>
            <w:vAlign w:val="top"/>
          </w:tcPr>
          <w:p w14:paraId="14F647C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112" w:type="dxa"/>
            <w:noWrap w:val="0"/>
            <w:vAlign w:val="top"/>
          </w:tcPr>
          <w:p w14:paraId="0CC2863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401" w:type="dxa"/>
            <w:noWrap w:val="0"/>
            <w:vAlign w:val="top"/>
          </w:tcPr>
          <w:p w14:paraId="23EC0F0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2CB47D5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F0B338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28B5532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0463EA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898" w:type="dxa"/>
            <w:noWrap w:val="0"/>
            <w:vAlign w:val="top"/>
          </w:tcPr>
          <w:p w14:paraId="5ED6240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112" w:type="dxa"/>
            <w:noWrap w:val="0"/>
            <w:vAlign w:val="top"/>
          </w:tcPr>
          <w:p w14:paraId="5B75848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401" w:type="dxa"/>
            <w:noWrap w:val="0"/>
            <w:vAlign w:val="top"/>
          </w:tcPr>
          <w:p w14:paraId="78442DA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1C3678B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13C9191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1F0EE26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32383A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trPr>
        <w:tc>
          <w:tcPr>
            <w:tcW w:w="898" w:type="dxa"/>
            <w:noWrap w:val="0"/>
            <w:vAlign w:val="top"/>
          </w:tcPr>
          <w:p w14:paraId="3E20651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112" w:type="dxa"/>
            <w:noWrap w:val="0"/>
            <w:vAlign w:val="top"/>
          </w:tcPr>
          <w:p w14:paraId="3AB0186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401" w:type="dxa"/>
            <w:noWrap w:val="0"/>
            <w:vAlign w:val="top"/>
          </w:tcPr>
          <w:p w14:paraId="3666E27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56665A7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DD67FB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672236B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1A8F5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6FA6B38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w:t>
            </w:r>
          </w:p>
        </w:tc>
        <w:tc>
          <w:tcPr>
            <w:tcW w:w="2112" w:type="dxa"/>
            <w:noWrap w:val="0"/>
            <w:vAlign w:val="top"/>
          </w:tcPr>
          <w:p w14:paraId="225BEA0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仲裁事项</w:t>
            </w:r>
          </w:p>
        </w:tc>
        <w:tc>
          <w:tcPr>
            <w:tcW w:w="2401" w:type="dxa"/>
            <w:noWrap w:val="0"/>
            <w:vAlign w:val="top"/>
          </w:tcPr>
          <w:p w14:paraId="2CAE1CC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0D30D00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3B2010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24EDDC5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407C68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3217EBB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0F3D3B8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4AB5B56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1E60FE8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9827A2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12B9FEB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F4DC0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3C9BDB8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019E34B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50F6945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488093F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BAFCF6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50C5D3D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7A2D97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530E71C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5FFE6E3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79A9CBC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43C2267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6BD1BA7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5D6361A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22C68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898" w:type="dxa"/>
            <w:noWrap w:val="0"/>
            <w:vAlign w:val="top"/>
          </w:tcPr>
          <w:p w14:paraId="1F3BD3F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08BC47F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6810915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6EB1ECF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335EB16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762BD62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3D5976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trPr>
        <w:tc>
          <w:tcPr>
            <w:tcW w:w="898" w:type="dxa"/>
            <w:noWrap w:val="0"/>
            <w:vAlign w:val="top"/>
          </w:tcPr>
          <w:p w14:paraId="2D5CD18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36079D1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665DAE0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3A80E6B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1EFB3F3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01C4C76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221C3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898" w:type="dxa"/>
            <w:noWrap w:val="0"/>
            <w:vAlign w:val="top"/>
          </w:tcPr>
          <w:p w14:paraId="0B20106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6415D2A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67EB4DD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7955FBE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4ED3C3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445F622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7639E2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898" w:type="dxa"/>
            <w:noWrap w:val="0"/>
            <w:vAlign w:val="top"/>
          </w:tcPr>
          <w:p w14:paraId="5616639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6801A3C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30AE83A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01EBF95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A55031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12A4DFE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03870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898" w:type="dxa"/>
            <w:noWrap w:val="0"/>
            <w:vAlign w:val="top"/>
          </w:tcPr>
          <w:p w14:paraId="726078C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46515FA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763AC80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07C2085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297C2A0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1E942A0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002EF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898" w:type="dxa"/>
            <w:noWrap w:val="0"/>
            <w:vAlign w:val="top"/>
          </w:tcPr>
          <w:p w14:paraId="7598C77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213938D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246C0B8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07F8C41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E3A6D8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0081590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72062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5" w:hRule="atLeast"/>
        </w:trPr>
        <w:tc>
          <w:tcPr>
            <w:tcW w:w="898" w:type="dxa"/>
            <w:noWrap w:val="0"/>
            <w:vAlign w:val="top"/>
          </w:tcPr>
          <w:p w14:paraId="20E2452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0F10341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6C90350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6402606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36985E9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4071BB3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06939F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898" w:type="dxa"/>
            <w:noWrap w:val="0"/>
            <w:vAlign w:val="top"/>
          </w:tcPr>
          <w:p w14:paraId="627A27B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0B1CDB6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4B28794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6CD4619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12CEFF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1C1E10B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3E453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5" w:hRule="atLeast"/>
        </w:trPr>
        <w:tc>
          <w:tcPr>
            <w:tcW w:w="898" w:type="dxa"/>
            <w:noWrap w:val="0"/>
            <w:vAlign w:val="top"/>
          </w:tcPr>
          <w:p w14:paraId="16D8C54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79CF8C7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5EBAA93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569B023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0DA71A7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7568185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bl>
    <w:p w14:paraId="6B9421D8">
      <w:pPr>
        <w:widowControl/>
        <w:spacing w:before="240"/>
        <w:ind w:firstLine="211" w:firstLineChars="100"/>
        <w:jc w:val="left"/>
        <w:rPr>
          <w:rFonts w:hint="eastAsia" w:ascii="宋体" w:hAnsi="宋体" w:eastAsia="宋体" w:cs="宋体"/>
          <w:b w:val="0"/>
          <w:bCs/>
          <w:color w:val="auto"/>
          <w:szCs w:val="21"/>
          <w:highlight w:val="none"/>
        </w:rPr>
      </w:pPr>
      <w:r>
        <w:rPr>
          <w:rFonts w:hint="eastAsia" w:ascii="宋体" w:hAnsi="宋体" w:eastAsia="宋体" w:cs="宋体"/>
          <w:b/>
          <w:color w:val="auto"/>
          <w:szCs w:val="21"/>
          <w:highlight w:val="none"/>
        </w:rPr>
        <w:t>注：</w:t>
      </w:r>
      <w:r>
        <w:rPr>
          <w:rFonts w:hint="eastAsia" w:ascii="宋体" w:hAnsi="宋体" w:eastAsia="宋体" w:cs="宋体"/>
          <w:b w:val="0"/>
          <w:bCs/>
          <w:color w:val="auto"/>
          <w:szCs w:val="21"/>
          <w:highlight w:val="none"/>
        </w:rPr>
        <w:t>1.近3年如发生</w:t>
      </w:r>
      <w:r>
        <w:rPr>
          <w:rFonts w:hint="eastAsia" w:ascii="宋体" w:hAnsi="宋体" w:eastAsia="宋体" w:cs="宋体"/>
          <w:b w:val="0"/>
          <w:bCs/>
          <w:color w:val="auto"/>
          <w:szCs w:val="21"/>
          <w:highlight w:val="none"/>
          <w:lang w:val="en-US" w:eastAsia="zh-CN"/>
        </w:rPr>
        <w:t>工程</w:t>
      </w:r>
      <w:r>
        <w:rPr>
          <w:rFonts w:hint="eastAsia" w:ascii="宋体" w:hAnsi="宋体" w:eastAsia="宋体" w:cs="宋体"/>
          <w:b w:val="0"/>
          <w:bCs/>
          <w:color w:val="auto"/>
          <w:szCs w:val="21"/>
          <w:highlight w:val="none"/>
        </w:rPr>
        <w:t>诉讼或仲裁事项</w:t>
      </w:r>
      <w:r>
        <w:rPr>
          <w:rFonts w:hint="eastAsia" w:ascii="宋体" w:hAnsi="宋体" w:eastAsia="宋体" w:cs="宋体"/>
          <w:b w:val="0"/>
          <w:bCs/>
          <w:color w:val="auto"/>
          <w:szCs w:val="21"/>
          <w:highlight w:val="none"/>
          <w:lang w:val="en-US" w:eastAsia="zh-CN"/>
        </w:rPr>
        <w:t>仅限于投标人败诉的施工合同的相关情况，并附法院或仲裁机构作出的判决、裁决等有关法律文书复印件。</w:t>
      </w:r>
    </w:p>
    <w:p w14:paraId="3FA3C0A4">
      <w:pPr>
        <w:widowControl/>
        <w:spacing w:line="400" w:lineRule="exact"/>
        <w:ind w:firstLine="630" w:firstLineChars="300"/>
        <w:jc w:val="left"/>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2.近3年如无发生诉讼或仲裁事项，则应在本表格中以“/”注明无诉讼或仲裁事项发生。</w:t>
      </w:r>
    </w:p>
    <w:p w14:paraId="0340D5A8">
      <w:pPr>
        <w:widowControl/>
        <w:spacing w:line="400" w:lineRule="exact"/>
        <w:ind w:firstLine="632" w:firstLineChars="300"/>
        <w:jc w:val="left"/>
        <w:rPr>
          <w:rFonts w:hint="eastAsia" w:ascii="宋体" w:hAnsi="宋体" w:eastAsia="宋体" w:cs="宋体"/>
          <w:b/>
          <w:color w:val="auto"/>
          <w:szCs w:val="21"/>
          <w:highlight w:val="none"/>
          <w:lang w:val="en-US" w:eastAsia="zh-CN"/>
        </w:rPr>
      </w:pPr>
    </w:p>
    <w:p w14:paraId="636EEFA6">
      <w:pPr>
        <w:widowControl w:val="0"/>
        <w:ind w:left="730" w:firstLine="3570" w:firstLineChars="1700"/>
        <w:jc w:val="both"/>
        <w:rPr>
          <w:rFonts w:hint="eastAsia" w:ascii="宋体" w:hAnsi="宋体" w:eastAsia="宋体" w:cs="宋体"/>
          <w:color w:val="auto"/>
          <w:kern w:val="2"/>
          <w:sz w:val="21"/>
          <w:szCs w:val="24"/>
          <w:highlight w:val="none"/>
          <w:lang w:val="en-US" w:eastAsia="zh-CN" w:bidi="ar-SA"/>
        </w:rPr>
      </w:pPr>
    </w:p>
    <w:p w14:paraId="316A448D">
      <w:pPr>
        <w:widowControl w:val="0"/>
        <w:autoSpaceDE w:val="0"/>
        <w:autoSpaceDN w:val="0"/>
        <w:adjustRightInd w:val="0"/>
        <w:jc w:val="center"/>
        <w:rPr>
          <w:rFonts w:hint="eastAsia" w:ascii="宋体" w:hAnsi="宋体" w:eastAsia="宋体" w:cs="宋体"/>
          <w:color w:val="auto"/>
          <w:kern w:val="2"/>
          <w:sz w:val="24"/>
          <w:szCs w:val="24"/>
          <w:highlight w:val="none"/>
          <w:lang w:val="en-US" w:eastAsia="zh-CN" w:bidi="ar-SA"/>
        </w:rPr>
      </w:pPr>
      <w:bookmarkStart w:id="2329" w:name="_Toc23698"/>
      <w:bookmarkStart w:id="2330" w:name="_Toc36069914"/>
      <w:bookmarkStart w:id="2331" w:name="_Toc17363"/>
      <w:bookmarkStart w:id="2332" w:name="_Toc14679"/>
      <w:bookmarkStart w:id="2333" w:name="_Toc25518"/>
      <w:bookmarkStart w:id="2334" w:name="_Toc32230"/>
      <w:bookmarkStart w:id="2335" w:name="_Toc13369"/>
      <w:bookmarkStart w:id="2336" w:name="_Toc27250"/>
    </w:p>
    <w:p w14:paraId="2413C319">
      <w:pPr>
        <w:widowControl/>
        <w:adjustRightInd/>
        <w:snapToGrid/>
        <w:spacing w:line="240" w:lineRule="auto"/>
        <w:jc w:val="left"/>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632958A5">
      <w:pPr>
        <w:widowControl/>
        <w:adjustRightInd w:val="0"/>
        <w:snapToGrid w:val="0"/>
        <w:spacing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（六）项目管理机构表</w:t>
      </w:r>
    </w:p>
    <w:p w14:paraId="5BB31480">
      <w:pPr>
        <w:widowControl/>
        <w:jc w:val="center"/>
        <w:outlineLvl w:val="9"/>
        <w:rPr>
          <w:rFonts w:hint="eastAsia" w:ascii="宋体" w:hAnsi="宋体" w:eastAsia="宋体" w:cs="宋体"/>
          <w:b/>
          <w:color w:val="auto"/>
          <w:sz w:val="24"/>
          <w:szCs w:val="24"/>
          <w:highlight w:val="none"/>
        </w:rPr>
      </w:pPr>
      <w:bookmarkStart w:id="2337" w:name="_Toc168475931"/>
      <w:bookmarkStart w:id="2338" w:name="_Toc168476334"/>
      <w:bookmarkStart w:id="2339" w:name="_Toc221952116"/>
      <w:bookmarkStart w:id="2340" w:name="_Toc144974872"/>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项目管理机构组成表</w:t>
      </w:r>
      <w:bookmarkEnd w:id="2337"/>
      <w:bookmarkEnd w:id="2338"/>
      <w:bookmarkEnd w:id="2339"/>
      <w:bookmarkEnd w:id="2340"/>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3"/>
        <w:gridCol w:w="665"/>
        <w:gridCol w:w="739"/>
        <w:gridCol w:w="737"/>
        <w:gridCol w:w="1226"/>
        <w:gridCol w:w="782"/>
        <w:gridCol w:w="782"/>
        <w:gridCol w:w="780"/>
        <w:gridCol w:w="2339"/>
        <w:gridCol w:w="688"/>
      </w:tblGrid>
      <w:tr w14:paraId="060F90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vMerge w:val="restart"/>
            <w:noWrap w:val="0"/>
            <w:vAlign w:val="center"/>
          </w:tcPr>
          <w:p w14:paraId="290E7F59">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r>
              <w:rPr>
                <w:rFonts w:hint="eastAsia" w:ascii="宋体" w:hAnsi="宋体" w:eastAsia="宋体" w:cs="宋体"/>
                <w:color w:val="auto"/>
                <w:szCs w:val="22"/>
                <w:highlight w:val="none"/>
              </w:rPr>
              <w:t>序号</w:t>
            </w:r>
          </w:p>
        </w:tc>
        <w:tc>
          <w:tcPr>
            <w:tcW w:w="665" w:type="dxa"/>
            <w:vMerge w:val="restart"/>
            <w:noWrap w:val="0"/>
            <w:vAlign w:val="center"/>
          </w:tcPr>
          <w:p w14:paraId="0B410F6D">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bookmarkStart w:id="2341" w:name="_Toc221952117"/>
            <w:r>
              <w:rPr>
                <w:rFonts w:hint="eastAsia" w:ascii="宋体" w:hAnsi="宋体" w:eastAsia="宋体" w:cs="宋体"/>
                <w:color w:val="auto"/>
                <w:szCs w:val="22"/>
                <w:highlight w:val="none"/>
              </w:rPr>
              <w:t>职务</w:t>
            </w:r>
            <w:bookmarkEnd w:id="2341"/>
          </w:p>
        </w:tc>
        <w:tc>
          <w:tcPr>
            <w:tcW w:w="739" w:type="dxa"/>
            <w:vMerge w:val="restart"/>
            <w:noWrap w:val="0"/>
            <w:vAlign w:val="center"/>
          </w:tcPr>
          <w:p w14:paraId="4B78D401">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bookmarkStart w:id="2342" w:name="_Toc221952118"/>
            <w:r>
              <w:rPr>
                <w:rFonts w:hint="eastAsia" w:ascii="宋体" w:hAnsi="宋体" w:eastAsia="宋体" w:cs="宋体"/>
                <w:color w:val="auto"/>
                <w:szCs w:val="22"/>
                <w:highlight w:val="none"/>
              </w:rPr>
              <w:t>姓名</w:t>
            </w:r>
            <w:bookmarkEnd w:id="2342"/>
          </w:p>
        </w:tc>
        <w:tc>
          <w:tcPr>
            <w:tcW w:w="737" w:type="dxa"/>
            <w:vMerge w:val="restart"/>
            <w:noWrap w:val="0"/>
            <w:vAlign w:val="center"/>
          </w:tcPr>
          <w:p w14:paraId="493A4C33">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bookmarkStart w:id="2343" w:name="_Toc221952119"/>
            <w:r>
              <w:rPr>
                <w:rFonts w:hint="eastAsia" w:ascii="宋体" w:hAnsi="宋体" w:eastAsia="宋体" w:cs="宋体"/>
                <w:color w:val="auto"/>
                <w:szCs w:val="22"/>
                <w:highlight w:val="none"/>
              </w:rPr>
              <w:t>职称</w:t>
            </w:r>
            <w:bookmarkEnd w:id="2343"/>
          </w:p>
        </w:tc>
        <w:tc>
          <w:tcPr>
            <w:tcW w:w="5909" w:type="dxa"/>
            <w:gridSpan w:val="5"/>
            <w:noWrap w:val="0"/>
            <w:vAlign w:val="center"/>
          </w:tcPr>
          <w:p w14:paraId="782D983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44" w:name="_Toc221952120"/>
            <w:r>
              <w:rPr>
                <w:rFonts w:hint="eastAsia" w:ascii="宋体" w:hAnsi="宋体" w:eastAsia="宋体" w:cs="宋体"/>
                <w:color w:val="auto"/>
                <w:szCs w:val="22"/>
                <w:highlight w:val="none"/>
              </w:rPr>
              <w:t>执业或职业资格证明</w:t>
            </w:r>
            <w:bookmarkEnd w:id="2344"/>
          </w:p>
        </w:tc>
        <w:tc>
          <w:tcPr>
            <w:tcW w:w="688" w:type="dxa"/>
            <w:vMerge w:val="restart"/>
            <w:noWrap w:val="0"/>
            <w:vAlign w:val="center"/>
          </w:tcPr>
          <w:p w14:paraId="12638496">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bookmarkStart w:id="2345" w:name="_Toc221952121"/>
            <w:r>
              <w:rPr>
                <w:rFonts w:hint="eastAsia" w:ascii="宋体" w:hAnsi="宋体" w:eastAsia="宋体" w:cs="宋体"/>
                <w:color w:val="auto"/>
                <w:szCs w:val="22"/>
                <w:highlight w:val="none"/>
              </w:rPr>
              <w:t>备注</w:t>
            </w:r>
            <w:bookmarkEnd w:id="2345"/>
          </w:p>
        </w:tc>
      </w:tr>
      <w:tr w14:paraId="6B49DA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6" w:hRule="atLeast"/>
        </w:trPr>
        <w:tc>
          <w:tcPr>
            <w:tcW w:w="663" w:type="dxa"/>
            <w:vMerge w:val="continue"/>
            <w:noWrap w:val="0"/>
            <w:vAlign w:val="top"/>
          </w:tcPr>
          <w:p w14:paraId="54DCDAB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vMerge w:val="continue"/>
            <w:noWrap w:val="0"/>
            <w:vAlign w:val="center"/>
          </w:tcPr>
          <w:p w14:paraId="3FB94D6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vMerge w:val="continue"/>
            <w:noWrap w:val="0"/>
            <w:vAlign w:val="center"/>
          </w:tcPr>
          <w:p w14:paraId="5B3D7EE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vMerge w:val="continue"/>
            <w:noWrap w:val="0"/>
            <w:vAlign w:val="center"/>
          </w:tcPr>
          <w:p w14:paraId="5557B38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center"/>
          </w:tcPr>
          <w:p w14:paraId="3FA830D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46" w:name="_Toc221952122"/>
            <w:r>
              <w:rPr>
                <w:rFonts w:hint="eastAsia" w:ascii="宋体" w:hAnsi="宋体" w:eastAsia="宋体" w:cs="宋体"/>
                <w:color w:val="auto"/>
                <w:szCs w:val="22"/>
                <w:highlight w:val="none"/>
              </w:rPr>
              <w:t>证书名称</w:t>
            </w:r>
            <w:bookmarkEnd w:id="2346"/>
          </w:p>
        </w:tc>
        <w:tc>
          <w:tcPr>
            <w:tcW w:w="782" w:type="dxa"/>
            <w:noWrap w:val="0"/>
            <w:vAlign w:val="center"/>
          </w:tcPr>
          <w:p w14:paraId="581B7C1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47" w:name="_Toc221952123"/>
            <w:r>
              <w:rPr>
                <w:rFonts w:hint="eastAsia" w:ascii="宋体" w:hAnsi="宋体" w:eastAsia="宋体" w:cs="宋体"/>
                <w:color w:val="auto"/>
                <w:szCs w:val="22"/>
                <w:highlight w:val="none"/>
              </w:rPr>
              <w:t>级别</w:t>
            </w:r>
            <w:bookmarkEnd w:id="2347"/>
          </w:p>
        </w:tc>
        <w:tc>
          <w:tcPr>
            <w:tcW w:w="782" w:type="dxa"/>
            <w:noWrap w:val="0"/>
            <w:vAlign w:val="center"/>
          </w:tcPr>
          <w:p w14:paraId="7F53839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48" w:name="_Toc221952124"/>
            <w:r>
              <w:rPr>
                <w:rFonts w:hint="eastAsia" w:ascii="宋体" w:hAnsi="宋体" w:eastAsia="宋体" w:cs="宋体"/>
                <w:color w:val="auto"/>
                <w:szCs w:val="22"/>
                <w:highlight w:val="none"/>
              </w:rPr>
              <w:t>证号</w:t>
            </w:r>
            <w:bookmarkEnd w:id="2348"/>
          </w:p>
        </w:tc>
        <w:tc>
          <w:tcPr>
            <w:tcW w:w="780" w:type="dxa"/>
            <w:noWrap w:val="0"/>
            <w:vAlign w:val="center"/>
          </w:tcPr>
          <w:p w14:paraId="168EB4E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49" w:name="_Toc221952125"/>
            <w:r>
              <w:rPr>
                <w:rFonts w:hint="eastAsia" w:ascii="宋体" w:hAnsi="宋体" w:eastAsia="宋体" w:cs="宋体"/>
                <w:color w:val="auto"/>
                <w:szCs w:val="22"/>
                <w:highlight w:val="none"/>
              </w:rPr>
              <w:t>专业</w:t>
            </w:r>
            <w:bookmarkEnd w:id="2349"/>
          </w:p>
        </w:tc>
        <w:tc>
          <w:tcPr>
            <w:tcW w:w="2339" w:type="dxa"/>
            <w:noWrap w:val="0"/>
            <w:vAlign w:val="center"/>
          </w:tcPr>
          <w:p w14:paraId="6A949EC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50" w:name="_Toc221952126"/>
            <w:r>
              <w:rPr>
                <w:rFonts w:hint="eastAsia" w:ascii="宋体" w:hAnsi="宋体" w:eastAsia="宋体" w:cs="宋体"/>
                <w:color w:val="auto"/>
                <w:szCs w:val="22"/>
                <w:highlight w:val="none"/>
              </w:rPr>
              <w:t>社会保险</w:t>
            </w:r>
            <w:bookmarkEnd w:id="2350"/>
          </w:p>
        </w:tc>
        <w:tc>
          <w:tcPr>
            <w:tcW w:w="688" w:type="dxa"/>
            <w:vMerge w:val="continue"/>
            <w:noWrap w:val="0"/>
            <w:vAlign w:val="center"/>
          </w:tcPr>
          <w:p w14:paraId="67F2FF0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BB75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5446D05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center"/>
          </w:tcPr>
          <w:p w14:paraId="7C7CA55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center"/>
          </w:tcPr>
          <w:p w14:paraId="0E89826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center"/>
          </w:tcPr>
          <w:p w14:paraId="36E092E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center"/>
          </w:tcPr>
          <w:p w14:paraId="56FCCC9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center"/>
          </w:tcPr>
          <w:p w14:paraId="476E60C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center"/>
          </w:tcPr>
          <w:p w14:paraId="52391CD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center"/>
          </w:tcPr>
          <w:p w14:paraId="5062CF3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center"/>
          </w:tcPr>
          <w:p w14:paraId="0DACAD0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center"/>
          </w:tcPr>
          <w:p w14:paraId="2747EF1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A157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62E08E0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528E5D4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1A77E69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4FAD6E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2821189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1F00E25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9D5A8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7776BF4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37ED491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741BD3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749B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1FEFE24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782EC2F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0FF3580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EDB973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7B235C5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F331BD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E5B81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5F3122A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70B2F7C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37F4521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54924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389ED1B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670063F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0951D19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27770A3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29F62FD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6728233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D817B7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4FF45E2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04B4B52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F8226F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D8939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2CE4A4E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641D706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3D3A362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548037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6732FA9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2DF8A88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1C87AF8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12FA26D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543A933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3355A68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159E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1D71AAF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33FE5E7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4C2ABB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342DF1B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50EF10D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8529D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1D9F5C2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17A8C4A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41EA69A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14DCD4A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4A5C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0A23190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6625F84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41EF646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55715F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7E59E06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8890F5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1B9FC85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6436B4B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58E8F69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784F5AB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1AE8C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5747F7A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7AF2263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52EAFFD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1EFBB32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2AEB8CE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52DEA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1D1EB3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3D7DE02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7347594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1F5E31D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18BE1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75C0652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511DB4E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0C4178B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C0548B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74A2D7C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D77541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1463598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6924B27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3F2BC08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4FF66E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07166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0E39E78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4355F1D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54F0901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336393F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6748BB1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0783EF1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05D6CC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16D9C5E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4226525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4D485A9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48B63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2BD34A6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03A9181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318B64B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2DB3274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02C4D49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1A276D8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C33961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495A8CF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4AED509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74FEBE4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8CF9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0CDD471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3668CA2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5956014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E2777B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6B41BFE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6C58BA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23532DF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6F6E34E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18F9EB2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4DB6441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E0E18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66529A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4258895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45C759E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4E5114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6B3D643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05709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687526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5525633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157AEF3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43E35B9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1CAE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4659661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79E1DEE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641EF10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FB1ABD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3A0DC0F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304159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78E3F0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3AA3608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4D819BB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3A5B017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A1B8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52BDB5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31CF003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1DC7B1D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7C31B05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28EBAD3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A9A3B8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0F364E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128A8EC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66DE5B3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3CB1B18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06394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49A7D50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6541917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46A3C1B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4756C4F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24210F2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69C836C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689CF9C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7242B6C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4F76BA2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492A78D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4F8CA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3EC3CDC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3AA57A9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64DE982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1F5619A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1B16BB6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090DC59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751D2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12926C3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1CC032C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2786C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69D8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09A5DEA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4BCCF2E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0083A69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477C6E8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3815A1C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F9A303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4B6EC2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2099C6D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25D5852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516086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DEF4F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637474F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265007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76D5CB0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724BD0E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66D20DC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8F4624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1D32421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446E0D0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349C764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EB3D66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73EA7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5C2D67A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2C99428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60E45D6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2090B27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0E687C9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E78B28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91CED6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566C8E2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42AB48C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24C903C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171FC178">
      <w:pPr>
        <w:widowControl/>
        <w:jc w:val="left"/>
        <w:rPr>
          <w:rFonts w:hint="eastAsia" w:ascii="宋体" w:hAnsi="宋体" w:eastAsia="宋体" w:cs="宋体"/>
          <w:color w:val="auto"/>
          <w:szCs w:val="22"/>
          <w:highlight w:val="none"/>
        </w:rPr>
      </w:pPr>
      <w:bookmarkStart w:id="2351" w:name="_Toc144974873"/>
      <w:bookmarkStart w:id="2352" w:name="_Toc168475932"/>
      <w:bookmarkStart w:id="2353" w:name="_Toc221952127"/>
      <w:bookmarkStart w:id="2354" w:name="_Toc168476335"/>
    </w:p>
    <w:p w14:paraId="72AFF300">
      <w:pPr>
        <w:widowControl/>
        <w:jc w:val="center"/>
        <w:rPr>
          <w:rFonts w:hint="eastAsia" w:ascii="宋体" w:hAnsi="宋体" w:eastAsia="宋体" w:cs="宋体"/>
          <w:b/>
          <w:color w:val="auto"/>
          <w:sz w:val="24"/>
          <w:szCs w:val="24"/>
          <w:highlight w:val="none"/>
        </w:rPr>
      </w:pPr>
    </w:p>
    <w:p w14:paraId="79CB2CE4">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27A735AD">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1DA612C4">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3A272D0B">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4D65656D">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012D8E7F">
      <w:pPr>
        <w:widowControl/>
        <w:topLinePunct w:val="0"/>
        <w:spacing w:line="240" w:lineRule="auto"/>
        <w:jc w:val="center"/>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1"/>
          <w:szCs w:val="21"/>
          <w:highlight w:val="none"/>
        </w:rPr>
        <w:t>（2）主要人员简历表</w:t>
      </w:r>
      <w:bookmarkEnd w:id="2351"/>
      <w:bookmarkEnd w:id="2352"/>
      <w:bookmarkEnd w:id="2353"/>
      <w:bookmarkEnd w:id="2354"/>
    </w:p>
    <w:tbl>
      <w:tblPr>
        <w:tblStyle w:val="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93"/>
        <w:gridCol w:w="390"/>
        <w:gridCol w:w="786"/>
        <w:gridCol w:w="1010"/>
        <w:gridCol w:w="847"/>
        <w:gridCol w:w="314"/>
        <w:gridCol w:w="1238"/>
        <w:gridCol w:w="1347"/>
        <w:gridCol w:w="184"/>
        <w:gridCol w:w="1877"/>
      </w:tblGrid>
      <w:tr w14:paraId="212DA0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93" w:type="dxa"/>
            <w:noWrap w:val="0"/>
            <w:vAlign w:val="center"/>
          </w:tcPr>
          <w:p w14:paraId="51E81B0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55" w:name="_Toc221952129"/>
            <w:r>
              <w:rPr>
                <w:rFonts w:hint="eastAsia" w:ascii="宋体" w:hAnsi="宋体" w:eastAsia="宋体" w:cs="宋体"/>
                <w:color w:val="auto"/>
                <w:szCs w:val="22"/>
                <w:highlight w:val="none"/>
              </w:rPr>
              <w:t>姓  名</w:t>
            </w:r>
            <w:bookmarkEnd w:id="2355"/>
          </w:p>
        </w:tc>
        <w:tc>
          <w:tcPr>
            <w:tcW w:w="1176" w:type="dxa"/>
            <w:gridSpan w:val="2"/>
            <w:noWrap w:val="0"/>
            <w:vAlign w:val="center"/>
          </w:tcPr>
          <w:p w14:paraId="0265890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10" w:type="dxa"/>
            <w:noWrap w:val="0"/>
            <w:vAlign w:val="center"/>
          </w:tcPr>
          <w:p w14:paraId="50E9A79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56" w:name="_Toc221952130"/>
            <w:r>
              <w:rPr>
                <w:rFonts w:hint="eastAsia" w:ascii="宋体" w:hAnsi="宋体" w:eastAsia="宋体" w:cs="宋体"/>
                <w:color w:val="auto"/>
                <w:szCs w:val="22"/>
                <w:highlight w:val="none"/>
              </w:rPr>
              <w:t>年 龄</w:t>
            </w:r>
            <w:bookmarkEnd w:id="2356"/>
          </w:p>
        </w:tc>
        <w:tc>
          <w:tcPr>
            <w:tcW w:w="1161" w:type="dxa"/>
            <w:gridSpan w:val="2"/>
            <w:noWrap w:val="0"/>
            <w:vAlign w:val="center"/>
          </w:tcPr>
          <w:p w14:paraId="505165E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585" w:type="dxa"/>
            <w:gridSpan w:val="2"/>
            <w:noWrap w:val="0"/>
            <w:vAlign w:val="center"/>
          </w:tcPr>
          <w:p w14:paraId="5F653F9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57" w:name="_Toc221952131"/>
            <w:r>
              <w:rPr>
                <w:rFonts w:hint="eastAsia" w:ascii="宋体" w:hAnsi="宋体" w:eastAsia="宋体" w:cs="宋体"/>
                <w:color w:val="auto"/>
                <w:szCs w:val="22"/>
                <w:highlight w:val="none"/>
              </w:rPr>
              <w:t>学   历</w:t>
            </w:r>
            <w:bookmarkEnd w:id="2357"/>
          </w:p>
        </w:tc>
        <w:tc>
          <w:tcPr>
            <w:tcW w:w="2061" w:type="dxa"/>
            <w:gridSpan w:val="2"/>
            <w:noWrap w:val="0"/>
            <w:vAlign w:val="center"/>
          </w:tcPr>
          <w:p w14:paraId="4EAD90A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35267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93" w:type="dxa"/>
            <w:noWrap w:val="0"/>
            <w:vAlign w:val="center"/>
          </w:tcPr>
          <w:p w14:paraId="635A709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职业资格</w:t>
            </w:r>
          </w:p>
        </w:tc>
        <w:tc>
          <w:tcPr>
            <w:tcW w:w="3347" w:type="dxa"/>
            <w:gridSpan w:val="5"/>
            <w:noWrap w:val="0"/>
            <w:vAlign w:val="center"/>
          </w:tcPr>
          <w:p w14:paraId="4C9AB23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585" w:type="dxa"/>
            <w:gridSpan w:val="2"/>
            <w:noWrap w:val="0"/>
            <w:vAlign w:val="center"/>
          </w:tcPr>
          <w:p w14:paraId="6ECB818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安全生产考核合格证书</w:t>
            </w:r>
          </w:p>
        </w:tc>
        <w:tc>
          <w:tcPr>
            <w:tcW w:w="2061" w:type="dxa"/>
            <w:gridSpan w:val="2"/>
            <w:noWrap w:val="0"/>
            <w:vAlign w:val="center"/>
          </w:tcPr>
          <w:p w14:paraId="46112FF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25F3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93" w:type="dxa"/>
            <w:noWrap w:val="0"/>
            <w:vAlign w:val="center"/>
          </w:tcPr>
          <w:p w14:paraId="0901A8D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58" w:name="_Toc221952132"/>
            <w:r>
              <w:rPr>
                <w:rFonts w:hint="eastAsia" w:ascii="宋体" w:hAnsi="宋体" w:eastAsia="宋体" w:cs="宋体"/>
                <w:color w:val="auto"/>
                <w:szCs w:val="22"/>
                <w:highlight w:val="none"/>
              </w:rPr>
              <w:t>职  称</w:t>
            </w:r>
            <w:bookmarkEnd w:id="2358"/>
          </w:p>
        </w:tc>
        <w:tc>
          <w:tcPr>
            <w:tcW w:w="1176" w:type="dxa"/>
            <w:gridSpan w:val="2"/>
            <w:noWrap w:val="0"/>
            <w:vAlign w:val="center"/>
          </w:tcPr>
          <w:p w14:paraId="39B83C6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10" w:type="dxa"/>
            <w:noWrap w:val="0"/>
            <w:vAlign w:val="center"/>
          </w:tcPr>
          <w:p w14:paraId="0A890F6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59" w:name="_Toc221952133"/>
            <w:r>
              <w:rPr>
                <w:rFonts w:hint="eastAsia" w:ascii="宋体" w:hAnsi="宋体" w:eastAsia="宋体" w:cs="宋体"/>
                <w:color w:val="auto"/>
                <w:szCs w:val="22"/>
                <w:highlight w:val="none"/>
              </w:rPr>
              <w:t>职 务</w:t>
            </w:r>
            <w:bookmarkEnd w:id="2359"/>
          </w:p>
        </w:tc>
        <w:tc>
          <w:tcPr>
            <w:tcW w:w="1161" w:type="dxa"/>
            <w:gridSpan w:val="2"/>
            <w:noWrap w:val="0"/>
            <w:vAlign w:val="center"/>
          </w:tcPr>
          <w:p w14:paraId="4E8F910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585" w:type="dxa"/>
            <w:gridSpan w:val="2"/>
            <w:noWrap w:val="0"/>
            <w:vAlign w:val="center"/>
          </w:tcPr>
          <w:p w14:paraId="2376B80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60" w:name="_Toc221952134"/>
            <w:r>
              <w:rPr>
                <w:rFonts w:hint="eastAsia" w:ascii="宋体" w:hAnsi="宋体" w:eastAsia="宋体" w:cs="宋体"/>
                <w:color w:val="auto"/>
                <w:szCs w:val="22"/>
                <w:highlight w:val="none"/>
              </w:rPr>
              <w:t>拟在本合同任职</w:t>
            </w:r>
            <w:bookmarkEnd w:id="2360"/>
          </w:p>
        </w:tc>
        <w:tc>
          <w:tcPr>
            <w:tcW w:w="2061" w:type="dxa"/>
            <w:gridSpan w:val="2"/>
            <w:noWrap w:val="0"/>
            <w:vAlign w:val="center"/>
          </w:tcPr>
          <w:p w14:paraId="0DC416F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CA805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93" w:type="dxa"/>
            <w:noWrap w:val="0"/>
            <w:vAlign w:val="center"/>
          </w:tcPr>
          <w:p w14:paraId="39531E4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61" w:name="_Toc221952135"/>
            <w:r>
              <w:rPr>
                <w:rFonts w:hint="eastAsia" w:ascii="宋体" w:hAnsi="宋体" w:eastAsia="宋体" w:cs="宋体"/>
                <w:color w:val="auto"/>
                <w:szCs w:val="22"/>
                <w:highlight w:val="none"/>
              </w:rPr>
              <w:t>毕业学校</w:t>
            </w:r>
            <w:bookmarkEnd w:id="2361"/>
          </w:p>
        </w:tc>
        <w:tc>
          <w:tcPr>
            <w:tcW w:w="7993" w:type="dxa"/>
            <w:gridSpan w:val="9"/>
            <w:noWrap w:val="0"/>
            <w:vAlign w:val="top"/>
          </w:tcPr>
          <w:p w14:paraId="0BC217B2">
            <w:pPr>
              <w:keepNext w:val="0"/>
              <w:keepLines w:val="0"/>
              <w:widowControl/>
              <w:suppressLineNumbers w:val="0"/>
              <w:spacing w:before="0" w:beforeAutospacing="0" w:after="0" w:afterAutospacing="0" w:line="380" w:lineRule="atLeast"/>
              <w:ind w:left="0" w:right="0"/>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      </w:t>
            </w:r>
            <w:bookmarkStart w:id="2362" w:name="_Toc221952136"/>
            <w:r>
              <w:rPr>
                <w:rFonts w:hint="eastAsia" w:ascii="宋体" w:hAnsi="宋体" w:eastAsia="宋体" w:cs="宋体"/>
                <w:color w:val="auto"/>
                <w:szCs w:val="22"/>
                <w:highlight w:val="none"/>
              </w:rPr>
              <w:t>年毕业于            学校        专业</w:t>
            </w:r>
            <w:bookmarkEnd w:id="2362"/>
          </w:p>
        </w:tc>
      </w:tr>
      <w:tr w14:paraId="57A790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9286" w:type="dxa"/>
            <w:gridSpan w:val="10"/>
            <w:noWrap w:val="0"/>
            <w:vAlign w:val="center"/>
          </w:tcPr>
          <w:p w14:paraId="0B2DD30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bookmarkStart w:id="2363" w:name="_Toc221952137"/>
            <w:r>
              <w:rPr>
                <w:rFonts w:hint="eastAsia" w:ascii="宋体" w:hAnsi="宋体" w:eastAsia="宋体" w:cs="宋体"/>
                <w:color w:val="auto"/>
                <w:szCs w:val="22"/>
                <w:highlight w:val="none"/>
              </w:rPr>
              <w:t>主要施工管理经历</w:t>
            </w:r>
            <w:bookmarkEnd w:id="2363"/>
          </w:p>
        </w:tc>
      </w:tr>
      <w:tr w14:paraId="2DB2D7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jc w:val="center"/>
        </w:trPr>
        <w:tc>
          <w:tcPr>
            <w:tcW w:w="1683" w:type="dxa"/>
            <w:gridSpan w:val="2"/>
            <w:noWrap w:val="0"/>
            <w:vAlign w:val="center"/>
          </w:tcPr>
          <w:p w14:paraId="589963CB">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val="en-US" w:eastAsia="zh-CN"/>
              </w:rPr>
              <w:t>合同签订</w:t>
            </w:r>
            <w:r>
              <w:rPr>
                <w:rFonts w:hint="eastAsia" w:ascii="宋体" w:hAnsi="宋体" w:eastAsia="宋体" w:cs="宋体"/>
                <w:color w:val="auto"/>
                <w:spacing w:val="1"/>
                <w:szCs w:val="22"/>
                <w:highlight w:val="none"/>
              </w:rPr>
              <w:t>时间</w:t>
            </w:r>
          </w:p>
        </w:tc>
        <w:tc>
          <w:tcPr>
            <w:tcW w:w="2643" w:type="dxa"/>
            <w:gridSpan w:val="3"/>
            <w:noWrap w:val="0"/>
            <w:vAlign w:val="center"/>
          </w:tcPr>
          <w:p w14:paraId="6A943953">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rPr>
              <w:t>参加过的类似项目</w:t>
            </w:r>
          </w:p>
        </w:tc>
        <w:tc>
          <w:tcPr>
            <w:tcW w:w="1552" w:type="dxa"/>
            <w:gridSpan w:val="2"/>
            <w:noWrap w:val="0"/>
            <w:vAlign w:val="center"/>
          </w:tcPr>
          <w:p w14:paraId="42972CF5">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bookmarkStart w:id="2364" w:name="_Toc221952140"/>
            <w:r>
              <w:rPr>
                <w:rFonts w:hint="eastAsia" w:ascii="宋体" w:hAnsi="宋体" w:eastAsia="宋体" w:cs="宋体"/>
                <w:color w:val="auto"/>
                <w:spacing w:val="1"/>
                <w:szCs w:val="22"/>
                <w:highlight w:val="none"/>
              </w:rPr>
              <w:t>担任职务</w:t>
            </w:r>
          </w:p>
          <w:bookmarkEnd w:id="2364"/>
        </w:tc>
        <w:tc>
          <w:tcPr>
            <w:tcW w:w="1531" w:type="dxa"/>
            <w:gridSpan w:val="2"/>
            <w:noWrap w:val="0"/>
            <w:vAlign w:val="center"/>
          </w:tcPr>
          <w:p w14:paraId="04B9B242">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rPr>
              <w:t>发包人</w:t>
            </w:r>
          </w:p>
        </w:tc>
        <w:tc>
          <w:tcPr>
            <w:tcW w:w="1877" w:type="dxa"/>
            <w:noWrap w:val="0"/>
            <w:vAlign w:val="center"/>
          </w:tcPr>
          <w:p w14:paraId="2F4C516C">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val="en-US" w:eastAsia="zh-CN"/>
              </w:rPr>
              <w:t>合同金额</w:t>
            </w:r>
          </w:p>
        </w:tc>
      </w:tr>
      <w:tr w14:paraId="626297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top"/>
          </w:tcPr>
          <w:p w14:paraId="1BF0E3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top"/>
          </w:tcPr>
          <w:p w14:paraId="72C235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top"/>
          </w:tcPr>
          <w:p w14:paraId="2D35A6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top"/>
          </w:tcPr>
          <w:p w14:paraId="535A39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top"/>
          </w:tcPr>
          <w:p w14:paraId="3A5A1F2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2BA7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top"/>
          </w:tcPr>
          <w:p w14:paraId="2A18C7E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top"/>
          </w:tcPr>
          <w:p w14:paraId="438DAB7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top"/>
          </w:tcPr>
          <w:p w14:paraId="1CDC784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top"/>
          </w:tcPr>
          <w:p w14:paraId="3B8F4F8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top"/>
          </w:tcPr>
          <w:p w14:paraId="749713A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DD07F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top"/>
          </w:tcPr>
          <w:p w14:paraId="634CBB9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top"/>
          </w:tcPr>
          <w:p w14:paraId="04B054A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top"/>
          </w:tcPr>
          <w:p w14:paraId="6B6342C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top"/>
          </w:tcPr>
          <w:p w14:paraId="5510499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top"/>
          </w:tcPr>
          <w:p w14:paraId="0D867D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2E04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26710E7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238D284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69E5998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1DD2FB4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1A8A689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AF0B9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3E0F66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03EA379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17864DD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0EEABEB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6A55579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C4E9D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3E95405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25DE597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25D65F4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73C2EB1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6412958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1485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7EEA145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23406F6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298540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1CA48DB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0D4C5C8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A6E06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1CC00C4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194D6FE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0384569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1FB02FE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7C66E79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C9302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46F8C36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031E8DC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3AF3D98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195A652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15EEDD5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B58C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0A0EC8F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5090B43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4234ACA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7381DE5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7FCD7C7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5DBE7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10E8BC0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5562F3D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081C38C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66615FE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5EAD025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7F69ED9A">
      <w:pPr>
        <w:keepNext w:val="0"/>
        <w:keepLines w:val="0"/>
        <w:pageBreakBefore w:val="0"/>
        <w:wordWrap/>
        <w:overflowPunct/>
        <w:topLinePunct w:val="0"/>
        <w:bidi w:val="0"/>
        <w:snapToGrid/>
        <w:spacing w:after="0" w:line="360" w:lineRule="auto"/>
        <w:textAlignment w:val="auto"/>
        <w:rPr>
          <w:rFonts w:hint="eastAsia" w:ascii="宋体" w:hAnsi="宋体" w:eastAsia="宋体" w:cs="宋体"/>
          <w:b w:val="0"/>
          <w:bCs/>
          <w:color w:val="auto"/>
          <w:spacing w:val="-6"/>
          <w:kern w:val="0"/>
          <w:sz w:val="21"/>
          <w:szCs w:val="21"/>
          <w:highlight w:val="none"/>
          <w:lang w:val="en-US" w:eastAsia="zh-CN" w:bidi="ar-SA"/>
        </w:rPr>
      </w:pPr>
      <w:r>
        <w:rPr>
          <w:rFonts w:hint="eastAsia" w:ascii="宋体" w:hAnsi="宋体" w:eastAsia="宋体" w:cs="宋体"/>
          <w:b w:val="0"/>
          <w:bCs/>
          <w:color w:val="auto"/>
          <w:spacing w:val="-6"/>
          <w:kern w:val="0"/>
          <w:sz w:val="21"/>
          <w:szCs w:val="21"/>
          <w:highlight w:val="none"/>
          <w:lang w:val="en-US" w:eastAsia="zh-CN" w:bidi="ar-SA"/>
        </w:rPr>
        <w:t>注：</w:t>
      </w:r>
    </w:p>
    <w:p w14:paraId="34900FCF">
      <w:pPr>
        <w:keepNext w:val="0"/>
        <w:keepLines w:val="0"/>
        <w:pageBreakBefore w:val="0"/>
        <w:wordWrap/>
        <w:overflowPunct/>
        <w:topLinePunct w:val="0"/>
        <w:bidi w:val="0"/>
        <w:snapToGrid/>
        <w:spacing w:after="0" w:line="360" w:lineRule="auto"/>
        <w:textAlignment w:val="auto"/>
        <w:rPr>
          <w:rFonts w:hint="eastAsia" w:ascii="宋体" w:hAnsi="宋体" w:eastAsia="宋体" w:cs="宋体"/>
          <w:b w:val="0"/>
          <w:bCs/>
          <w:color w:val="auto"/>
          <w:spacing w:val="-6"/>
          <w:kern w:val="0"/>
          <w:sz w:val="21"/>
          <w:szCs w:val="21"/>
          <w:highlight w:val="none"/>
          <w:lang w:val="en-US" w:eastAsia="zh-CN" w:bidi="ar-SA"/>
        </w:rPr>
      </w:pPr>
      <w:r>
        <w:rPr>
          <w:rFonts w:hint="eastAsia" w:ascii="宋体" w:hAnsi="宋体" w:eastAsia="宋体" w:cs="宋体"/>
          <w:b w:val="0"/>
          <w:bCs/>
          <w:color w:val="auto"/>
          <w:spacing w:val="-6"/>
          <w:kern w:val="0"/>
          <w:sz w:val="21"/>
          <w:szCs w:val="21"/>
          <w:highlight w:val="none"/>
          <w:lang w:val="en-US" w:eastAsia="zh-CN" w:bidi="ar-SA"/>
        </w:rPr>
        <w:t>1.主要人员指项目经理、技术负责人、质量负责人、专职安全员等。</w:t>
      </w:r>
    </w:p>
    <w:p w14:paraId="7DA0249C">
      <w:pPr>
        <w:keepNext w:val="0"/>
        <w:keepLines w:val="0"/>
        <w:pageBreakBefore w:val="0"/>
        <w:wordWrap/>
        <w:overflowPunct/>
        <w:topLinePunct w:val="0"/>
        <w:bidi w:val="0"/>
        <w:snapToGrid/>
        <w:spacing w:after="0" w:line="360" w:lineRule="auto"/>
        <w:textAlignment w:val="auto"/>
        <w:rPr>
          <w:rFonts w:hint="eastAsia" w:ascii="宋体" w:hAnsi="宋体" w:eastAsia="宋体" w:cs="宋体"/>
          <w:b/>
          <w:bCs w:val="0"/>
          <w:color w:val="auto"/>
          <w:spacing w:val="-6"/>
          <w:kern w:val="0"/>
          <w:sz w:val="21"/>
          <w:szCs w:val="21"/>
          <w:highlight w:val="none"/>
          <w:lang w:val="en-US" w:eastAsia="zh-CN" w:bidi="ar-SA"/>
        </w:rPr>
      </w:pPr>
      <w:r>
        <w:rPr>
          <w:rFonts w:hint="eastAsia" w:ascii="宋体" w:hAnsi="宋体" w:eastAsia="宋体" w:cs="宋体"/>
          <w:b w:val="0"/>
          <w:bCs/>
          <w:color w:val="auto"/>
          <w:spacing w:val="-6"/>
          <w:kern w:val="0"/>
          <w:sz w:val="21"/>
          <w:szCs w:val="21"/>
          <w:highlight w:val="none"/>
          <w:lang w:val="en-US" w:eastAsia="zh-CN" w:bidi="ar-SA"/>
        </w:rPr>
        <w:t>2.本表应后附人员身份证、聘用合同（或劳动合同）、依法缴纳社会保险证明（或具有其它有效证明其为本单位人员身份的文件）证明材料原件扫描件、毕业证、执业资格证或岗位证（如有）、职称证（如有）、业绩证明（如有）证明材料原件扫描件。</w:t>
      </w:r>
    </w:p>
    <w:p w14:paraId="5B7CB600">
      <w:pPr>
        <w:keepNext w:val="0"/>
        <w:keepLines w:val="0"/>
        <w:pageBreakBefore w:val="0"/>
        <w:wordWrap/>
        <w:overflowPunct/>
        <w:topLinePunct w:val="0"/>
        <w:bidi w:val="0"/>
        <w:snapToGrid/>
        <w:spacing w:after="0" w:line="360" w:lineRule="auto"/>
        <w:textAlignment w:val="auto"/>
        <w:rPr>
          <w:rFonts w:hint="eastAsia" w:ascii="宋体" w:hAnsi="宋体" w:eastAsia="宋体" w:cs="宋体"/>
          <w:b w:val="0"/>
          <w:bCs/>
          <w:color w:val="auto"/>
          <w:spacing w:val="-6"/>
          <w:kern w:val="0"/>
          <w:sz w:val="21"/>
          <w:szCs w:val="21"/>
          <w:highlight w:val="none"/>
          <w:lang w:val="en-US" w:eastAsia="zh-CN" w:bidi="ar-SA"/>
        </w:rPr>
      </w:pPr>
      <w:r>
        <w:rPr>
          <w:rFonts w:hint="eastAsia" w:ascii="宋体" w:hAnsi="宋体" w:eastAsia="宋体" w:cs="宋体"/>
          <w:b w:val="0"/>
          <w:bCs/>
          <w:color w:val="auto"/>
          <w:spacing w:val="-6"/>
          <w:kern w:val="0"/>
          <w:sz w:val="21"/>
          <w:szCs w:val="21"/>
          <w:highlight w:val="none"/>
          <w:lang w:val="en-US" w:eastAsia="zh-CN" w:bidi="ar-SA"/>
        </w:rPr>
        <w:t>3.每张表格只填写一人员简历情况，并标明序号。</w:t>
      </w:r>
    </w:p>
    <w:p w14:paraId="286E3814">
      <w:pPr>
        <w:widowControl/>
        <w:jc w:val="center"/>
        <w:outlineLvl w:val="9"/>
        <w:rPr>
          <w:rFonts w:hint="eastAsia" w:ascii="宋体" w:hAnsi="宋体" w:eastAsia="宋体" w:cs="宋体"/>
          <w:b/>
          <w:color w:val="auto"/>
          <w:sz w:val="24"/>
          <w:szCs w:val="24"/>
          <w:highlight w:val="none"/>
        </w:rPr>
      </w:pPr>
      <w:r>
        <w:rPr>
          <w:rFonts w:hint="eastAsia" w:ascii="宋体" w:hAnsi="宋体" w:eastAsia="宋体" w:cs="宋体"/>
          <w:color w:val="auto"/>
          <w:szCs w:val="22"/>
          <w:highlight w:val="none"/>
        </w:rPr>
        <w:br w:type="page"/>
      </w: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zh-CN"/>
        </w:rPr>
        <w:t>项目管理机构人</w:t>
      </w:r>
      <w:r>
        <w:rPr>
          <w:rFonts w:hint="eastAsia" w:ascii="宋体" w:hAnsi="宋体" w:eastAsia="宋体" w:cs="宋体"/>
          <w:b/>
          <w:color w:val="auto"/>
          <w:sz w:val="24"/>
          <w:szCs w:val="24"/>
          <w:highlight w:val="none"/>
        </w:rPr>
        <w:t>员签字备案表</w:t>
      </w:r>
    </w:p>
    <w:p w14:paraId="2C1C1502">
      <w:pPr>
        <w:pageBreakBefore w:val="0"/>
        <w:widowControl/>
        <w:kinsoku/>
        <w:wordWrap/>
        <w:overflowPunct/>
        <w:topLinePunct w:val="0"/>
        <w:autoSpaceDE/>
        <w:autoSpaceDN/>
        <w:bidi w:val="0"/>
        <w:jc w:val="left"/>
        <w:textAlignment w:val="auto"/>
        <w:outlineLvl w:val="9"/>
        <w:rPr>
          <w:rFonts w:hint="eastAsia" w:ascii="宋体" w:hAnsi="宋体" w:eastAsia="宋体" w:cs="宋体"/>
          <w:color w:val="auto"/>
          <w:szCs w:val="22"/>
          <w:highlight w:val="none"/>
        </w:rPr>
      </w:pPr>
    </w:p>
    <w:tbl>
      <w:tblPr>
        <w:tblStyle w:val="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4"/>
        <w:gridCol w:w="1882"/>
        <w:gridCol w:w="2112"/>
        <w:gridCol w:w="2460"/>
        <w:gridCol w:w="1851"/>
      </w:tblGrid>
      <w:tr w14:paraId="507F0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65CFB84D">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default" w:ascii="宋体" w:hAnsi="宋体" w:eastAsia="宋体" w:cs="宋体"/>
                <w:b/>
                <w:bCs/>
                <w:color w:val="auto"/>
                <w:kern w:val="2"/>
                <w:sz w:val="21"/>
                <w:szCs w:val="21"/>
                <w:highlight w:val="none"/>
                <w:lang w:val="en-US" w:eastAsia="zh-CN" w:bidi="ar-SA"/>
              </w:rPr>
            </w:pPr>
            <w:bookmarkStart w:id="2365" w:name="_Toc3825"/>
            <w:bookmarkStart w:id="2366" w:name="_Toc28409"/>
            <w:bookmarkStart w:id="2367" w:name="_Toc36069926"/>
            <w:bookmarkStart w:id="2368" w:name="_Toc3451637"/>
            <w:bookmarkStart w:id="2369" w:name="_Toc18098"/>
            <w:bookmarkStart w:id="2370" w:name="_Toc22279"/>
            <w:bookmarkStart w:id="2371" w:name="_Toc27849"/>
            <w:bookmarkStart w:id="2372" w:name="_Toc14088"/>
            <w:r>
              <w:rPr>
                <w:rFonts w:hint="eastAsia" w:ascii="宋体" w:hAnsi="宋体" w:eastAsia="宋体" w:cs="宋体"/>
                <w:b/>
                <w:bCs/>
                <w:color w:val="auto"/>
                <w:kern w:val="2"/>
                <w:sz w:val="21"/>
                <w:szCs w:val="21"/>
                <w:highlight w:val="none"/>
                <w:lang w:val="en-US" w:eastAsia="zh-CN" w:bidi="ar-SA"/>
              </w:rPr>
              <w:t>序号</w:t>
            </w:r>
            <w:bookmarkEnd w:id="2365"/>
            <w:bookmarkEnd w:id="2366"/>
            <w:bookmarkEnd w:id="2367"/>
            <w:bookmarkEnd w:id="2368"/>
            <w:bookmarkEnd w:id="2369"/>
            <w:bookmarkEnd w:id="2370"/>
            <w:bookmarkEnd w:id="2371"/>
            <w:bookmarkEnd w:id="2372"/>
          </w:p>
        </w:tc>
        <w:tc>
          <w:tcPr>
            <w:tcW w:w="1882" w:type="dxa"/>
            <w:noWrap w:val="0"/>
            <w:vAlign w:val="center"/>
          </w:tcPr>
          <w:p w14:paraId="27519E36">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default" w:ascii="宋体" w:hAnsi="宋体" w:eastAsia="宋体" w:cs="宋体"/>
                <w:b/>
                <w:bCs/>
                <w:color w:val="auto"/>
                <w:kern w:val="2"/>
                <w:sz w:val="21"/>
                <w:szCs w:val="21"/>
                <w:highlight w:val="none"/>
                <w:lang w:val="en-US" w:eastAsia="zh-CN" w:bidi="ar-SA"/>
              </w:rPr>
            </w:pPr>
            <w:bookmarkStart w:id="2373" w:name="_Toc3451638"/>
            <w:bookmarkStart w:id="2374" w:name="_Toc15862"/>
            <w:bookmarkStart w:id="2375" w:name="_Toc31355"/>
            <w:bookmarkStart w:id="2376" w:name="_Toc32434"/>
            <w:bookmarkStart w:id="2377" w:name="_Toc15167"/>
            <w:bookmarkStart w:id="2378" w:name="_Toc36069927"/>
            <w:bookmarkStart w:id="2379" w:name="_Toc32004"/>
            <w:bookmarkStart w:id="2380" w:name="_Toc22896"/>
            <w:r>
              <w:rPr>
                <w:rFonts w:hint="eastAsia" w:ascii="宋体" w:hAnsi="宋体" w:eastAsia="宋体" w:cs="宋体"/>
                <w:b/>
                <w:bCs/>
                <w:color w:val="auto"/>
                <w:kern w:val="2"/>
                <w:sz w:val="21"/>
                <w:szCs w:val="21"/>
                <w:highlight w:val="none"/>
                <w:lang w:val="en-US" w:eastAsia="zh-CN" w:bidi="ar-SA"/>
              </w:rPr>
              <w:t>姓名</w:t>
            </w:r>
            <w:bookmarkEnd w:id="2373"/>
            <w:bookmarkEnd w:id="2374"/>
            <w:bookmarkEnd w:id="2375"/>
            <w:bookmarkEnd w:id="2376"/>
            <w:bookmarkEnd w:id="2377"/>
            <w:bookmarkEnd w:id="2378"/>
            <w:bookmarkEnd w:id="2379"/>
            <w:bookmarkEnd w:id="2380"/>
          </w:p>
        </w:tc>
        <w:tc>
          <w:tcPr>
            <w:tcW w:w="2112" w:type="dxa"/>
            <w:noWrap w:val="0"/>
            <w:vAlign w:val="center"/>
          </w:tcPr>
          <w:p w14:paraId="4997A339">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default" w:ascii="宋体" w:hAnsi="宋体" w:eastAsia="宋体" w:cs="宋体"/>
                <w:b/>
                <w:bCs/>
                <w:color w:val="auto"/>
                <w:kern w:val="2"/>
                <w:sz w:val="21"/>
                <w:szCs w:val="21"/>
                <w:highlight w:val="none"/>
                <w:lang w:val="en-US" w:eastAsia="zh-CN" w:bidi="ar-SA"/>
              </w:rPr>
            </w:pPr>
            <w:bookmarkStart w:id="2381" w:name="_Toc24156"/>
            <w:bookmarkStart w:id="2382" w:name="_Toc11240"/>
            <w:bookmarkStart w:id="2383" w:name="_Toc3451639"/>
            <w:bookmarkStart w:id="2384" w:name="_Toc19305"/>
            <w:bookmarkStart w:id="2385" w:name="_Toc25996"/>
            <w:bookmarkStart w:id="2386" w:name="_Toc305"/>
            <w:bookmarkStart w:id="2387" w:name="_Toc23211"/>
            <w:bookmarkStart w:id="2388" w:name="_Toc36069928"/>
            <w:r>
              <w:rPr>
                <w:rFonts w:hint="eastAsia" w:ascii="宋体" w:hAnsi="宋体" w:eastAsia="宋体" w:cs="宋体"/>
                <w:b/>
                <w:bCs/>
                <w:color w:val="auto"/>
                <w:kern w:val="2"/>
                <w:sz w:val="21"/>
                <w:szCs w:val="21"/>
                <w:highlight w:val="none"/>
                <w:lang w:val="en-US" w:eastAsia="zh-CN" w:bidi="ar-SA"/>
              </w:rPr>
              <w:t>拟任职务</w:t>
            </w:r>
            <w:bookmarkEnd w:id="2381"/>
            <w:bookmarkEnd w:id="2382"/>
            <w:bookmarkEnd w:id="2383"/>
            <w:bookmarkEnd w:id="2384"/>
            <w:bookmarkEnd w:id="2385"/>
            <w:bookmarkEnd w:id="2386"/>
            <w:bookmarkEnd w:id="2387"/>
            <w:bookmarkEnd w:id="2388"/>
          </w:p>
        </w:tc>
        <w:tc>
          <w:tcPr>
            <w:tcW w:w="2460" w:type="dxa"/>
            <w:noWrap w:val="0"/>
            <w:vAlign w:val="center"/>
          </w:tcPr>
          <w:p w14:paraId="093CE3BA">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default" w:ascii="宋体" w:hAnsi="宋体" w:eastAsia="宋体" w:cs="宋体"/>
                <w:b/>
                <w:bCs/>
                <w:color w:val="auto"/>
                <w:kern w:val="2"/>
                <w:sz w:val="21"/>
                <w:szCs w:val="21"/>
                <w:highlight w:val="none"/>
                <w:lang w:val="en-US" w:eastAsia="zh-CN" w:bidi="ar-SA"/>
              </w:rPr>
            </w:pPr>
            <w:bookmarkStart w:id="2389" w:name="_Toc14362"/>
            <w:bookmarkStart w:id="2390" w:name="_Toc3480"/>
            <w:bookmarkStart w:id="2391" w:name="_Toc7003"/>
            <w:bookmarkStart w:id="2392" w:name="_Toc3321"/>
            <w:bookmarkStart w:id="2393" w:name="_Toc11683"/>
            <w:bookmarkStart w:id="2394" w:name="_Toc3451640"/>
            <w:bookmarkStart w:id="2395" w:name="_Toc2704"/>
            <w:bookmarkStart w:id="2396" w:name="_Toc36069929"/>
            <w:r>
              <w:rPr>
                <w:rFonts w:hint="eastAsia" w:ascii="宋体" w:hAnsi="宋体" w:eastAsia="宋体" w:cs="宋体"/>
                <w:b/>
                <w:bCs/>
                <w:color w:val="auto"/>
                <w:kern w:val="2"/>
                <w:sz w:val="21"/>
                <w:szCs w:val="21"/>
                <w:highlight w:val="none"/>
                <w:lang w:val="en-US" w:eastAsia="zh-CN" w:bidi="ar-SA"/>
              </w:rPr>
              <w:t>身份证号</w:t>
            </w:r>
            <w:bookmarkEnd w:id="2389"/>
            <w:bookmarkEnd w:id="2390"/>
            <w:bookmarkEnd w:id="2391"/>
            <w:bookmarkEnd w:id="2392"/>
            <w:bookmarkEnd w:id="2393"/>
            <w:bookmarkEnd w:id="2394"/>
            <w:bookmarkEnd w:id="2395"/>
            <w:bookmarkEnd w:id="2396"/>
          </w:p>
        </w:tc>
        <w:tc>
          <w:tcPr>
            <w:tcW w:w="1851" w:type="dxa"/>
            <w:noWrap w:val="0"/>
            <w:vAlign w:val="center"/>
          </w:tcPr>
          <w:p w14:paraId="63B1ECC8">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default" w:ascii="宋体" w:hAnsi="宋体" w:eastAsia="宋体" w:cs="宋体"/>
                <w:b/>
                <w:bCs/>
                <w:color w:val="auto"/>
                <w:kern w:val="2"/>
                <w:sz w:val="21"/>
                <w:szCs w:val="21"/>
                <w:highlight w:val="none"/>
                <w:lang w:val="en-US" w:eastAsia="zh-CN" w:bidi="ar-SA"/>
              </w:rPr>
            </w:pPr>
            <w:bookmarkStart w:id="2397" w:name="_Toc3451641"/>
            <w:bookmarkStart w:id="2398" w:name="_Toc10350"/>
            <w:bookmarkStart w:id="2399" w:name="_Toc14409"/>
            <w:bookmarkStart w:id="2400" w:name="_Toc36069930"/>
            <w:bookmarkStart w:id="2401" w:name="_Toc7460"/>
            <w:bookmarkStart w:id="2402" w:name="_Toc30415"/>
            <w:bookmarkStart w:id="2403" w:name="_Toc14299"/>
            <w:bookmarkStart w:id="2404" w:name="_Toc3216"/>
            <w:r>
              <w:rPr>
                <w:rFonts w:hint="eastAsia" w:ascii="宋体" w:hAnsi="宋体" w:eastAsia="宋体" w:cs="宋体"/>
                <w:b/>
                <w:bCs/>
                <w:color w:val="auto"/>
                <w:kern w:val="2"/>
                <w:sz w:val="21"/>
                <w:szCs w:val="21"/>
                <w:highlight w:val="none"/>
                <w:lang w:val="en-US" w:eastAsia="zh-CN" w:bidi="ar-SA"/>
              </w:rPr>
              <w:t>本人亲笔签名</w:t>
            </w:r>
            <w:bookmarkEnd w:id="2397"/>
            <w:bookmarkEnd w:id="2398"/>
            <w:bookmarkEnd w:id="2399"/>
            <w:bookmarkEnd w:id="2400"/>
            <w:bookmarkEnd w:id="2401"/>
            <w:bookmarkEnd w:id="2402"/>
            <w:bookmarkEnd w:id="2403"/>
            <w:bookmarkEnd w:id="2404"/>
          </w:p>
        </w:tc>
      </w:tr>
      <w:tr w14:paraId="555A7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589C506F">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28881E49">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19778217">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4C88F45B">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7B168C74">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r>
      <w:tr w14:paraId="6351F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0FA05731">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70CF8220">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75EDEE6E">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65536E63">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22BD9DF5">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r>
      <w:tr w14:paraId="553AD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944" w:type="dxa"/>
            <w:noWrap w:val="0"/>
            <w:vAlign w:val="center"/>
          </w:tcPr>
          <w:p w14:paraId="418C54B7">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10D1F8F2">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7F15A947">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3F6A867A">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65F44BF3">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13317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6A882189">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3D40AA3E">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7E006261">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21A68BD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15735920">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17F17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5E5148D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3A8C5C7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678750B4">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4D39894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5C7B834E">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4EA1A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3BFFFD0A">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22722B9D">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1B83BFF6">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660F03AE">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121200C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7217C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761D9B7C">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22672FE2">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3F55283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54969B2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688F106F">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2111C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0D81E21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6F566E87">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791FF70E">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30109806">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47B2897A">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0AF48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5DEC8560">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45C43178">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56D2C540">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2C7E4036">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7E9A881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5FB7B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7E1C2954">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6CC21378">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5B161393">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248FBD6E">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183F7FD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39543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23B94C2D">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073C3060">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09118C8D">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316A935D">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2D2FE40C">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7C6A1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2E150EED">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22CBF8E4">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6DE4ACC1">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6CC4B467">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36BCB9DE">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409B0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944" w:type="dxa"/>
            <w:noWrap w:val="0"/>
            <w:vAlign w:val="center"/>
          </w:tcPr>
          <w:p w14:paraId="3983E6F7">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4F92C406">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21815CE1">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3DA48A3C">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294126A2">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bl>
    <w:p w14:paraId="2B339741">
      <w:pPr>
        <w:widowControl w:val="0"/>
        <w:autoSpaceDE w:val="0"/>
        <w:autoSpaceDN w:val="0"/>
        <w:adjustRightInd w:val="0"/>
        <w:spacing w:before="240" w:line="276" w:lineRule="auto"/>
        <w:ind w:left="420" w:leftChars="150" w:hanging="105" w:hangingChars="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注：本表投标文件中应附本人签字原件的扫描件。</w:t>
      </w:r>
    </w:p>
    <w:p w14:paraId="761EB312">
      <w:pPr>
        <w:widowControl/>
        <w:spacing w:line="360" w:lineRule="auto"/>
        <w:jc w:val="center"/>
        <w:rPr>
          <w:rFonts w:hint="eastAsia" w:ascii="宋体" w:hAnsi="宋体" w:eastAsia="宋体" w:cs="宋体"/>
          <w:b/>
          <w:color w:val="auto"/>
          <w:sz w:val="24"/>
          <w:szCs w:val="24"/>
          <w:highlight w:val="none"/>
        </w:rPr>
      </w:pPr>
    </w:p>
    <w:p w14:paraId="0839D836">
      <w:pPr>
        <w:widowControl/>
        <w:spacing w:line="360" w:lineRule="auto"/>
        <w:jc w:val="center"/>
        <w:rPr>
          <w:rFonts w:hint="eastAsia" w:ascii="宋体" w:hAnsi="宋体" w:eastAsia="宋体" w:cs="宋体"/>
          <w:b/>
          <w:color w:val="auto"/>
          <w:sz w:val="24"/>
          <w:szCs w:val="24"/>
          <w:highlight w:val="none"/>
        </w:rPr>
      </w:pPr>
    </w:p>
    <w:p w14:paraId="5A7803AE">
      <w:pPr>
        <w:widowControl/>
        <w:spacing w:line="360" w:lineRule="auto"/>
        <w:jc w:val="center"/>
        <w:rPr>
          <w:rFonts w:hint="eastAsia" w:ascii="宋体" w:hAnsi="宋体" w:eastAsia="宋体" w:cs="宋体"/>
          <w:b/>
          <w:color w:val="auto"/>
          <w:sz w:val="24"/>
          <w:szCs w:val="24"/>
          <w:highlight w:val="none"/>
        </w:rPr>
      </w:pPr>
    </w:p>
    <w:p w14:paraId="70EAEF96">
      <w:pPr>
        <w:widowControl/>
        <w:spacing w:line="360" w:lineRule="auto"/>
        <w:jc w:val="center"/>
        <w:rPr>
          <w:rFonts w:hint="eastAsia" w:ascii="宋体" w:hAnsi="宋体" w:eastAsia="宋体" w:cs="宋体"/>
          <w:b/>
          <w:color w:val="auto"/>
          <w:sz w:val="24"/>
          <w:szCs w:val="24"/>
          <w:highlight w:val="none"/>
        </w:rPr>
      </w:pPr>
    </w:p>
    <w:p w14:paraId="22E30981">
      <w:pPr>
        <w:widowControl/>
        <w:spacing w:line="360" w:lineRule="auto"/>
        <w:jc w:val="center"/>
        <w:rPr>
          <w:rFonts w:hint="eastAsia" w:ascii="宋体" w:hAnsi="宋体" w:eastAsia="宋体" w:cs="宋体"/>
          <w:b/>
          <w:color w:val="auto"/>
          <w:sz w:val="24"/>
          <w:szCs w:val="24"/>
          <w:highlight w:val="none"/>
        </w:rPr>
      </w:pPr>
    </w:p>
    <w:p w14:paraId="6DF826EF">
      <w:pPr>
        <w:widowControl/>
        <w:spacing w:line="360" w:lineRule="auto"/>
        <w:jc w:val="center"/>
        <w:rPr>
          <w:rFonts w:hint="eastAsia" w:ascii="宋体" w:hAnsi="宋体" w:eastAsia="宋体" w:cs="宋体"/>
          <w:b/>
          <w:color w:val="auto"/>
          <w:sz w:val="24"/>
          <w:szCs w:val="24"/>
          <w:highlight w:val="none"/>
        </w:rPr>
      </w:pPr>
    </w:p>
    <w:p w14:paraId="3FB44629">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43010CDA">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1C74B85B">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0F90C57A">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4BF1A16F">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0537F96F">
      <w:pPr>
        <w:widowControl/>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项目经理无在建承诺书</w:t>
      </w:r>
      <w:bookmarkEnd w:id="2329"/>
      <w:bookmarkEnd w:id="2330"/>
      <w:bookmarkEnd w:id="2331"/>
      <w:bookmarkEnd w:id="2332"/>
      <w:bookmarkEnd w:id="2333"/>
      <w:bookmarkEnd w:id="2334"/>
      <w:bookmarkEnd w:id="2335"/>
      <w:bookmarkEnd w:id="2336"/>
      <w:bookmarkStart w:id="2405" w:name="_Toc22445"/>
      <w:bookmarkStart w:id="2406" w:name="_Toc6491"/>
      <w:bookmarkStart w:id="2407" w:name="_Toc32014"/>
      <w:bookmarkStart w:id="2408" w:name="_Toc6302"/>
    </w:p>
    <w:bookmarkEnd w:id="2405"/>
    <w:bookmarkEnd w:id="2406"/>
    <w:bookmarkEnd w:id="2407"/>
    <w:bookmarkEnd w:id="2408"/>
    <w:p w14:paraId="1846B3BB">
      <w:pPr>
        <w:widowControl/>
        <w:spacing w:line="360" w:lineRule="auto"/>
        <w:ind w:left="480" w:hanging="480" w:hangingChars="200"/>
        <w:jc w:val="left"/>
        <w:rPr>
          <w:rFonts w:hint="eastAsia" w:ascii="宋体" w:hAnsi="宋体" w:eastAsia="宋体" w:cs="宋体"/>
          <w:color w:val="auto"/>
          <w:sz w:val="24"/>
          <w:szCs w:val="24"/>
          <w:highlight w:val="none"/>
        </w:rPr>
      </w:pPr>
    </w:p>
    <w:p w14:paraId="04A26B1D">
      <w:pPr>
        <w:widowControl/>
        <w:spacing w:line="360" w:lineRule="auto"/>
        <w:ind w:left="480" w:hanging="420" w:hanging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p w14:paraId="2CD1D79F">
      <w:pPr>
        <w:widowControl/>
        <w:spacing w:line="360" w:lineRule="auto"/>
        <w:ind w:firstLine="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我方在此声明，我方拟派往</w:t>
      </w:r>
      <w:r>
        <w:rPr>
          <w:rFonts w:hint="eastAsia" w:ascii="宋体" w:hAnsi="宋体" w:eastAsia="宋体" w:cs="宋体"/>
          <w:color w:val="auto"/>
          <w:sz w:val="21"/>
          <w:szCs w:val="21"/>
          <w:highlight w:val="none"/>
          <w:u w:val="none"/>
          <w:lang w:eastAsia="zh-CN"/>
        </w:rPr>
        <w:t>驻</w:t>
      </w:r>
      <w:r>
        <w:rPr>
          <w:rFonts w:hint="eastAsia" w:ascii="宋体" w:hAnsi="宋体" w:eastAsia="宋体" w:cs="宋体"/>
          <w:color w:val="auto"/>
          <w:sz w:val="21"/>
          <w:szCs w:val="21"/>
          <w:highlight w:val="none"/>
          <w:u w:val="single"/>
          <w:lang w:val="en-US" w:eastAsia="zh-CN"/>
        </w:rPr>
        <w:t xml:space="preserve">         （项目名称）        （标段名称）</w:t>
      </w:r>
      <w:r>
        <w:rPr>
          <w:rFonts w:hint="eastAsia" w:ascii="宋体" w:hAnsi="宋体" w:eastAsia="宋体" w:cs="宋体"/>
          <w:color w:val="auto"/>
          <w:sz w:val="21"/>
          <w:szCs w:val="21"/>
          <w:highlight w:val="none"/>
        </w:rPr>
        <w:t>的项目经理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（项目经理姓名）现阶段没有任何在建工程项目。</w:t>
      </w:r>
    </w:p>
    <w:p w14:paraId="11D8D232">
      <w:pPr>
        <w:widowControl/>
        <w:spacing w:line="360" w:lineRule="auto"/>
        <w:ind w:firstLine="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我方保证上述信息的真实性，并愿意承担因我方就此弄虚作假所引起的一切法律后果。</w:t>
      </w:r>
    </w:p>
    <w:p w14:paraId="6C188A00">
      <w:pPr>
        <w:widowControl/>
        <w:spacing w:line="360" w:lineRule="auto"/>
        <w:ind w:firstLine="435"/>
        <w:jc w:val="left"/>
        <w:rPr>
          <w:rFonts w:hint="eastAsia" w:ascii="宋体" w:hAnsi="宋体" w:eastAsia="宋体" w:cs="宋体"/>
          <w:color w:val="auto"/>
          <w:sz w:val="21"/>
          <w:szCs w:val="21"/>
          <w:highlight w:val="none"/>
        </w:rPr>
      </w:pPr>
    </w:p>
    <w:p w14:paraId="7D7A6EE3">
      <w:pPr>
        <w:widowControl/>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特此承诺</w:t>
      </w:r>
      <w:r>
        <w:rPr>
          <w:rFonts w:hint="eastAsia" w:ascii="宋体" w:hAnsi="宋体" w:eastAsia="宋体" w:cs="宋体"/>
          <w:color w:val="auto"/>
          <w:sz w:val="21"/>
          <w:szCs w:val="21"/>
          <w:highlight w:val="none"/>
          <w:lang w:eastAsia="zh-CN"/>
        </w:rPr>
        <w:t>。</w:t>
      </w:r>
    </w:p>
    <w:p w14:paraId="12C47A58">
      <w:pPr>
        <w:widowControl/>
        <w:spacing w:line="360" w:lineRule="auto"/>
        <w:ind w:right="480"/>
        <w:jc w:val="right"/>
        <w:rPr>
          <w:rFonts w:hint="eastAsia" w:ascii="宋体" w:hAnsi="宋体" w:eastAsia="宋体" w:cs="宋体"/>
          <w:color w:val="auto"/>
          <w:sz w:val="21"/>
          <w:szCs w:val="21"/>
          <w:highlight w:val="none"/>
        </w:rPr>
      </w:pPr>
    </w:p>
    <w:p w14:paraId="4E4EB5B3">
      <w:pPr>
        <w:widowControl/>
        <w:spacing w:line="360" w:lineRule="auto"/>
        <w:ind w:right="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en-US" w:eastAsia="zh-CN"/>
        </w:rPr>
        <w:t>盖单位章</w:t>
      </w:r>
      <w:r>
        <w:rPr>
          <w:rFonts w:hint="eastAsia" w:ascii="宋体" w:hAnsi="宋体" w:eastAsia="宋体" w:cs="宋体"/>
          <w:color w:val="auto"/>
          <w:sz w:val="21"/>
          <w:szCs w:val="21"/>
          <w:highlight w:val="none"/>
        </w:rPr>
        <w:t>）</w:t>
      </w:r>
    </w:p>
    <w:p w14:paraId="3AA3754D">
      <w:pPr>
        <w:widowControl/>
        <w:spacing w:line="360" w:lineRule="auto"/>
        <w:ind w:left="420" w:leftChars="200" w:firstLine="5880" w:firstLineChars="2800"/>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年  月  日</w:t>
      </w:r>
    </w:p>
    <w:p w14:paraId="3486991C">
      <w:pPr>
        <w:widowControl w:val="0"/>
        <w:autoSpaceDE w:val="0"/>
        <w:autoSpaceDN w:val="0"/>
        <w:adjustRightInd w:val="0"/>
        <w:rPr>
          <w:rFonts w:hint="eastAsia" w:ascii="宋体" w:hAnsi="宋体" w:eastAsia="宋体" w:cs="宋体"/>
          <w:color w:val="auto"/>
          <w:kern w:val="2"/>
          <w:sz w:val="24"/>
          <w:szCs w:val="21"/>
          <w:highlight w:val="none"/>
          <w:lang w:val="en-US" w:eastAsia="zh-CN" w:bidi="ar-SA"/>
        </w:rPr>
      </w:pPr>
    </w:p>
    <w:p w14:paraId="7047F850">
      <w:pPr>
        <w:widowControl w:val="0"/>
        <w:autoSpaceDE w:val="0"/>
        <w:autoSpaceDN w:val="0"/>
        <w:adjustRightInd w:val="0"/>
        <w:rPr>
          <w:rFonts w:hint="eastAsia" w:ascii="宋体" w:hAnsi="宋体" w:eastAsia="宋体" w:cs="宋体"/>
          <w:color w:val="auto"/>
          <w:kern w:val="2"/>
          <w:sz w:val="24"/>
          <w:szCs w:val="21"/>
          <w:highlight w:val="none"/>
          <w:lang w:val="en-US" w:eastAsia="zh-CN" w:bidi="ar-SA"/>
        </w:rPr>
      </w:pPr>
    </w:p>
    <w:p w14:paraId="67913F90">
      <w:pPr>
        <w:widowControl/>
        <w:jc w:val="center"/>
        <w:outlineLvl w:val="2"/>
        <w:rPr>
          <w:rFonts w:hint="eastAsia" w:ascii="宋体" w:hAnsi="宋体" w:eastAsia="宋体" w:cs="宋体"/>
          <w:b/>
          <w:color w:val="auto"/>
          <w:sz w:val="24"/>
          <w:szCs w:val="24"/>
          <w:highlight w:val="none"/>
          <w:lang w:val="en-US" w:eastAsia="zh-CN"/>
        </w:rPr>
      </w:pPr>
      <w:bookmarkStart w:id="2409" w:name="_Toc3937"/>
      <w:bookmarkStart w:id="2410" w:name="_Toc1211"/>
      <w:bookmarkStart w:id="2411" w:name="_Toc30404"/>
      <w:bookmarkStart w:id="2412" w:name="_Toc36069915"/>
      <w:bookmarkStart w:id="2413" w:name="_Toc7052"/>
      <w:bookmarkStart w:id="2414" w:name="_Toc27475"/>
      <w:bookmarkStart w:id="2415" w:name="_Toc18400"/>
      <w:r>
        <w:rPr>
          <w:rFonts w:hint="eastAsia" w:ascii="宋体" w:hAnsi="宋体" w:eastAsia="宋体" w:cs="宋体"/>
          <w:b/>
          <w:color w:val="auto"/>
          <w:sz w:val="24"/>
          <w:szCs w:val="24"/>
          <w:highlight w:val="none"/>
        </w:rPr>
        <w:br w:type="page"/>
      </w:r>
      <w:bookmarkEnd w:id="2409"/>
      <w:bookmarkEnd w:id="2410"/>
      <w:bookmarkEnd w:id="2411"/>
      <w:bookmarkEnd w:id="2412"/>
      <w:bookmarkEnd w:id="2413"/>
      <w:bookmarkEnd w:id="2414"/>
      <w:bookmarkEnd w:id="2415"/>
      <w:bookmarkStart w:id="2416" w:name="_Toc20983"/>
      <w:bookmarkStart w:id="2417" w:name="_Toc16787"/>
      <w:r>
        <w:rPr>
          <w:rFonts w:hint="eastAsia" w:ascii="宋体" w:hAnsi="宋体" w:eastAsia="宋体" w:cs="宋体"/>
          <w:b/>
          <w:color w:val="auto"/>
          <w:sz w:val="24"/>
          <w:szCs w:val="24"/>
          <w:highlight w:val="none"/>
          <w:lang w:val="en-US" w:eastAsia="zh-CN"/>
        </w:rPr>
        <w:t>（七）投标资料真实性承诺书</w:t>
      </w:r>
      <w:bookmarkEnd w:id="2416"/>
      <w:bookmarkEnd w:id="2417"/>
    </w:p>
    <w:p w14:paraId="493953A6">
      <w:pPr>
        <w:widowControl/>
        <w:spacing w:line="520" w:lineRule="exact"/>
        <w:ind w:firstLine="0"/>
        <w:jc w:val="left"/>
        <w:rPr>
          <w:rFonts w:hint="eastAsia" w:ascii="宋体" w:hAnsi="宋体" w:eastAsia="宋体" w:cs="宋体"/>
          <w:color w:val="auto"/>
          <w:sz w:val="24"/>
          <w:szCs w:val="24"/>
          <w:highlight w:val="none"/>
        </w:rPr>
      </w:pPr>
    </w:p>
    <w:p w14:paraId="4D6EC0C3">
      <w:pPr>
        <w:widowControl/>
        <w:spacing w:line="520" w:lineRule="exact"/>
        <w:ind w:firstLine="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p w14:paraId="72661A3B">
      <w:pPr>
        <w:widowControl/>
        <w:spacing w:line="520" w:lineRule="exact"/>
        <w:ind w:firstLine="43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我方在此郑重承诺：</w:t>
      </w:r>
    </w:p>
    <w:p w14:paraId="6089F622">
      <w:pPr>
        <w:widowControl/>
        <w:spacing w:before="120" w:beforeLines="50" w:after="120" w:afterLines="50" w:line="480" w:lineRule="auto"/>
        <w:ind w:firstLine="43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（项目名称）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 （标段名称）</w:t>
      </w:r>
      <w:r>
        <w:rPr>
          <w:rFonts w:hint="eastAsia" w:ascii="宋体" w:hAnsi="宋体" w:eastAsia="宋体" w:cs="宋体"/>
          <w:color w:val="auto"/>
          <w:sz w:val="21"/>
          <w:szCs w:val="21"/>
          <w:highlight w:val="none"/>
        </w:rPr>
        <w:t>投标活动中，我公司提交投标文件所有的投标资料都是真实的，如有虚假，本单位愿意接受招标人做出的取消投标资格、中标资格及没收投标保证金等</w:t>
      </w:r>
      <w:r>
        <w:rPr>
          <w:rFonts w:hint="eastAsia" w:ascii="宋体" w:hAnsi="宋体" w:eastAsia="宋体" w:cs="宋体"/>
          <w:color w:val="auto"/>
          <w:sz w:val="21"/>
          <w:szCs w:val="21"/>
          <w:highlight w:val="none"/>
          <w:lang w:val="en-US" w:eastAsia="zh-CN"/>
        </w:rPr>
        <w:t>处理</w:t>
      </w:r>
      <w:r>
        <w:rPr>
          <w:rFonts w:hint="eastAsia" w:ascii="宋体" w:hAnsi="宋体" w:eastAsia="宋体" w:cs="宋体"/>
          <w:color w:val="auto"/>
          <w:sz w:val="21"/>
          <w:szCs w:val="21"/>
          <w:highlight w:val="none"/>
        </w:rPr>
        <w:t>决定，同时愿意接受有关部门依法</w:t>
      </w:r>
      <w:r>
        <w:rPr>
          <w:rFonts w:hint="eastAsia" w:ascii="宋体" w:hAnsi="宋体" w:eastAsia="宋体" w:cs="宋体"/>
          <w:color w:val="auto"/>
          <w:sz w:val="21"/>
          <w:szCs w:val="21"/>
          <w:highlight w:val="none"/>
          <w:lang w:val="en-US" w:eastAsia="zh-CN"/>
        </w:rPr>
        <w:t>依规</w:t>
      </w:r>
      <w:r>
        <w:rPr>
          <w:rFonts w:hint="eastAsia" w:ascii="宋体" w:hAnsi="宋体" w:eastAsia="宋体" w:cs="宋体"/>
          <w:color w:val="auto"/>
          <w:sz w:val="21"/>
          <w:szCs w:val="21"/>
          <w:highlight w:val="none"/>
        </w:rPr>
        <w:t>做出的处罚。</w:t>
      </w:r>
    </w:p>
    <w:p w14:paraId="5D60B587">
      <w:pPr>
        <w:widowControl/>
        <w:spacing w:line="520" w:lineRule="exact"/>
        <w:ind w:firstLine="435"/>
        <w:jc w:val="left"/>
        <w:rPr>
          <w:rFonts w:hint="eastAsia" w:ascii="宋体" w:hAnsi="宋体" w:eastAsia="宋体" w:cs="宋体"/>
          <w:color w:val="auto"/>
          <w:sz w:val="21"/>
          <w:szCs w:val="21"/>
          <w:highlight w:val="none"/>
        </w:rPr>
      </w:pPr>
    </w:p>
    <w:p w14:paraId="6E95FA17">
      <w:pPr>
        <w:widowControl/>
        <w:spacing w:line="520" w:lineRule="exact"/>
        <w:ind w:firstLine="435"/>
        <w:jc w:val="left"/>
        <w:rPr>
          <w:rFonts w:hint="eastAsia" w:ascii="宋体" w:hAnsi="宋体" w:eastAsia="宋体" w:cs="宋体"/>
          <w:color w:val="auto"/>
          <w:sz w:val="21"/>
          <w:szCs w:val="21"/>
          <w:highlight w:val="none"/>
        </w:rPr>
      </w:pPr>
    </w:p>
    <w:p w14:paraId="16ADE2EA">
      <w:pPr>
        <w:widowControl/>
        <w:spacing w:line="520" w:lineRule="exact"/>
        <w:ind w:firstLine="435"/>
        <w:jc w:val="left"/>
        <w:rPr>
          <w:rFonts w:hint="eastAsia" w:ascii="宋体" w:hAnsi="宋体" w:eastAsia="宋体" w:cs="宋体"/>
          <w:color w:val="auto"/>
          <w:sz w:val="21"/>
          <w:szCs w:val="21"/>
          <w:highlight w:val="none"/>
        </w:rPr>
      </w:pPr>
    </w:p>
    <w:p w14:paraId="3D2C6E43">
      <w:pPr>
        <w:widowControl/>
        <w:spacing w:line="520" w:lineRule="exact"/>
        <w:ind w:firstLine="435"/>
        <w:jc w:val="left"/>
        <w:rPr>
          <w:rFonts w:hint="eastAsia" w:ascii="宋体" w:hAnsi="宋体" w:eastAsia="宋体" w:cs="宋体"/>
          <w:color w:val="auto"/>
          <w:sz w:val="21"/>
          <w:szCs w:val="21"/>
          <w:highlight w:val="none"/>
        </w:rPr>
      </w:pPr>
    </w:p>
    <w:p w14:paraId="6FCA4F7E">
      <w:pPr>
        <w:widowControl/>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en-US" w:eastAsia="zh-CN"/>
        </w:rPr>
        <w:t>盖单位章</w:t>
      </w:r>
      <w:r>
        <w:rPr>
          <w:rFonts w:hint="eastAsia" w:ascii="宋体" w:hAnsi="宋体" w:eastAsia="宋体" w:cs="宋体"/>
          <w:color w:val="auto"/>
          <w:sz w:val="21"/>
          <w:szCs w:val="21"/>
          <w:highlight w:val="none"/>
        </w:rPr>
        <w:t>）</w:t>
      </w:r>
    </w:p>
    <w:p w14:paraId="4F4BEE53">
      <w:pPr>
        <w:widowControl/>
        <w:spacing w:line="520" w:lineRule="exact"/>
        <w:ind w:left="420" w:leftChars="200" w:firstLine="5775" w:firstLineChars="27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p w14:paraId="39F9F83C">
      <w:pPr>
        <w:widowControl/>
        <w:spacing w:line="520" w:lineRule="exact"/>
        <w:ind w:left="480" w:hanging="480" w:hangingChars="200"/>
        <w:jc w:val="left"/>
        <w:rPr>
          <w:rFonts w:hint="eastAsia" w:ascii="宋体" w:hAnsi="宋体" w:eastAsia="宋体" w:cs="宋体"/>
          <w:color w:val="auto"/>
          <w:sz w:val="24"/>
          <w:szCs w:val="24"/>
          <w:highlight w:val="none"/>
        </w:rPr>
      </w:pPr>
    </w:p>
    <w:p w14:paraId="37A946F5">
      <w:pPr>
        <w:widowControl/>
        <w:tabs>
          <w:tab w:val="left" w:pos="1277"/>
        </w:tabs>
        <w:spacing w:line="520" w:lineRule="exact"/>
        <w:jc w:val="left"/>
        <w:rPr>
          <w:rFonts w:hint="eastAsia" w:ascii="宋体" w:hAnsi="宋体" w:eastAsia="宋体" w:cs="宋体"/>
          <w:b/>
          <w:color w:val="auto"/>
          <w:kern w:val="44"/>
          <w:sz w:val="24"/>
          <w:szCs w:val="24"/>
          <w:highlight w:val="none"/>
        </w:rPr>
      </w:pPr>
    </w:p>
    <w:p w14:paraId="1639BFC8">
      <w:pPr>
        <w:widowControl/>
        <w:tabs>
          <w:tab w:val="left" w:pos="1277"/>
        </w:tabs>
        <w:spacing w:line="560" w:lineRule="exact"/>
        <w:jc w:val="left"/>
        <w:rPr>
          <w:rFonts w:hint="eastAsia" w:ascii="宋体" w:hAnsi="宋体" w:eastAsia="宋体" w:cs="宋体"/>
          <w:b/>
          <w:color w:val="auto"/>
          <w:kern w:val="44"/>
          <w:szCs w:val="22"/>
          <w:highlight w:val="none"/>
        </w:rPr>
      </w:pPr>
    </w:p>
    <w:p w14:paraId="1DACBF2B">
      <w:pPr>
        <w:widowControl/>
        <w:tabs>
          <w:tab w:val="left" w:pos="1277"/>
        </w:tabs>
        <w:spacing w:line="560" w:lineRule="exact"/>
        <w:jc w:val="left"/>
        <w:rPr>
          <w:rFonts w:hint="eastAsia" w:ascii="宋体" w:hAnsi="宋体" w:eastAsia="宋体" w:cs="宋体"/>
          <w:b/>
          <w:color w:val="auto"/>
          <w:kern w:val="44"/>
          <w:szCs w:val="22"/>
          <w:highlight w:val="none"/>
        </w:rPr>
      </w:pPr>
    </w:p>
    <w:p w14:paraId="1E23DEAF">
      <w:pPr>
        <w:widowControl/>
        <w:tabs>
          <w:tab w:val="left" w:pos="1277"/>
        </w:tabs>
        <w:spacing w:line="560" w:lineRule="exact"/>
        <w:jc w:val="left"/>
        <w:rPr>
          <w:rFonts w:hint="eastAsia" w:ascii="宋体" w:hAnsi="宋体" w:eastAsia="宋体" w:cs="宋体"/>
          <w:b/>
          <w:color w:val="auto"/>
          <w:kern w:val="44"/>
          <w:szCs w:val="22"/>
          <w:highlight w:val="none"/>
        </w:rPr>
      </w:pPr>
    </w:p>
    <w:p w14:paraId="1DF79E9D">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210B4D5B">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7083D109">
      <w:pPr>
        <w:widowControl/>
        <w:tabs>
          <w:tab w:val="left" w:pos="1277"/>
        </w:tabs>
        <w:spacing w:line="560" w:lineRule="exact"/>
        <w:jc w:val="left"/>
        <w:rPr>
          <w:rFonts w:hint="eastAsia" w:ascii="宋体" w:hAnsi="宋体" w:eastAsia="宋体" w:cs="宋体"/>
          <w:b/>
          <w:color w:val="auto"/>
          <w:kern w:val="44"/>
          <w:szCs w:val="22"/>
          <w:highlight w:val="none"/>
        </w:rPr>
      </w:pPr>
    </w:p>
    <w:p w14:paraId="492F6B91">
      <w:pPr>
        <w:widowControl w:val="0"/>
        <w:autoSpaceDE w:val="0"/>
        <w:autoSpaceDN w:val="0"/>
        <w:adjustRightInd w:val="0"/>
        <w:rPr>
          <w:rFonts w:hint="eastAsia" w:ascii="宋体" w:hAnsi="宋体" w:eastAsia="宋体" w:cs="宋体"/>
          <w:b/>
          <w:color w:val="auto"/>
          <w:kern w:val="44"/>
          <w:sz w:val="24"/>
          <w:szCs w:val="24"/>
          <w:highlight w:val="none"/>
          <w:lang w:val="en-US" w:eastAsia="zh-CN" w:bidi="ar-SA"/>
        </w:rPr>
      </w:pPr>
    </w:p>
    <w:p w14:paraId="1760A2D1">
      <w:pPr>
        <w:widowControl w:val="0"/>
        <w:autoSpaceDE w:val="0"/>
        <w:autoSpaceDN w:val="0"/>
        <w:adjustRightInd w:val="0"/>
        <w:rPr>
          <w:rFonts w:hint="eastAsia" w:ascii="宋体" w:hAnsi="宋体" w:eastAsia="宋体" w:cs="宋体"/>
          <w:b/>
          <w:color w:val="auto"/>
          <w:kern w:val="44"/>
          <w:sz w:val="24"/>
          <w:szCs w:val="24"/>
          <w:highlight w:val="none"/>
          <w:lang w:val="en-US" w:eastAsia="zh-CN" w:bidi="ar-SA"/>
        </w:rPr>
      </w:pPr>
    </w:p>
    <w:p w14:paraId="10FD095C">
      <w:pPr>
        <w:widowControl/>
        <w:jc w:val="left"/>
        <w:outlineLvl w:val="9"/>
        <w:rPr>
          <w:rFonts w:hint="eastAsia" w:ascii="宋体" w:hAnsi="宋体" w:eastAsia="宋体" w:cs="宋体"/>
          <w:b/>
          <w:color w:val="auto"/>
          <w:sz w:val="24"/>
          <w:szCs w:val="24"/>
          <w:highlight w:val="none"/>
        </w:rPr>
      </w:pPr>
      <w:bookmarkStart w:id="2418" w:name="_Toc16108"/>
      <w:bookmarkStart w:id="2419" w:name="_Toc21740"/>
      <w:bookmarkStart w:id="2420" w:name="_Toc3241"/>
      <w:bookmarkStart w:id="2421" w:name="_Toc23505"/>
      <w:bookmarkStart w:id="2422" w:name="_Toc9702"/>
      <w:bookmarkStart w:id="2423" w:name="_Toc1355"/>
      <w:bookmarkStart w:id="2424" w:name="_Toc5445"/>
      <w:bookmarkStart w:id="2425" w:name="_Toc7843"/>
      <w:bookmarkStart w:id="2426" w:name="_Toc27119"/>
      <w:bookmarkStart w:id="2427" w:name="_Toc36069916"/>
      <w:r>
        <w:rPr>
          <w:rFonts w:hint="eastAsia" w:ascii="宋体" w:hAnsi="宋体" w:eastAsia="宋体" w:cs="宋体"/>
          <w:b/>
          <w:color w:val="auto"/>
          <w:sz w:val="24"/>
          <w:szCs w:val="24"/>
          <w:highlight w:val="none"/>
        </w:rPr>
        <w:br w:type="page"/>
      </w:r>
    </w:p>
    <w:p w14:paraId="49C8B829">
      <w:pPr>
        <w:widowControl/>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项目部人员到位承诺</w:t>
      </w:r>
      <w:bookmarkEnd w:id="2418"/>
      <w:bookmarkEnd w:id="2419"/>
      <w:bookmarkEnd w:id="2420"/>
      <w:bookmarkEnd w:id="2421"/>
      <w:bookmarkEnd w:id="2422"/>
      <w:bookmarkEnd w:id="2423"/>
      <w:bookmarkEnd w:id="2424"/>
      <w:bookmarkEnd w:id="2425"/>
      <w:bookmarkEnd w:id="2426"/>
      <w:bookmarkEnd w:id="2427"/>
      <w:r>
        <w:rPr>
          <w:rFonts w:hint="eastAsia" w:ascii="宋体" w:hAnsi="宋体" w:eastAsia="宋体" w:cs="宋体"/>
          <w:b/>
          <w:color w:val="auto"/>
          <w:sz w:val="24"/>
          <w:szCs w:val="24"/>
          <w:highlight w:val="none"/>
          <w:lang w:val="en-US" w:eastAsia="zh-CN"/>
        </w:rPr>
        <w:t>书</w:t>
      </w:r>
    </w:p>
    <w:p w14:paraId="18F3BABC">
      <w:pPr>
        <w:widowControl/>
        <w:spacing w:line="5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p w14:paraId="4925FB3C">
      <w:pPr>
        <w:keepNext w:val="0"/>
        <w:keepLines w:val="0"/>
        <w:pageBreakBefore w:val="0"/>
        <w:widowControl/>
        <w:kinsoku/>
        <w:wordWrap/>
        <w:overflowPunct/>
        <w:topLinePunct w:val="0"/>
        <w:autoSpaceDE/>
        <w:autoSpaceDN/>
        <w:bidi w:val="0"/>
        <w:adjustRightInd/>
        <w:snapToGrid/>
        <w:spacing w:line="56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若我单位在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项目名称</w:t>
      </w:r>
      <w:r>
        <w:rPr>
          <w:rFonts w:hint="eastAsia" w:ascii="宋体" w:hAnsi="宋体" w:eastAsia="宋体" w:cs="宋体"/>
          <w:color w:val="auto"/>
          <w:sz w:val="21"/>
          <w:szCs w:val="21"/>
          <w:highlight w:val="none"/>
          <w:u w:val="single"/>
          <w:lang w:eastAsia="zh-CN"/>
        </w:rPr>
        <w:t>）   （标段名称）</w:t>
      </w:r>
      <w:r>
        <w:rPr>
          <w:rFonts w:hint="eastAsia" w:ascii="宋体" w:hAnsi="宋体" w:eastAsia="宋体" w:cs="宋体"/>
          <w:color w:val="auto"/>
          <w:sz w:val="21"/>
          <w:szCs w:val="21"/>
          <w:highlight w:val="none"/>
        </w:rPr>
        <w:t>招标中有幸中标，我公司郑重承诺：</w:t>
      </w:r>
    </w:p>
    <w:p w14:paraId="14C5FC0F">
      <w:pPr>
        <w:widowControl/>
        <w:spacing w:line="5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一旦我公司有幸中标，保证按投标文件</w:t>
      </w:r>
      <w:r>
        <w:rPr>
          <w:rFonts w:hint="eastAsia" w:ascii="宋体" w:hAnsi="宋体" w:eastAsia="宋体" w:cs="宋体"/>
          <w:color w:val="auto"/>
          <w:sz w:val="21"/>
          <w:szCs w:val="21"/>
          <w:highlight w:val="none"/>
          <w:lang w:val="en-US" w:eastAsia="zh-CN"/>
        </w:rPr>
        <w:t>投入</w:t>
      </w:r>
      <w:r>
        <w:rPr>
          <w:rFonts w:hint="eastAsia" w:ascii="宋体" w:hAnsi="宋体" w:eastAsia="宋体" w:cs="宋体"/>
          <w:color w:val="auto"/>
          <w:sz w:val="21"/>
          <w:szCs w:val="21"/>
          <w:highlight w:val="none"/>
        </w:rPr>
        <w:t>的项目经理、技术负责人等主要人员及时到岗到位。</w:t>
      </w:r>
    </w:p>
    <w:p w14:paraId="6ADF9F5F">
      <w:pPr>
        <w:widowControl/>
        <w:spacing w:line="5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在项目实施过程中，发包人或有关主管部门发现我公司的项目经理、技术负责人等现场管理人员有重大失误或不能胜任工作，有权要求我公司予以更换。我公司无条件接受，且按合同约定承担违约责任。</w:t>
      </w:r>
    </w:p>
    <w:p w14:paraId="21316C00">
      <w:pPr>
        <w:widowControl/>
        <w:spacing w:line="5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保证项目经理、技术负责人等现场主要管理人员常驻工地负责工程施工工作。发包人可随时检查我公司上述人员是否到位，如发现以上人员没有在现场履行职责，且未向发包人事先书面说明并获得书面同意，则发包人可按合同约定对我公司进行处罚。</w:t>
      </w:r>
    </w:p>
    <w:p w14:paraId="2E31E29D">
      <w:pPr>
        <w:widowControl/>
        <w:spacing w:line="5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特此承诺</w:t>
      </w:r>
    </w:p>
    <w:p w14:paraId="26C063B5">
      <w:pPr>
        <w:widowControl/>
        <w:jc w:val="right"/>
        <w:rPr>
          <w:rFonts w:hint="eastAsia" w:ascii="宋体" w:hAnsi="宋体" w:eastAsia="宋体" w:cs="宋体"/>
          <w:color w:val="auto"/>
          <w:sz w:val="21"/>
          <w:szCs w:val="21"/>
          <w:highlight w:val="none"/>
        </w:rPr>
      </w:pPr>
    </w:p>
    <w:p w14:paraId="3308D56C">
      <w:pPr>
        <w:widowControl/>
        <w:jc w:val="right"/>
        <w:rPr>
          <w:rFonts w:hint="eastAsia" w:ascii="宋体" w:hAnsi="宋体" w:eastAsia="宋体" w:cs="宋体"/>
          <w:color w:val="auto"/>
          <w:sz w:val="21"/>
          <w:szCs w:val="21"/>
          <w:highlight w:val="none"/>
        </w:rPr>
      </w:pPr>
    </w:p>
    <w:p w14:paraId="37B7D105">
      <w:pPr>
        <w:widowControl/>
        <w:jc w:val="right"/>
        <w:rPr>
          <w:rFonts w:hint="eastAsia" w:ascii="宋体" w:hAnsi="宋体" w:eastAsia="宋体" w:cs="宋体"/>
          <w:color w:val="auto"/>
          <w:sz w:val="21"/>
          <w:szCs w:val="21"/>
          <w:highlight w:val="none"/>
        </w:rPr>
      </w:pPr>
    </w:p>
    <w:p w14:paraId="1CF05BCA">
      <w:pPr>
        <w:widowControl/>
        <w:jc w:val="right"/>
        <w:rPr>
          <w:rFonts w:hint="eastAsia" w:ascii="宋体" w:hAnsi="宋体" w:eastAsia="宋体" w:cs="宋体"/>
          <w:color w:val="auto"/>
          <w:sz w:val="21"/>
          <w:szCs w:val="21"/>
          <w:highlight w:val="none"/>
        </w:rPr>
      </w:pPr>
    </w:p>
    <w:p w14:paraId="5F4A49DF">
      <w:pPr>
        <w:widowControl/>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盖单位章</w:t>
      </w:r>
      <w:r>
        <w:rPr>
          <w:rFonts w:hint="eastAsia" w:ascii="宋体" w:hAnsi="宋体" w:eastAsia="宋体" w:cs="宋体"/>
          <w:color w:val="auto"/>
          <w:sz w:val="21"/>
          <w:szCs w:val="21"/>
          <w:highlight w:val="none"/>
        </w:rPr>
        <w:t>）</w:t>
      </w:r>
    </w:p>
    <w:p w14:paraId="5B59EF9F">
      <w:pPr>
        <w:widowControl/>
        <w:spacing w:before="120" w:beforeLines="50"/>
        <w:ind w:firstLine="6090" w:firstLineChars="29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p w14:paraId="29FE50F3">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407B3292">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23E0BCB2">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0DD5BB6F">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2083FC35">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7FE620F8">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2E900CAC">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688D5A81">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04D4F932">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0C5ED313">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3464DC2B">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1392447E">
      <w:pPr>
        <w:widowControl w:val="0"/>
        <w:ind w:left="730" w:firstLine="3570" w:firstLineChars="1700"/>
        <w:jc w:val="both"/>
        <w:rPr>
          <w:rFonts w:hint="eastAsia" w:ascii="宋体" w:hAnsi="宋体" w:eastAsia="宋体" w:cs="宋体"/>
          <w:color w:val="auto"/>
          <w:kern w:val="2"/>
          <w:sz w:val="21"/>
          <w:szCs w:val="24"/>
          <w:highlight w:val="none"/>
          <w:lang w:val="en-US" w:eastAsia="zh-CN" w:bidi="ar-SA"/>
        </w:rPr>
      </w:pPr>
    </w:p>
    <w:p w14:paraId="470A52F0">
      <w:pPr>
        <w:widowControl/>
        <w:adjustRightInd/>
        <w:snapToGrid/>
        <w:spacing w:line="240" w:lineRule="auto"/>
        <w:jc w:val="left"/>
        <w:outlineLvl w:val="9"/>
        <w:rPr>
          <w:rFonts w:hint="eastAsia" w:ascii="宋体" w:hAnsi="宋体" w:eastAsia="宋体" w:cs="宋体"/>
          <w:b/>
          <w:color w:val="auto"/>
          <w:sz w:val="24"/>
          <w:szCs w:val="24"/>
          <w:highlight w:val="none"/>
          <w:lang w:val="en-US" w:eastAsia="zh-CN"/>
        </w:rPr>
      </w:pPr>
      <w:bookmarkStart w:id="2428" w:name="_Toc266886272"/>
      <w:bookmarkStart w:id="2429" w:name="_Toc3451642"/>
      <w:r>
        <w:rPr>
          <w:rFonts w:hint="eastAsia" w:ascii="宋体" w:hAnsi="宋体" w:eastAsia="宋体" w:cs="宋体"/>
          <w:b/>
          <w:color w:val="auto"/>
          <w:sz w:val="24"/>
          <w:szCs w:val="24"/>
          <w:highlight w:val="none"/>
          <w:lang w:val="en-US" w:eastAsia="zh-CN"/>
        </w:rPr>
        <w:br w:type="page"/>
      </w:r>
    </w:p>
    <w:bookmarkEnd w:id="2428"/>
    <w:bookmarkEnd w:id="2429"/>
    <w:p w14:paraId="3469B00F">
      <w:pPr>
        <w:widowControl/>
        <w:adjustRightInd w:val="0"/>
        <w:snapToGrid w:val="0"/>
        <w:spacing w:line="360" w:lineRule="auto"/>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（九）信誉信用</w:t>
      </w:r>
    </w:p>
    <w:p w14:paraId="7F65206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eastAsia="zh-CN"/>
        </w:rPr>
        <w:t>全国</w:t>
      </w:r>
      <w:r>
        <w:rPr>
          <w:rFonts w:hint="eastAsia" w:ascii="宋体" w:hAnsi="宋体" w:eastAsia="宋体" w:cs="宋体"/>
          <w:b/>
          <w:bCs/>
          <w:color w:val="auto"/>
          <w:sz w:val="21"/>
          <w:szCs w:val="21"/>
          <w:highlight w:val="none"/>
        </w:rPr>
        <w:t>水利建设市场监管平台</w:t>
      </w:r>
      <w:r>
        <w:rPr>
          <w:rFonts w:hint="eastAsia" w:ascii="宋体" w:hAnsi="宋体" w:eastAsia="宋体" w:cs="宋体"/>
          <w:color w:val="auto"/>
          <w:sz w:val="21"/>
          <w:szCs w:val="21"/>
          <w:highlight w:val="none"/>
        </w:rPr>
        <w:t>信用信息查询材料</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查询包含投标人的人员、业绩、信用评价、其他信息、行政处罚等网页查询证明材料</w:t>
      </w:r>
      <w:r>
        <w:rPr>
          <w:rFonts w:hint="eastAsia" w:ascii="宋体" w:hAnsi="宋体" w:eastAsia="宋体" w:cs="宋体"/>
          <w:b w:val="0"/>
          <w:bCs w:val="0"/>
          <w:color w:val="auto"/>
          <w:sz w:val="21"/>
          <w:szCs w:val="21"/>
          <w:highlight w:val="none"/>
        </w:rPr>
        <w:t>）；</w:t>
      </w:r>
    </w:p>
    <w:p w14:paraId="0A1E27F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color w:val="auto"/>
          <w:sz w:val="21"/>
          <w:szCs w:val="21"/>
          <w:highlight w:val="none"/>
          <w:lang w:val="en-US" w:eastAsia="zh-CN"/>
        </w:rPr>
        <w:t>1.信用信息查询材料应清晰、完整、准确，查询日期应为招标公告发布后，并保证上述信息的真实性，愿意承担因弄虚作假所引起的一切后果。</w:t>
      </w:r>
    </w:p>
    <w:p w14:paraId="61418546">
      <w:pPr>
        <w:widowControl/>
        <w:spacing w:line="360" w:lineRule="auto"/>
        <w:ind w:firstLine="42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rPr>
        <w:t>2.查询上述材料时如遇网址或者查询菜单（搜索栏）、功能、内容等有调整或变化，可以提供调整或变化后的查询证明材料。</w:t>
      </w:r>
      <w:r>
        <w:rPr>
          <w:rFonts w:hint="eastAsia" w:ascii="宋体" w:hAnsi="宋体" w:eastAsia="宋体" w:cs="宋体"/>
          <w:color w:val="auto"/>
          <w:sz w:val="24"/>
          <w:szCs w:val="24"/>
          <w:highlight w:val="none"/>
        </w:rPr>
        <w:br w:type="page"/>
      </w:r>
    </w:p>
    <w:p w14:paraId="1D3C8426">
      <w:pPr>
        <w:keepNext w:val="0"/>
        <w:keepLines w:val="0"/>
        <w:widowControl w:val="0"/>
        <w:numPr>
          <w:ilvl w:val="0"/>
          <w:numId w:val="0"/>
        </w:numPr>
        <w:wordWrap w:val="0"/>
        <w:spacing w:before="0" w:after="0" w:line="360" w:lineRule="auto"/>
        <w:ind w:firstLine="3132" w:firstLineChars="1300"/>
        <w:jc w:val="both"/>
        <w:outlineLvl w:val="1"/>
        <w:rPr>
          <w:rFonts w:hint="eastAsia" w:ascii="宋体" w:hAnsi="宋体" w:eastAsia="宋体" w:cs="宋体"/>
          <w:b/>
          <w:bCs w:val="0"/>
          <w:color w:val="auto"/>
          <w:kern w:val="2"/>
          <w:sz w:val="24"/>
          <w:szCs w:val="24"/>
          <w:highlight w:val="none"/>
          <w:lang w:val="en-US" w:eastAsia="zh-CN" w:bidi="ar-SA"/>
        </w:rPr>
      </w:pPr>
      <w:bookmarkStart w:id="2430" w:name="_Toc30739"/>
      <w:bookmarkStart w:id="2431" w:name="_Toc7186"/>
      <w:bookmarkStart w:id="2432" w:name="_Toc26752"/>
      <w:r>
        <w:rPr>
          <w:rFonts w:hint="eastAsia" w:ascii="宋体" w:hAnsi="宋体" w:eastAsia="宋体" w:cs="宋体"/>
          <w:b/>
          <w:bCs w:val="0"/>
          <w:color w:val="auto"/>
          <w:kern w:val="2"/>
          <w:sz w:val="24"/>
          <w:szCs w:val="24"/>
          <w:lang w:val="en-US" w:eastAsia="zh-CN" w:bidi="ar-SA"/>
        </w:rPr>
        <w:t>七、</w:t>
      </w:r>
      <w:r>
        <w:rPr>
          <w:rFonts w:hint="eastAsia" w:ascii="宋体" w:hAnsi="宋体" w:eastAsia="宋体" w:cs="宋体"/>
          <w:b/>
          <w:bCs w:val="0"/>
          <w:color w:val="auto"/>
          <w:kern w:val="2"/>
          <w:sz w:val="24"/>
          <w:szCs w:val="24"/>
          <w:highlight w:val="none"/>
          <w:lang w:val="en-US" w:eastAsia="zh-CN" w:bidi="ar-SA"/>
        </w:rPr>
        <w:t>安全生产专项费使用方案</w:t>
      </w:r>
      <w:bookmarkEnd w:id="2430"/>
    </w:p>
    <w:p w14:paraId="69793D0B">
      <w:pPr>
        <w:widowControl w:val="0"/>
        <w:wordWrap w:val="0"/>
        <w:spacing w:line="360" w:lineRule="auto"/>
        <w:ind w:firstLine="420" w:firstLineChars="200"/>
        <w:jc w:val="left"/>
        <w:rPr>
          <w:rFonts w:hint="eastAsia" w:ascii="Calibri" w:hAnsi="Calibri" w:eastAsia="宋体" w:cs="Times New Roman"/>
          <w:color w:val="auto"/>
          <w:szCs w:val="22"/>
          <w:highlight w:val="none"/>
          <w:lang w:val="en-US" w:eastAsia="zh-CN"/>
        </w:rPr>
      </w:pPr>
      <w:r>
        <w:rPr>
          <w:rFonts w:hint="eastAsia" w:ascii="Calibri" w:hAnsi="Calibri" w:eastAsia="宋体" w:cs="Times New Roman"/>
          <w:color w:val="auto"/>
          <w:szCs w:val="22"/>
          <w:highlight w:val="none"/>
          <w:lang w:val="en-US" w:eastAsia="zh-CN"/>
        </w:rPr>
        <w:t>按</w:t>
      </w:r>
      <w:r>
        <w:rPr>
          <w:rFonts w:hint="eastAsia" w:ascii="宋体" w:hAnsi="宋体" w:eastAsia="宋体" w:cs="宋体"/>
          <w:color w:val="auto"/>
          <w:szCs w:val="22"/>
          <w:highlight w:val="none"/>
          <w:lang w:val="en-US" w:eastAsia="zh-CN"/>
        </w:rPr>
        <w:t>照《河南省水利厅关于加强水利工程施工安全生产专项计列使用管理的通知》（豫水建【2025】11号），提供安全</w:t>
      </w:r>
      <w:r>
        <w:rPr>
          <w:rFonts w:hint="eastAsia" w:ascii="Calibri" w:hAnsi="Calibri" w:eastAsia="宋体" w:cs="Times New Roman"/>
          <w:color w:val="auto"/>
          <w:szCs w:val="22"/>
          <w:highlight w:val="none"/>
          <w:lang w:val="en-US" w:eastAsia="zh-CN"/>
        </w:rPr>
        <w:t>生产专项费使用方案。格式及内容自行编制。</w:t>
      </w:r>
    </w:p>
    <w:p w14:paraId="5B211822">
      <w:pPr>
        <w:widowControl w:val="0"/>
        <w:wordWrap w:val="0"/>
        <w:spacing w:line="360" w:lineRule="auto"/>
        <w:ind w:firstLine="420" w:firstLineChars="200"/>
        <w:jc w:val="left"/>
        <w:rPr>
          <w:rFonts w:hint="eastAsia" w:ascii="Calibri" w:hAnsi="Calibri" w:eastAsia="宋体" w:cs="Times New Roman"/>
          <w:color w:val="auto"/>
          <w:szCs w:val="22"/>
          <w:highlight w:val="none"/>
          <w:lang w:val="en-US" w:eastAsia="zh-CN"/>
        </w:rPr>
      </w:pPr>
    </w:p>
    <w:p w14:paraId="13354305">
      <w:pPr>
        <w:keepNext w:val="0"/>
        <w:keepLines w:val="0"/>
        <w:widowControl w:val="0"/>
        <w:numPr>
          <w:ilvl w:val="0"/>
          <w:numId w:val="0"/>
        </w:numPr>
        <w:wordWrap w:val="0"/>
        <w:spacing w:before="0" w:after="0" w:line="360" w:lineRule="auto"/>
        <w:jc w:val="center"/>
        <w:outlineLvl w:val="1"/>
        <w:rPr>
          <w:rFonts w:hint="eastAsia" w:ascii="宋体" w:hAnsi="宋体" w:eastAsia="宋体" w:cs="宋体"/>
          <w:b/>
          <w:bCs w:val="0"/>
          <w:color w:val="auto"/>
          <w:kern w:val="2"/>
          <w:sz w:val="24"/>
          <w:szCs w:val="24"/>
          <w:highlight w:val="none"/>
          <w:lang w:val="en-US" w:eastAsia="zh-CN" w:bidi="ar-SA"/>
        </w:rPr>
      </w:pPr>
      <w:bookmarkStart w:id="2433" w:name="_Toc13675"/>
      <w:r>
        <w:rPr>
          <w:rFonts w:hint="eastAsia" w:ascii="宋体" w:hAnsi="宋体" w:eastAsia="宋体" w:cs="宋体"/>
          <w:b/>
          <w:bCs w:val="0"/>
          <w:color w:val="auto"/>
          <w:kern w:val="2"/>
          <w:sz w:val="24"/>
          <w:szCs w:val="24"/>
          <w:lang w:val="en-US" w:eastAsia="zh-CN" w:bidi="ar-SA"/>
        </w:rPr>
        <w:t>八、</w:t>
      </w:r>
      <w:r>
        <w:rPr>
          <w:rFonts w:hint="eastAsia" w:ascii="宋体" w:hAnsi="宋体" w:eastAsia="宋体" w:cs="宋体"/>
          <w:b/>
          <w:bCs w:val="0"/>
          <w:color w:val="auto"/>
          <w:kern w:val="2"/>
          <w:sz w:val="24"/>
          <w:szCs w:val="24"/>
          <w:highlight w:val="none"/>
          <w:lang w:val="en-US" w:eastAsia="zh-CN" w:bidi="ar-SA"/>
        </w:rPr>
        <w:t>奖罚情况</w:t>
      </w:r>
      <w:bookmarkEnd w:id="2433"/>
    </w:p>
    <w:p w14:paraId="35B31944">
      <w:pPr>
        <w:widowControl w:val="0"/>
        <w:numPr>
          <w:ilvl w:val="-1"/>
          <w:numId w:val="0"/>
        </w:numPr>
        <w:wordWrap w:val="0"/>
        <w:spacing w:line="360" w:lineRule="auto"/>
        <w:ind w:firstLine="420" w:firstLineChars="200"/>
        <w:jc w:val="left"/>
        <w:rPr>
          <w:rFonts w:hint="eastAsia" w:ascii="Calibri" w:hAnsi="Calibri" w:eastAsia="宋体" w:cs="Times New Roman"/>
          <w:b w:val="0"/>
          <w:bCs w:val="0"/>
          <w:color w:val="auto"/>
          <w:szCs w:val="22"/>
          <w:highlight w:val="none"/>
          <w:lang w:val="en-US" w:eastAsia="zh-CN"/>
        </w:rPr>
      </w:pPr>
      <w:r>
        <w:rPr>
          <w:rFonts w:hint="eastAsia" w:ascii="Calibri" w:hAnsi="Calibri" w:eastAsia="宋体" w:cs="Times New Roman"/>
          <w:b w:val="0"/>
          <w:bCs w:val="0"/>
          <w:color w:val="auto"/>
          <w:szCs w:val="22"/>
          <w:highlight w:val="none"/>
          <w:lang w:val="en-US" w:eastAsia="zh-CN"/>
        </w:rPr>
        <w:t>根据评分办法奖罚情况附相关证明材料，未附奖励分值所列内容不予计分，惩罚情况应如实提供相关材料，若无评分办法惩罚条款中规定的情况，提供无评分办法惩罚条款中任意情况的承诺书。</w:t>
      </w:r>
    </w:p>
    <w:p w14:paraId="42909CD7">
      <w:pPr>
        <w:widowControl/>
        <w:numPr>
          <w:ilvl w:val="-1"/>
          <w:numId w:val="0"/>
        </w:numPr>
        <w:ind w:firstLine="420" w:firstLineChars="200"/>
        <w:jc w:val="left"/>
        <w:rPr>
          <w:rFonts w:hint="eastAsia" w:ascii="Calibri" w:hAnsi="Calibri" w:eastAsia="宋体" w:cs="Times New Roman"/>
          <w:b w:val="0"/>
          <w:bCs w:val="0"/>
          <w:color w:val="auto"/>
          <w:szCs w:val="22"/>
          <w:highlight w:val="none"/>
          <w:lang w:val="en-US" w:eastAsia="zh-CN"/>
        </w:rPr>
      </w:pPr>
    </w:p>
    <w:p w14:paraId="384B2DAD">
      <w:pPr>
        <w:widowControl/>
        <w:numPr>
          <w:ilvl w:val="0"/>
          <w:numId w:val="0"/>
        </w:numPr>
        <w:ind w:left="0" w:leftChars="0" w:firstLine="0" w:firstLineChars="0"/>
        <w:jc w:val="left"/>
        <w:rPr>
          <w:rFonts w:hint="eastAsia" w:ascii="宋体" w:hAnsi="宋体" w:eastAsia="宋体" w:cs="宋体"/>
          <w:b/>
          <w:strike/>
          <w:color w:val="auto"/>
          <w:sz w:val="24"/>
          <w:szCs w:val="24"/>
          <w:highlight w:val="none"/>
          <w:lang w:val="en-US" w:eastAsia="zh-CN"/>
        </w:rPr>
      </w:pPr>
      <w:r>
        <w:rPr>
          <w:rFonts w:hint="eastAsia" w:ascii="宋体" w:hAnsi="宋体" w:eastAsia="宋体" w:cs="宋体"/>
          <w:b/>
          <w:strike/>
          <w:color w:val="auto"/>
          <w:sz w:val="24"/>
          <w:szCs w:val="24"/>
          <w:highlight w:val="none"/>
          <w:lang w:val="en-US" w:eastAsia="zh-CN"/>
        </w:rPr>
        <w:br w:type="page"/>
      </w:r>
    </w:p>
    <w:p w14:paraId="39F30DC0">
      <w:pPr>
        <w:keepNext/>
        <w:keepLines/>
        <w:spacing w:before="0" w:beforeLines="0" w:after="0" w:afterLines="0" w:line="360" w:lineRule="auto"/>
        <w:jc w:val="center"/>
        <w:outlineLvl w:val="1"/>
        <w:rPr>
          <w:rFonts w:hint="eastAsia" w:ascii="宋体" w:hAnsi="宋体" w:eastAsia="宋体" w:cs="宋体"/>
          <w:b w:val="0"/>
          <w:bCs w:val="0"/>
          <w:color w:val="auto"/>
          <w:kern w:val="2"/>
          <w:sz w:val="28"/>
          <w:szCs w:val="20"/>
          <w:highlight w:val="none"/>
          <w:lang w:val="en-US" w:eastAsia="zh-CN" w:bidi="ar-SA"/>
        </w:rPr>
      </w:pPr>
      <w:bookmarkStart w:id="2434" w:name="_Toc328"/>
      <w:r>
        <w:rPr>
          <w:rFonts w:hint="eastAsia" w:ascii="宋体" w:hAnsi="宋体" w:eastAsia="宋体" w:cs="宋体"/>
          <w:b/>
          <w:bCs w:val="0"/>
          <w:color w:val="auto"/>
          <w:kern w:val="2"/>
          <w:sz w:val="24"/>
          <w:szCs w:val="24"/>
          <w:highlight w:val="none"/>
          <w:lang w:val="en-US" w:eastAsia="zh-CN" w:bidi="ar-SA"/>
        </w:rPr>
        <w:t>九、其他材料</w:t>
      </w:r>
      <w:bookmarkEnd w:id="2431"/>
      <w:bookmarkEnd w:id="2432"/>
      <w:bookmarkEnd w:id="2434"/>
    </w:p>
    <w:p w14:paraId="22BA2154">
      <w:pPr>
        <w:widowControl w:val="0"/>
        <w:wordWrap w:val="0"/>
        <w:autoSpaceDE w:val="0"/>
        <w:autoSpaceDN w:val="0"/>
        <w:adjustRightInd w:val="0"/>
        <w:spacing w:before="0" w:beforeLines="0" w:beforeAutospacing="0" w:after="0" w:afterLines="0" w:afterAutospacing="0" w:line="360" w:lineRule="auto"/>
        <w:ind w:right="-34" w:rightChars="-16"/>
        <w:jc w:val="center"/>
        <w:outlineLvl w:val="2"/>
        <w:rPr>
          <w:rFonts w:hint="eastAsia" w:ascii="宋体" w:hAnsi="宋体" w:eastAsia="宋体" w:cs="宋体"/>
          <w:color w:val="auto"/>
          <w:kern w:val="0"/>
          <w:sz w:val="24"/>
          <w:szCs w:val="24"/>
          <w:highlight w:val="none"/>
          <w:lang w:val="en-US" w:eastAsia="zh-CN" w:bidi="ar-SA"/>
        </w:rPr>
      </w:pPr>
      <w:bookmarkStart w:id="2435" w:name="_Toc3131"/>
      <w:bookmarkStart w:id="2436" w:name="_Toc22319"/>
      <w:bookmarkStart w:id="2437" w:name="_Toc25724"/>
      <w:bookmarkStart w:id="2438" w:name="_Toc30140"/>
      <w:r>
        <w:rPr>
          <w:rFonts w:hint="eastAsia" w:ascii="宋体" w:hAnsi="宋体" w:eastAsia="宋体" w:cs="宋体"/>
          <w:b/>
          <w:bCs w:val="0"/>
          <w:color w:val="auto"/>
          <w:kern w:val="0"/>
          <w:sz w:val="24"/>
          <w:szCs w:val="24"/>
          <w:highlight w:val="none"/>
        </w:rPr>
        <w:t>（一）投标活动承诺书</w:t>
      </w:r>
      <w:bookmarkEnd w:id="2435"/>
      <w:bookmarkEnd w:id="2436"/>
      <w:bookmarkEnd w:id="2437"/>
      <w:bookmarkEnd w:id="2438"/>
    </w:p>
    <w:p w14:paraId="57FA647A">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1632EB2A">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一、遵循公开、公正和诚实信用的原则自愿参加本项目的投标，所提供的一切材料都是真实、有效、合法的；</w:t>
      </w:r>
    </w:p>
    <w:p w14:paraId="2ECB7D1C">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二、不存在投标报价明显低于成本价或高于招标文件设定的最高投标限价，恶意扰乱市场正常秩序；</w:t>
      </w:r>
    </w:p>
    <w:p w14:paraId="3E358BB3">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三、不存在出租（出借）或转让资格、资质证书供他人投标的情况，不借用、挂靠他人资质证书，不存在以他人名义投标或者以其他方式弄虚作假（含不实承诺）骗取中标情形;</w:t>
      </w:r>
    </w:p>
    <w:p w14:paraId="6414248B">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4FA43790">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五、不与招标人、招标代理机构或其他投标人串通投标，损害国家利益、社会公共利益或者他人的合法权益;</w:t>
      </w:r>
    </w:p>
    <w:p w14:paraId="331EF55B">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六、严格遵守开标现场纪律，服从监管人员管理;</w:t>
      </w:r>
    </w:p>
    <w:p w14:paraId="65913766">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以上内容我已仔细阅读，本公司若有违反承诺内容的行为，自愿依法接受取消投标资格、记入信用档案、取消中标资格、没收投标保证金等有关处理，愿意承担法律责任，给招标人造成损失的，依法承担赔偿责任。</w:t>
      </w:r>
    </w:p>
    <w:p w14:paraId="322F26DB">
      <w:pPr>
        <w:widowControl/>
        <w:wordWrap w:val="0"/>
        <w:spacing w:before="0" w:beforeLines="0" w:beforeAutospacing="0" w:after="0" w:afterLines="0" w:afterAutospacing="0" w:line="360" w:lineRule="auto"/>
        <w:jc w:val="right"/>
        <w:rPr>
          <w:rFonts w:hint="eastAsia" w:ascii="宋体" w:hAnsi="宋体" w:eastAsia="宋体" w:cs="宋体"/>
          <w:color w:val="auto"/>
          <w:kern w:val="0"/>
          <w:sz w:val="21"/>
          <w:szCs w:val="21"/>
          <w:highlight w:val="none"/>
          <w:lang w:val="en-US" w:eastAsia="zh-CN" w:bidi="ar-SA"/>
        </w:rPr>
      </w:pPr>
    </w:p>
    <w:p w14:paraId="14F61854">
      <w:pPr>
        <w:widowControl/>
        <w:wordWrap w:val="0"/>
        <w:spacing w:before="0" w:beforeLines="0" w:beforeAutospacing="0" w:after="0" w:afterLines="0" w:afterAutospacing="0" w:line="360" w:lineRule="auto"/>
        <w:ind w:right="640" w:firstLine="2940" w:firstLineChars="14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承 诺 人：（盖单位章）</w:t>
      </w:r>
    </w:p>
    <w:p w14:paraId="2C18CFF1">
      <w:pPr>
        <w:widowControl/>
        <w:wordWrap w:val="0"/>
        <w:spacing w:before="0" w:beforeLines="0" w:beforeAutospacing="0" w:after="0" w:afterLines="0" w:afterAutospacing="0" w:line="360" w:lineRule="auto"/>
        <w:ind w:right="640" w:firstLine="2940" w:firstLineChars="14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联系电话：</w:t>
      </w:r>
    </w:p>
    <w:p w14:paraId="6A828122">
      <w:pPr>
        <w:widowControl/>
        <w:wordWrap w:val="0"/>
        <w:spacing w:before="0" w:beforeLines="0" w:beforeAutospacing="0" w:after="0" w:afterLines="0" w:afterAutospacing="0" w:line="360" w:lineRule="auto"/>
        <w:ind w:right="640" w:firstLine="2940" w:firstLineChars="14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法定代表人或委托代理人：（签字或盖章）</w:t>
      </w:r>
    </w:p>
    <w:p w14:paraId="2368D542">
      <w:pPr>
        <w:widowControl/>
        <w:wordWrap w:val="0"/>
        <w:spacing w:before="0" w:beforeLines="0" w:beforeAutospacing="0" w:after="0" w:afterLines="0" w:afterAutospacing="0" w:line="360" w:lineRule="auto"/>
        <w:ind w:right="64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年  月  日</w:t>
      </w:r>
    </w:p>
    <w:p w14:paraId="04B3158A">
      <w:pPr>
        <w:widowControl/>
        <w:wordWrap w:val="0"/>
        <w:spacing w:before="0" w:beforeLines="0" w:beforeAutospacing="0" w:after="0" w:afterLines="0" w:afterAutospacing="0" w:line="450" w:lineRule="atLeast"/>
        <w:ind w:right="640"/>
        <w:jc w:val="center"/>
        <w:rPr>
          <w:rFonts w:hint="eastAsia" w:ascii="宋体" w:hAnsi="宋体" w:eastAsia="宋体" w:cs="宋体"/>
          <w:color w:val="auto"/>
          <w:kern w:val="0"/>
          <w:sz w:val="24"/>
          <w:szCs w:val="24"/>
          <w:highlight w:val="none"/>
          <w:lang w:val="en-US" w:eastAsia="zh-CN" w:bidi="ar-SA"/>
        </w:rPr>
      </w:pPr>
    </w:p>
    <w:p w14:paraId="448D8633">
      <w:pPr>
        <w:widowControl/>
        <w:wordWrap w:val="0"/>
        <w:spacing w:before="0" w:beforeLines="0" w:beforeAutospacing="0" w:after="0" w:afterLines="0" w:afterAutospacing="0" w:line="450" w:lineRule="atLeast"/>
        <w:ind w:right="640"/>
        <w:jc w:val="center"/>
        <w:rPr>
          <w:rFonts w:hint="eastAsia" w:ascii="宋体" w:hAnsi="宋体" w:eastAsia="宋体" w:cs="宋体"/>
          <w:color w:val="auto"/>
          <w:kern w:val="0"/>
          <w:sz w:val="24"/>
          <w:szCs w:val="24"/>
          <w:highlight w:val="none"/>
          <w:lang w:val="en-US" w:eastAsia="zh-CN" w:bidi="ar-SA"/>
        </w:rPr>
      </w:pPr>
    </w:p>
    <w:p w14:paraId="5524FB2A">
      <w:pPr>
        <w:widowControl/>
        <w:wordWrap/>
        <w:autoSpaceDE/>
        <w:autoSpaceDN/>
        <w:adjustRightInd/>
        <w:spacing w:line="240" w:lineRule="auto"/>
        <w:ind w:right="0" w:rightChars="0"/>
        <w:jc w:val="left"/>
        <w:outlineLvl w:val="9"/>
        <w:rPr>
          <w:rFonts w:hint="eastAsia" w:ascii="宋体" w:hAnsi="宋体" w:eastAsia="宋体" w:cs="宋体"/>
          <w:b/>
          <w:bCs w:val="0"/>
          <w:color w:val="auto"/>
          <w:kern w:val="0"/>
          <w:sz w:val="28"/>
          <w:szCs w:val="28"/>
          <w:highlight w:val="none"/>
        </w:rPr>
      </w:pPr>
      <w:bookmarkStart w:id="2439" w:name="_Toc2639"/>
      <w:bookmarkStart w:id="2440" w:name="_Toc3608"/>
      <w:r>
        <w:rPr>
          <w:rFonts w:hint="eastAsia" w:ascii="宋体" w:hAnsi="宋体" w:eastAsia="宋体" w:cs="宋体"/>
          <w:b/>
          <w:bCs w:val="0"/>
          <w:color w:val="auto"/>
          <w:kern w:val="0"/>
          <w:sz w:val="28"/>
          <w:szCs w:val="28"/>
          <w:highlight w:val="none"/>
        </w:rPr>
        <w:br w:type="page"/>
      </w:r>
    </w:p>
    <w:p w14:paraId="50D65B2B">
      <w:pPr>
        <w:widowControl/>
        <w:wordWrap w:val="0"/>
        <w:autoSpaceDE/>
        <w:autoSpaceDN/>
        <w:adjustRightInd/>
        <w:spacing w:line="360" w:lineRule="auto"/>
        <w:ind w:left="0" w:leftChars="0" w:right="0" w:rightChars="0" w:firstLine="0" w:firstLineChars="0"/>
        <w:jc w:val="center"/>
        <w:outlineLvl w:val="2"/>
        <w:rPr>
          <w:rFonts w:ascii="宋体" w:hAnsi="Times New Roman" w:eastAsia="宋体" w:cs="Times New Roman"/>
          <w:b/>
          <w:color w:val="auto"/>
          <w:kern w:val="0"/>
          <w:sz w:val="28"/>
          <w:szCs w:val="22"/>
          <w:highlight w:val="none"/>
          <w:lang w:val="en-US" w:eastAsia="zh-CN" w:bidi="ar-SA"/>
        </w:rPr>
      </w:pPr>
      <w:r>
        <w:rPr>
          <w:rFonts w:hint="eastAsia" w:ascii="宋体" w:hAnsi="宋体" w:eastAsia="宋体" w:cs="宋体"/>
          <w:b/>
          <w:bCs w:val="0"/>
          <w:color w:val="auto"/>
          <w:kern w:val="0"/>
          <w:sz w:val="24"/>
          <w:szCs w:val="24"/>
          <w:highlight w:val="none"/>
        </w:rPr>
        <w:t>（二）不拖欠农民工工资承诺书</w:t>
      </w:r>
      <w:bookmarkEnd w:id="2439"/>
      <w:bookmarkEnd w:id="2440"/>
    </w:p>
    <w:p w14:paraId="18E1F021">
      <w:pPr>
        <w:keepNext w:val="0"/>
        <w:keepLines w:val="0"/>
        <w:pageBreakBefore w:val="0"/>
        <w:widowControl w:val="0"/>
        <w:kinsoku/>
        <w:overflowPunct/>
        <w:topLinePunct w:val="0"/>
        <w:autoSpaceDE/>
        <w:autoSpaceDN/>
        <w:bidi w:val="0"/>
        <w:adjustRightInd/>
        <w:snapToGrid/>
        <w:spacing w:beforeLines="0" w:beforeAutospacing="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w:t>
      </w:r>
    </w:p>
    <w:p w14:paraId="02A3B565">
      <w:pPr>
        <w:keepNext w:val="0"/>
        <w:keepLines w:val="0"/>
        <w:pageBreakBefore w:val="0"/>
        <w:widowControl w:val="0"/>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为了保证农民工的合法权益，保障农民工工资，我公司郑重承诺：我公司在</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施工过程中，保证按照国家、省、市、区相关文件的要求交纳农民工工资保障金，同时在工程实施中不拖欠农民工工资，保证按时发放。</w:t>
      </w:r>
    </w:p>
    <w:p w14:paraId="4FA61E9C">
      <w:pPr>
        <w:keepNext w:val="0"/>
        <w:keepLines w:val="0"/>
        <w:pageBreakBefore w:val="0"/>
        <w:widowControl w:val="0"/>
        <w:kinsoku/>
        <w:overflowPunct/>
        <w:topLinePunct w:val="0"/>
        <w:autoSpaceDE/>
        <w:autoSpaceDN/>
        <w:bidi w:val="0"/>
        <w:adjustRightInd/>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我公司若有违反合同约定中农民工工资支付相关条款及承诺书的行为，全部责任由我公司承担。如果发生违反规定拖欠或克扣农民工工资行为造成工人上访，本公司愿意接受相关部门依照有关规定作出的处罚和决定。</w:t>
      </w:r>
    </w:p>
    <w:p w14:paraId="0DBBAFE8">
      <w:pPr>
        <w:widowControl/>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特此承诺。</w:t>
      </w:r>
    </w:p>
    <w:p w14:paraId="096D8973">
      <w:pPr>
        <w:widowControl/>
        <w:spacing w:before="100" w:beforeLines="0" w:beforeAutospacing="1" w:after="100" w:afterLines="0" w:afterAutospacing="1" w:line="700" w:lineRule="exact"/>
        <w:ind w:firstLine="480" w:firstLineChars="200"/>
        <w:jc w:val="left"/>
        <w:rPr>
          <w:rFonts w:hint="eastAsia" w:ascii="宋体" w:hAnsi="宋体" w:eastAsia="宋体" w:cs="宋体"/>
          <w:color w:val="auto"/>
          <w:kern w:val="0"/>
          <w:sz w:val="24"/>
          <w:szCs w:val="28"/>
          <w:highlight w:val="none"/>
          <w:lang w:val="en-US" w:eastAsia="zh-CN" w:bidi="ar-SA"/>
        </w:rPr>
      </w:pPr>
    </w:p>
    <w:p w14:paraId="7B44FFA6">
      <w:pPr>
        <w:widowControl/>
        <w:spacing w:before="100" w:beforeLines="0" w:beforeAutospacing="1" w:after="100" w:afterLines="0" w:afterAutospacing="1" w:line="700" w:lineRule="exact"/>
        <w:ind w:firstLine="480" w:firstLineChars="200"/>
        <w:jc w:val="left"/>
        <w:rPr>
          <w:rFonts w:hint="eastAsia" w:ascii="宋体" w:hAnsi="宋体" w:eastAsia="宋体" w:cs="宋体"/>
          <w:color w:val="auto"/>
          <w:kern w:val="0"/>
          <w:sz w:val="24"/>
          <w:szCs w:val="28"/>
          <w:highlight w:val="none"/>
          <w:lang w:val="en-US" w:eastAsia="zh-CN" w:bidi="ar-SA"/>
        </w:rPr>
      </w:pPr>
    </w:p>
    <w:p w14:paraId="43B5B1AE">
      <w:pPr>
        <w:widowControl/>
        <w:spacing w:before="100" w:beforeLines="0" w:beforeAutospacing="1" w:after="100" w:afterLines="0" w:afterAutospacing="1" w:line="450" w:lineRule="atLeast"/>
        <w:ind w:firstLine="630" w:firstLineChars="300"/>
        <w:jc w:val="left"/>
        <w:rPr>
          <w:rFonts w:hint="eastAsia" w:ascii="宋体" w:hAnsi="宋体" w:eastAsia="宋体" w:cs="Times New Roman"/>
          <w:color w:val="auto"/>
          <w:kern w:val="0"/>
          <w:sz w:val="21"/>
          <w:szCs w:val="16"/>
          <w:highlight w:val="none"/>
          <w:lang w:val="en-US" w:eastAsia="zh-CN" w:bidi="ar-SA"/>
        </w:rPr>
      </w:pPr>
      <w:r>
        <w:rPr>
          <w:rFonts w:hint="eastAsia" w:ascii="宋体" w:hAnsi="宋体" w:eastAsia="宋体" w:cs="Times New Roman"/>
          <w:color w:val="auto"/>
          <w:kern w:val="0"/>
          <w:sz w:val="21"/>
          <w:szCs w:val="16"/>
          <w:highlight w:val="none"/>
          <w:lang w:val="en-US" w:eastAsia="zh-CN" w:bidi="ar-SA"/>
        </w:rPr>
        <w:t>承诺人：</w:t>
      </w:r>
      <w:r>
        <w:rPr>
          <w:rFonts w:hint="eastAsia" w:ascii="宋体" w:hAnsi="宋体" w:eastAsia="宋体" w:cs="Times New Roman"/>
          <w:color w:val="auto"/>
          <w:kern w:val="0"/>
          <w:sz w:val="21"/>
          <w:szCs w:val="16"/>
          <w:highlight w:val="none"/>
          <w:u w:val="single"/>
          <w:lang w:val="en-US" w:eastAsia="zh-CN" w:bidi="ar-SA"/>
        </w:rPr>
        <w:t xml:space="preserve">                         </w:t>
      </w:r>
      <w:r>
        <w:rPr>
          <w:rFonts w:hint="eastAsia" w:ascii="宋体" w:hAnsi="宋体" w:eastAsia="宋体" w:cs="Times New Roman"/>
          <w:color w:val="auto"/>
          <w:kern w:val="0"/>
          <w:sz w:val="21"/>
          <w:szCs w:val="16"/>
          <w:highlight w:val="none"/>
          <w:lang w:val="en-US" w:eastAsia="zh-CN" w:bidi="ar-SA"/>
        </w:rPr>
        <w:t>（</w:t>
      </w:r>
      <w:r>
        <w:rPr>
          <w:rFonts w:hint="eastAsia" w:ascii="宋体" w:hAnsi="宋体" w:eastAsia="宋体" w:cs="宋体"/>
          <w:color w:val="auto"/>
          <w:kern w:val="0"/>
          <w:sz w:val="21"/>
          <w:szCs w:val="21"/>
          <w:highlight w:val="none"/>
          <w:lang w:val="en-US" w:eastAsia="zh-CN" w:bidi="ar-SA"/>
        </w:rPr>
        <w:t>盖单位章</w:t>
      </w:r>
      <w:r>
        <w:rPr>
          <w:rFonts w:hint="eastAsia" w:ascii="宋体" w:hAnsi="宋体" w:eastAsia="宋体" w:cs="Times New Roman"/>
          <w:color w:val="auto"/>
          <w:kern w:val="0"/>
          <w:sz w:val="21"/>
          <w:szCs w:val="16"/>
          <w:highlight w:val="none"/>
          <w:lang w:val="en-US" w:eastAsia="zh-CN" w:bidi="ar-SA"/>
        </w:rPr>
        <w:t>）</w:t>
      </w:r>
    </w:p>
    <w:p w14:paraId="01FE91FF">
      <w:pPr>
        <w:widowControl/>
        <w:spacing w:before="100" w:beforeLines="0" w:beforeAutospacing="1" w:after="100" w:afterLines="0" w:afterAutospacing="1" w:line="450" w:lineRule="atLeast"/>
        <w:ind w:firstLine="630" w:firstLineChars="300"/>
        <w:jc w:val="left"/>
        <w:rPr>
          <w:rFonts w:hint="eastAsia" w:ascii="宋体" w:hAnsi="宋体" w:eastAsia="宋体" w:cs="Times New Roman"/>
          <w:color w:val="auto"/>
          <w:kern w:val="0"/>
          <w:sz w:val="21"/>
          <w:szCs w:val="16"/>
          <w:highlight w:val="none"/>
          <w:u w:val="single"/>
          <w:lang w:val="en-US" w:eastAsia="zh-CN" w:bidi="ar-SA"/>
        </w:rPr>
      </w:pPr>
      <w:r>
        <w:rPr>
          <w:rFonts w:hint="eastAsia" w:ascii="宋体" w:hAnsi="宋体" w:eastAsia="宋体" w:cs="宋体"/>
          <w:color w:val="auto"/>
          <w:kern w:val="0"/>
          <w:sz w:val="21"/>
          <w:szCs w:val="21"/>
          <w:highlight w:val="none"/>
          <w:lang w:val="en-US" w:eastAsia="zh-CN" w:bidi="ar-SA"/>
        </w:rPr>
        <w:t>法定代表人或委托代理人：</w:t>
      </w:r>
      <w:r>
        <w:rPr>
          <w:rFonts w:hint="eastAsia" w:ascii="宋体" w:hAnsi="宋体" w:eastAsia="宋体" w:cs="Times New Roman"/>
          <w:color w:val="auto"/>
          <w:kern w:val="0"/>
          <w:sz w:val="21"/>
          <w:szCs w:val="16"/>
          <w:highlight w:val="none"/>
          <w:lang w:val="en-US" w:eastAsia="zh-CN" w:bidi="ar-SA"/>
        </w:rPr>
        <w:t>（签字或盖章）：</w:t>
      </w:r>
      <w:r>
        <w:rPr>
          <w:rFonts w:hint="eastAsia" w:ascii="宋体" w:hAnsi="宋体" w:eastAsia="宋体" w:cs="Times New Roman"/>
          <w:color w:val="auto"/>
          <w:kern w:val="0"/>
          <w:sz w:val="21"/>
          <w:szCs w:val="16"/>
          <w:highlight w:val="none"/>
          <w:u w:val="single"/>
          <w:lang w:val="en-US" w:eastAsia="zh-CN" w:bidi="ar-SA"/>
        </w:rPr>
        <w:t xml:space="preserve">                 </w:t>
      </w:r>
    </w:p>
    <w:p w14:paraId="48D1ABCB">
      <w:pPr>
        <w:widowControl/>
        <w:spacing w:before="100" w:beforeLines="0" w:beforeAutospacing="1" w:after="100" w:afterLines="0" w:afterAutospacing="1" w:line="450" w:lineRule="atLeast"/>
        <w:ind w:firstLine="630" w:firstLineChars="300"/>
        <w:jc w:val="left"/>
        <w:rPr>
          <w:rFonts w:hint="eastAsia" w:ascii="宋体" w:hAnsi="宋体" w:eastAsia="宋体" w:cs="Times New Roman"/>
          <w:color w:val="auto"/>
          <w:kern w:val="0"/>
          <w:sz w:val="21"/>
          <w:szCs w:val="16"/>
          <w:highlight w:val="none"/>
          <w:lang w:val="en-US" w:eastAsia="zh-CN" w:bidi="ar-SA"/>
        </w:rPr>
      </w:pPr>
      <w:r>
        <w:rPr>
          <w:rFonts w:hint="eastAsia" w:ascii="宋体" w:hAnsi="宋体" w:eastAsia="宋体" w:cs="Times New Roman"/>
          <w:color w:val="auto"/>
          <w:kern w:val="0"/>
          <w:sz w:val="21"/>
          <w:szCs w:val="16"/>
          <w:highlight w:val="none"/>
          <w:lang w:val="en-US" w:eastAsia="zh-CN" w:bidi="ar-SA"/>
        </w:rPr>
        <w:t>日期：</w:t>
      </w:r>
      <w:r>
        <w:rPr>
          <w:rFonts w:hint="eastAsia" w:ascii="宋体" w:hAnsi="宋体" w:eastAsia="宋体" w:cs="Times New Roman"/>
          <w:color w:val="auto"/>
          <w:kern w:val="0"/>
          <w:sz w:val="21"/>
          <w:szCs w:val="16"/>
          <w:highlight w:val="none"/>
          <w:u w:val="single"/>
          <w:lang w:val="en-US" w:eastAsia="zh-CN" w:bidi="ar-SA"/>
        </w:rPr>
        <w:t xml:space="preserve">      </w:t>
      </w:r>
      <w:r>
        <w:rPr>
          <w:rFonts w:hint="eastAsia" w:ascii="宋体" w:hAnsi="宋体" w:eastAsia="宋体" w:cs="Times New Roman"/>
          <w:color w:val="auto"/>
          <w:kern w:val="0"/>
          <w:sz w:val="21"/>
          <w:szCs w:val="16"/>
          <w:highlight w:val="none"/>
          <w:lang w:val="en-US" w:eastAsia="zh-CN" w:bidi="ar-SA"/>
        </w:rPr>
        <w:t xml:space="preserve">年 </w:t>
      </w:r>
      <w:r>
        <w:rPr>
          <w:rFonts w:hint="eastAsia" w:ascii="宋体" w:hAnsi="宋体" w:eastAsia="宋体" w:cs="Times New Roman"/>
          <w:color w:val="auto"/>
          <w:kern w:val="0"/>
          <w:sz w:val="21"/>
          <w:szCs w:val="16"/>
          <w:highlight w:val="none"/>
          <w:u w:val="single"/>
          <w:lang w:val="en-US" w:eastAsia="zh-CN" w:bidi="ar-SA"/>
        </w:rPr>
        <w:t xml:space="preserve">      </w:t>
      </w:r>
      <w:r>
        <w:rPr>
          <w:rFonts w:hint="eastAsia" w:ascii="宋体" w:hAnsi="宋体" w:eastAsia="宋体" w:cs="Times New Roman"/>
          <w:color w:val="auto"/>
          <w:kern w:val="0"/>
          <w:sz w:val="21"/>
          <w:szCs w:val="16"/>
          <w:highlight w:val="none"/>
          <w:lang w:val="en-US" w:eastAsia="zh-CN" w:bidi="ar-SA"/>
        </w:rPr>
        <w:t>月</w:t>
      </w:r>
      <w:r>
        <w:rPr>
          <w:rFonts w:hint="eastAsia" w:ascii="宋体" w:hAnsi="宋体" w:eastAsia="宋体" w:cs="Times New Roman"/>
          <w:color w:val="auto"/>
          <w:kern w:val="0"/>
          <w:sz w:val="21"/>
          <w:szCs w:val="16"/>
          <w:highlight w:val="none"/>
          <w:u w:val="single"/>
          <w:lang w:val="en-US" w:eastAsia="zh-CN" w:bidi="ar-SA"/>
        </w:rPr>
        <w:t xml:space="preserve">      </w:t>
      </w:r>
      <w:r>
        <w:rPr>
          <w:rFonts w:hint="eastAsia" w:ascii="宋体" w:hAnsi="宋体" w:eastAsia="宋体" w:cs="Times New Roman"/>
          <w:color w:val="auto"/>
          <w:kern w:val="0"/>
          <w:sz w:val="21"/>
          <w:szCs w:val="16"/>
          <w:highlight w:val="none"/>
          <w:lang w:val="en-US" w:eastAsia="zh-CN" w:bidi="ar-SA"/>
        </w:rPr>
        <w:t>日</w:t>
      </w:r>
    </w:p>
    <w:p w14:paraId="69EFB575">
      <w:pPr>
        <w:widowControl w:val="0"/>
        <w:autoSpaceDE w:val="0"/>
        <w:autoSpaceDN w:val="0"/>
        <w:adjustRightInd w:val="0"/>
        <w:spacing w:line="400" w:lineRule="exact"/>
        <w:ind w:right="-34" w:rightChars="-16"/>
        <w:jc w:val="both"/>
        <w:rPr>
          <w:rFonts w:hint="eastAsia" w:ascii="黑体" w:hAnsi="黑体" w:eastAsia="黑体" w:cs="Times New Roman"/>
          <w:b/>
          <w:color w:val="auto"/>
          <w:kern w:val="0"/>
          <w:sz w:val="30"/>
          <w:szCs w:val="30"/>
          <w:highlight w:val="none"/>
        </w:rPr>
      </w:pPr>
    </w:p>
    <w:p w14:paraId="34B72EA4">
      <w:pPr>
        <w:widowControl w:val="0"/>
        <w:autoSpaceDE w:val="0"/>
        <w:autoSpaceDN w:val="0"/>
        <w:adjustRightInd w:val="0"/>
        <w:spacing w:line="400" w:lineRule="exact"/>
        <w:ind w:right="-34" w:rightChars="-16"/>
        <w:jc w:val="both"/>
        <w:rPr>
          <w:rFonts w:hint="eastAsia" w:ascii="黑体" w:hAnsi="黑体" w:eastAsia="黑体" w:cs="Times New Roman"/>
          <w:b/>
          <w:color w:val="auto"/>
          <w:kern w:val="0"/>
          <w:sz w:val="30"/>
          <w:szCs w:val="30"/>
          <w:highlight w:val="none"/>
        </w:rPr>
      </w:pPr>
    </w:p>
    <w:p w14:paraId="0E08925A">
      <w:pPr>
        <w:widowControl w:val="0"/>
        <w:spacing w:after="120" w:afterLines="0" w:afterAutospacing="0" w:line="240" w:lineRule="auto"/>
        <w:ind w:left="420" w:leftChars="200" w:firstLine="602" w:firstLineChars="200"/>
        <w:jc w:val="both"/>
        <w:rPr>
          <w:rFonts w:hint="eastAsia" w:ascii="黑体" w:hAnsi="黑体" w:eastAsia="黑体" w:cs="Times New Roman"/>
          <w:b/>
          <w:color w:val="auto"/>
          <w:kern w:val="0"/>
          <w:sz w:val="30"/>
          <w:szCs w:val="30"/>
          <w:highlight w:val="none"/>
          <w:lang w:val="en-US" w:eastAsia="zh-CN" w:bidi="ar-SA"/>
        </w:rPr>
      </w:pPr>
    </w:p>
    <w:p w14:paraId="0866FDD3">
      <w:pPr>
        <w:widowControl w:val="0"/>
        <w:spacing w:after="120" w:line="320" w:lineRule="atLeast"/>
        <w:ind w:firstLine="602" w:firstLineChars="200"/>
        <w:jc w:val="both"/>
        <w:rPr>
          <w:rFonts w:hint="eastAsia" w:ascii="黑体" w:hAnsi="黑体" w:eastAsia="黑体" w:cs="Times New Roman"/>
          <w:b/>
          <w:color w:val="auto"/>
          <w:kern w:val="0"/>
          <w:sz w:val="30"/>
          <w:szCs w:val="30"/>
          <w:highlight w:val="none"/>
          <w:lang w:val="en-US" w:eastAsia="zh-CN" w:bidi="ar-SA"/>
        </w:rPr>
      </w:pPr>
    </w:p>
    <w:p w14:paraId="26BF2B33">
      <w:pPr>
        <w:widowControl w:val="0"/>
        <w:jc w:val="both"/>
        <w:rPr>
          <w:rFonts w:hint="eastAsia" w:ascii="黑体" w:hAnsi="黑体" w:eastAsia="黑体" w:cs="Times New Roman"/>
          <w:b/>
          <w:color w:val="auto"/>
          <w:kern w:val="0"/>
          <w:sz w:val="30"/>
          <w:szCs w:val="30"/>
          <w:highlight w:val="none"/>
        </w:rPr>
      </w:pPr>
    </w:p>
    <w:p w14:paraId="5DEB2A71">
      <w:pPr>
        <w:widowControl w:val="0"/>
        <w:jc w:val="both"/>
        <w:rPr>
          <w:rFonts w:hint="eastAsia" w:ascii="黑体" w:hAnsi="黑体" w:eastAsia="黑体" w:cs="Times New Roman"/>
          <w:b/>
          <w:color w:val="auto"/>
          <w:kern w:val="0"/>
          <w:sz w:val="30"/>
          <w:szCs w:val="30"/>
          <w:highlight w:val="none"/>
        </w:rPr>
      </w:pPr>
    </w:p>
    <w:p w14:paraId="3DE32A78">
      <w:pPr>
        <w:widowControl w:val="0"/>
        <w:jc w:val="both"/>
        <w:rPr>
          <w:rFonts w:hint="eastAsia" w:ascii="黑体" w:hAnsi="黑体" w:eastAsia="黑体" w:cs="Times New Roman"/>
          <w:b/>
          <w:color w:val="auto"/>
          <w:kern w:val="0"/>
          <w:sz w:val="30"/>
          <w:szCs w:val="30"/>
          <w:highlight w:val="none"/>
        </w:rPr>
      </w:pPr>
    </w:p>
    <w:p w14:paraId="73D0CE9F">
      <w:pPr>
        <w:widowControl w:val="0"/>
        <w:autoSpaceDE w:val="0"/>
        <w:autoSpaceDN w:val="0"/>
        <w:adjustRightInd w:val="0"/>
        <w:spacing w:line="400" w:lineRule="exact"/>
        <w:ind w:right="-34" w:rightChars="-16"/>
        <w:jc w:val="both"/>
        <w:rPr>
          <w:rFonts w:hint="eastAsia" w:ascii="黑体" w:hAnsi="黑体" w:eastAsia="黑体" w:cs="Times New Roman"/>
          <w:b/>
          <w:color w:val="auto"/>
          <w:kern w:val="0"/>
          <w:sz w:val="30"/>
          <w:szCs w:val="30"/>
          <w:highlight w:val="none"/>
        </w:rPr>
      </w:pPr>
    </w:p>
    <w:p w14:paraId="1317DFB9">
      <w:pPr>
        <w:keepNext/>
        <w:keepLines/>
        <w:widowControl w:val="0"/>
        <w:spacing w:before="260" w:beforeLines="0" w:beforeAutospacing="0" w:after="260" w:afterLines="0" w:afterAutospacing="0" w:line="240" w:lineRule="auto"/>
        <w:jc w:val="left"/>
        <w:outlineLvl w:val="9"/>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br w:type="page"/>
      </w:r>
    </w:p>
    <w:p w14:paraId="78A97615">
      <w:pPr>
        <w:keepNext/>
        <w:keepLines/>
        <w:widowControl w:val="0"/>
        <w:spacing w:before="0" w:beforeLines="0" w:beforeAutospacing="0" w:after="0" w:afterLines="0" w:afterAutospacing="0" w:line="360" w:lineRule="auto"/>
        <w:jc w:val="center"/>
        <w:outlineLvl w:val="2"/>
        <w:rPr>
          <w:rFonts w:hint="eastAsia" w:ascii="Times New Roman" w:hAnsi="Times New Roman" w:eastAsia="宋体" w:cs="Times New Roman"/>
          <w:b/>
          <w:bCs w:val="0"/>
          <w:color w:val="auto"/>
          <w:kern w:val="2"/>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（三）</w:t>
      </w:r>
      <w:bookmarkStart w:id="2441" w:name="_Toc9565"/>
      <w:bookmarkStart w:id="2442" w:name="_Toc22769"/>
      <w:bookmarkStart w:id="2443" w:name="_Toc5693"/>
      <w:r>
        <w:rPr>
          <w:rFonts w:hint="eastAsia" w:ascii="宋体" w:hAnsi="宋体" w:eastAsia="宋体" w:cs="宋体"/>
          <w:b/>
          <w:bCs w:val="0"/>
          <w:color w:val="auto"/>
          <w:kern w:val="2"/>
          <w:sz w:val="24"/>
          <w:szCs w:val="24"/>
          <w:highlight w:val="none"/>
          <w:lang w:val="en-US" w:eastAsia="zh-CN" w:bidi="ar-SA"/>
        </w:rPr>
        <w:t>反商业贿赂承诺书</w:t>
      </w:r>
      <w:bookmarkEnd w:id="2441"/>
      <w:bookmarkEnd w:id="2442"/>
      <w:bookmarkEnd w:id="2443"/>
    </w:p>
    <w:p w14:paraId="6B7BC25E">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w:t>
      </w:r>
    </w:p>
    <w:p w14:paraId="05FA1740">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我公司承诺：</w:t>
      </w:r>
      <w:bookmarkStart w:id="2444" w:name="_Toc267581298"/>
      <w:bookmarkEnd w:id="2444"/>
      <w:bookmarkStart w:id="2445" w:name="_Toc301454138"/>
      <w:bookmarkEnd w:id="2445"/>
      <w:bookmarkStart w:id="2446" w:name="_Toc6171"/>
      <w:bookmarkEnd w:id="2446"/>
      <w:bookmarkStart w:id="2447" w:name="_Toc267581738"/>
      <w:bookmarkEnd w:id="2447"/>
      <w:r>
        <w:rPr>
          <w:rFonts w:hint="eastAsia" w:ascii="Times New Roman" w:hAnsi="Times New Roman" w:eastAsia="宋体" w:cs="Times New Roman"/>
          <w:color w:val="auto"/>
          <w:kern w:val="1"/>
          <w:szCs w:val="21"/>
          <w:highlight w:val="none"/>
        </w:rPr>
        <w:t>在</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招标活动中，保证做到：</w:t>
      </w:r>
    </w:p>
    <w:p w14:paraId="30E3ACF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2448" w:name="_Toc267581299"/>
      <w:bookmarkEnd w:id="2448"/>
      <w:bookmarkStart w:id="2449" w:name="_Toc267581739"/>
      <w:bookmarkEnd w:id="2449"/>
      <w:bookmarkStart w:id="2450" w:name="_Toc301454139"/>
      <w:bookmarkEnd w:id="2450"/>
      <w:bookmarkStart w:id="2451" w:name="_Toc28518"/>
      <w:bookmarkEnd w:id="2451"/>
      <w:r>
        <w:rPr>
          <w:rFonts w:hint="eastAsia" w:ascii="Times New Roman" w:hAnsi="Times New Roman" w:eastAsia="宋体" w:cs="Times New Roman"/>
          <w:color w:val="auto"/>
          <w:kern w:val="1"/>
          <w:szCs w:val="21"/>
          <w:highlight w:val="none"/>
        </w:rPr>
        <w:t>一、公平竞争参加本次招标活动。</w:t>
      </w:r>
    </w:p>
    <w:p w14:paraId="0E7489C4">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2452" w:name="_Toc301454140"/>
      <w:bookmarkEnd w:id="2452"/>
      <w:bookmarkStart w:id="2453" w:name="_Toc28474"/>
      <w:bookmarkEnd w:id="2453"/>
      <w:bookmarkStart w:id="2454" w:name="_Toc267581300"/>
      <w:bookmarkEnd w:id="2454"/>
      <w:bookmarkStart w:id="2455" w:name="_Toc267581740"/>
      <w:bookmarkEnd w:id="2455"/>
      <w:r>
        <w:rPr>
          <w:rFonts w:hint="eastAsia" w:ascii="Times New Roman" w:hAnsi="Times New Roman" w:eastAsia="宋体" w:cs="Times New Roman"/>
          <w:color w:val="auto"/>
          <w:kern w:val="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5A6F4B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2456" w:name="_Toc267581741"/>
      <w:bookmarkEnd w:id="2456"/>
      <w:bookmarkStart w:id="2457" w:name="_Toc301454141"/>
      <w:bookmarkEnd w:id="2457"/>
      <w:bookmarkStart w:id="2458" w:name="_Toc267581301"/>
      <w:bookmarkEnd w:id="2458"/>
      <w:bookmarkStart w:id="2459" w:name="_Toc29331"/>
      <w:bookmarkEnd w:id="2459"/>
      <w:r>
        <w:rPr>
          <w:rFonts w:hint="eastAsia" w:ascii="Times New Roman" w:hAnsi="Times New Roman" w:eastAsia="宋体" w:cs="Times New Roman"/>
          <w:color w:val="auto"/>
          <w:kern w:val="1"/>
          <w:szCs w:val="21"/>
          <w:highlight w:val="none"/>
        </w:rPr>
        <w:t>三、若出现上述行为，我公司及参与投标的工作人员愿意接受按照国家法律法规等有关规定给予的处罚。</w:t>
      </w:r>
    </w:p>
    <w:p w14:paraId="04F832A2">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074BE265">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D79C274">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C7F5F86">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333AED7F">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2460" w:name="_Toc301454142"/>
      <w:bookmarkEnd w:id="2460"/>
      <w:bookmarkStart w:id="2461" w:name="_Toc267581303"/>
      <w:bookmarkEnd w:id="2461"/>
      <w:bookmarkStart w:id="2462" w:name="_Toc267581742"/>
      <w:bookmarkEnd w:id="2462"/>
      <w:bookmarkStart w:id="2463" w:name="_Toc267581302"/>
      <w:bookmarkEnd w:id="2463"/>
      <w:bookmarkStart w:id="2464" w:name="_Toc267581743"/>
      <w:bookmarkEnd w:id="2464"/>
      <w:bookmarkStart w:id="2465" w:name="_Toc25660"/>
      <w:bookmarkEnd w:id="2465"/>
      <w:r>
        <w:rPr>
          <w:rFonts w:hint="eastAsia" w:ascii="Times New Roman" w:hAnsi="Times New Roman" w:eastAsia="宋体" w:cs="Times New Roman"/>
          <w:color w:val="auto"/>
          <w:kern w:val="1"/>
          <w:szCs w:val="21"/>
          <w:highlight w:val="none"/>
        </w:rPr>
        <w:t>投标人：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宋体" w:hAnsi="宋体" w:eastAsia="宋体" w:cs="宋体"/>
          <w:color w:val="auto"/>
          <w:kern w:val="0"/>
          <w:sz w:val="21"/>
          <w:szCs w:val="21"/>
          <w:highlight w:val="none"/>
        </w:rPr>
        <w:t>盖单位章</w:t>
      </w:r>
      <w:r>
        <w:rPr>
          <w:rFonts w:hint="eastAsia" w:ascii="Times New Roman" w:hAnsi="Times New Roman" w:eastAsia="宋体" w:cs="Times New Roman"/>
          <w:color w:val="auto"/>
          <w:kern w:val="1"/>
          <w:szCs w:val="21"/>
          <w:highlight w:val="none"/>
        </w:rPr>
        <w:t>）</w:t>
      </w:r>
    </w:p>
    <w:p w14:paraId="6C9E14F8">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2466" w:name="_Toc301454143"/>
      <w:bookmarkEnd w:id="2466"/>
      <w:bookmarkStart w:id="2467" w:name="_Toc20368"/>
      <w:bookmarkEnd w:id="2467"/>
      <w:r>
        <w:rPr>
          <w:rFonts w:hint="eastAsia" w:ascii="Times New Roman" w:hAnsi="Times New Roman" w:eastAsia="宋体" w:cs="Times New Roman"/>
          <w:color w:val="auto"/>
          <w:kern w:val="1"/>
          <w:szCs w:val="21"/>
          <w:highlight w:val="none"/>
        </w:rPr>
        <w:t>法定代表人</w:t>
      </w:r>
      <w:r>
        <w:rPr>
          <w:rFonts w:hint="eastAsia" w:ascii="宋体" w:hAnsi="宋体" w:eastAsia="宋体" w:cs="宋体"/>
          <w:color w:val="auto"/>
          <w:kern w:val="1"/>
          <w:sz w:val="21"/>
          <w:szCs w:val="21"/>
          <w:highlight w:val="none"/>
          <w:lang w:val="en-US" w:eastAsia="zh-CN"/>
        </w:rPr>
        <w:t>或</w:t>
      </w:r>
      <w:r>
        <w:rPr>
          <w:rFonts w:hint="eastAsia" w:ascii="Times New Roman" w:hAnsi="Times New Roman" w:eastAsia="宋体" w:cs="Times New Roman"/>
          <w:color w:val="auto"/>
          <w:kern w:val="1"/>
          <w:szCs w:val="21"/>
          <w:highlight w:val="none"/>
        </w:rPr>
        <w:t>委托</w:t>
      </w:r>
      <w:r>
        <w:rPr>
          <w:rFonts w:hint="eastAsia" w:ascii="Times New Roman" w:hAnsi="Times New Roman" w:eastAsia="宋体" w:cs="Times New Roman"/>
          <w:color w:val="auto"/>
          <w:kern w:val="1"/>
          <w:szCs w:val="21"/>
          <w:highlight w:val="none"/>
          <w:lang w:val="en-US" w:eastAsia="zh-CN"/>
        </w:rPr>
        <w:t>代理</w:t>
      </w:r>
      <w:r>
        <w:rPr>
          <w:rFonts w:hint="eastAsia" w:ascii="Times New Roman" w:hAnsi="Times New Roman" w:eastAsia="宋体" w:cs="Times New Roman"/>
          <w:color w:val="auto"/>
          <w:kern w:val="1"/>
          <w:szCs w:val="21"/>
          <w:highlight w:val="none"/>
        </w:rPr>
        <w:t>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Times New Roman" w:hAnsi="Times New Roman" w:eastAsia="宋体" w:cs="Times New Roman"/>
          <w:color w:val="auto"/>
          <w:szCs w:val="21"/>
          <w:highlight w:val="none"/>
        </w:rPr>
        <w:t>签字</w:t>
      </w:r>
      <w:r>
        <w:rPr>
          <w:rFonts w:hint="eastAsia" w:ascii="Times New Roman" w:hAnsi="Times New Roman" w:eastAsia="宋体" w:cs="Times New Roman"/>
          <w:color w:val="auto"/>
          <w:szCs w:val="21"/>
          <w:highlight w:val="none"/>
          <w:lang w:val="en-US" w:eastAsia="zh-CN"/>
        </w:rPr>
        <w:t>或</w:t>
      </w:r>
      <w:r>
        <w:rPr>
          <w:rFonts w:hint="eastAsia" w:ascii="Times New Roman" w:hAnsi="Times New Roman" w:eastAsia="宋体" w:cs="Times New Roman"/>
          <w:color w:val="auto"/>
          <w:szCs w:val="21"/>
          <w:highlight w:val="none"/>
        </w:rPr>
        <w:t>盖章</w:t>
      </w:r>
      <w:r>
        <w:rPr>
          <w:rFonts w:hint="eastAsia" w:ascii="Times New Roman" w:hAnsi="Times New Roman" w:eastAsia="宋体" w:cs="Times New Roman"/>
          <w:color w:val="auto"/>
          <w:kern w:val="1"/>
          <w:szCs w:val="21"/>
          <w:highlight w:val="none"/>
        </w:rPr>
        <w:t>）</w:t>
      </w:r>
    </w:p>
    <w:p w14:paraId="72EAEB0E">
      <w:pPr>
        <w:widowControl w:val="0"/>
        <w:spacing w:line="360" w:lineRule="auto"/>
        <w:ind w:firstLine="2520"/>
        <w:jc w:val="both"/>
        <w:rPr>
          <w:rFonts w:hint="eastAsia" w:ascii="Times New Roman" w:hAnsi="Times New Roman" w:eastAsia="宋体" w:cs="Times New Roman"/>
          <w:color w:val="auto"/>
          <w:kern w:val="1"/>
          <w:szCs w:val="21"/>
          <w:highlight w:val="none"/>
        </w:rPr>
      </w:pPr>
    </w:p>
    <w:p w14:paraId="55D4985D">
      <w:pPr>
        <w:widowControl w:val="0"/>
        <w:spacing w:line="360" w:lineRule="auto"/>
        <w:ind w:firstLine="2520"/>
        <w:jc w:val="right"/>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u w:val="single"/>
        </w:rPr>
        <w:t xml:space="preserve">          </w:t>
      </w:r>
      <w:bookmarkStart w:id="2468" w:name="_Toc267581744"/>
      <w:bookmarkEnd w:id="2468"/>
      <w:bookmarkStart w:id="2469" w:name="_Toc29275"/>
      <w:bookmarkEnd w:id="2469"/>
      <w:bookmarkStart w:id="2470" w:name="_Toc267581304"/>
      <w:bookmarkEnd w:id="2470"/>
      <w:bookmarkStart w:id="2471" w:name="_Toc301454144"/>
      <w:bookmarkEnd w:id="2471"/>
      <w:r>
        <w:rPr>
          <w:rFonts w:hint="eastAsia" w:ascii="Times New Roman" w:hAnsi="Times New Roman" w:eastAsia="宋体" w:cs="Times New Roman"/>
          <w:color w:val="auto"/>
          <w:kern w:val="1"/>
          <w:szCs w:val="21"/>
          <w:highlight w:val="none"/>
        </w:rPr>
        <w:t>年</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月</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日</w:t>
      </w:r>
    </w:p>
    <w:p w14:paraId="47FD771F">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10941EB7">
      <w:pPr>
        <w:widowControl w:val="0"/>
        <w:jc w:val="both"/>
        <w:rPr>
          <w:rFonts w:hint="eastAsia" w:ascii="黑体" w:hAnsi="黑体" w:eastAsia="黑体" w:cs="Times New Roman"/>
          <w:b/>
          <w:color w:val="auto"/>
          <w:kern w:val="0"/>
          <w:sz w:val="30"/>
          <w:szCs w:val="30"/>
          <w:highlight w:val="none"/>
        </w:rPr>
      </w:pPr>
    </w:p>
    <w:p w14:paraId="470679D1">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060118A2">
      <w:pPr>
        <w:widowControl w:val="0"/>
        <w:jc w:val="both"/>
        <w:rPr>
          <w:rFonts w:hint="eastAsia" w:ascii="黑体" w:hAnsi="黑体" w:eastAsia="黑体" w:cs="Times New Roman"/>
          <w:b/>
          <w:color w:val="auto"/>
          <w:kern w:val="0"/>
          <w:sz w:val="30"/>
          <w:szCs w:val="30"/>
          <w:highlight w:val="none"/>
        </w:rPr>
      </w:pPr>
    </w:p>
    <w:p w14:paraId="12CE75A6">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19E2C85B">
      <w:pPr>
        <w:widowControl w:val="0"/>
        <w:jc w:val="both"/>
        <w:rPr>
          <w:rFonts w:hint="eastAsia" w:ascii="黑体" w:hAnsi="黑体" w:eastAsia="黑体" w:cs="Times New Roman"/>
          <w:b/>
          <w:color w:val="auto"/>
          <w:kern w:val="0"/>
          <w:sz w:val="30"/>
          <w:szCs w:val="30"/>
          <w:highlight w:val="none"/>
        </w:rPr>
      </w:pPr>
    </w:p>
    <w:p w14:paraId="213407DC">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185A4D84">
      <w:pPr>
        <w:widowControl w:val="0"/>
        <w:jc w:val="both"/>
        <w:rPr>
          <w:rFonts w:hint="eastAsia" w:ascii="黑体" w:hAnsi="黑体" w:eastAsia="黑体" w:cs="Times New Roman"/>
          <w:b/>
          <w:color w:val="auto"/>
          <w:kern w:val="0"/>
          <w:sz w:val="30"/>
          <w:szCs w:val="30"/>
          <w:highlight w:val="none"/>
        </w:rPr>
      </w:pPr>
    </w:p>
    <w:p w14:paraId="38141093">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5E5D88D1">
      <w:pPr>
        <w:widowControl w:val="0"/>
        <w:jc w:val="both"/>
        <w:rPr>
          <w:rFonts w:hint="eastAsia" w:ascii="黑体" w:hAnsi="黑体" w:eastAsia="黑体" w:cs="Times New Roman"/>
          <w:b/>
          <w:color w:val="auto"/>
          <w:kern w:val="0"/>
          <w:sz w:val="30"/>
          <w:szCs w:val="30"/>
          <w:highlight w:val="none"/>
        </w:rPr>
      </w:pPr>
    </w:p>
    <w:p w14:paraId="220BBBAE">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5926284A">
      <w:pPr>
        <w:widowControl w:val="0"/>
        <w:jc w:val="both"/>
        <w:rPr>
          <w:rFonts w:hint="eastAsia" w:ascii="黑体" w:hAnsi="黑体" w:eastAsia="黑体" w:cs="Times New Roman"/>
          <w:b/>
          <w:color w:val="auto"/>
          <w:kern w:val="0"/>
          <w:sz w:val="30"/>
          <w:szCs w:val="30"/>
          <w:highlight w:val="none"/>
        </w:rPr>
      </w:pPr>
    </w:p>
    <w:p w14:paraId="13BD7A5C">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416BA088">
      <w:pPr>
        <w:widowControl w:val="0"/>
        <w:jc w:val="both"/>
        <w:rPr>
          <w:rFonts w:hint="eastAsia" w:ascii="黑体" w:hAnsi="黑体" w:eastAsia="黑体" w:cs="Times New Roman"/>
          <w:b/>
          <w:color w:val="auto"/>
          <w:kern w:val="0"/>
          <w:sz w:val="30"/>
          <w:szCs w:val="30"/>
          <w:highlight w:val="none"/>
        </w:rPr>
      </w:pPr>
    </w:p>
    <w:p w14:paraId="68D1230E">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72E18827">
      <w:pPr>
        <w:widowControl w:val="0"/>
        <w:jc w:val="both"/>
        <w:rPr>
          <w:rFonts w:hint="eastAsia" w:ascii="Times New Roman" w:hAnsi="Times New Roman" w:eastAsia="宋体" w:cs="Times New Roman"/>
          <w:color w:val="auto"/>
          <w:szCs w:val="20"/>
          <w:highlight w:val="none"/>
        </w:rPr>
      </w:pPr>
    </w:p>
    <w:p w14:paraId="29378586">
      <w:pPr>
        <w:widowControl w:val="0"/>
        <w:jc w:val="both"/>
        <w:rPr>
          <w:rFonts w:hint="eastAsia" w:ascii="Times New Roman" w:hAnsi="Times New Roman" w:eastAsia="宋体" w:cs="Times New Roman"/>
          <w:color w:val="auto"/>
          <w:szCs w:val="20"/>
          <w:highlight w:val="none"/>
        </w:rPr>
      </w:pPr>
    </w:p>
    <w:p w14:paraId="1E3CCB59">
      <w:pPr>
        <w:widowControl w:val="0"/>
        <w:wordWrap w:val="0"/>
        <w:autoSpaceDE w:val="0"/>
        <w:autoSpaceDN w:val="0"/>
        <w:adjustRightInd w:val="0"/>
        <w:spacing w:line="400" w:lineRule="exact"/>
        <w:ind w:right="-34" w:rightChars="-16"/>
        <w:jc w:val="center"/>
        <w:outlineLvl w:val="2"/>
        <w:rPr>
          <w:rFonts w:hint="eastAsia" w:ascii="宋体" w:hAnsi="宋体" w:eastAsia="宋体" w:cs="宋体"/>
          <w:b/>
          <w:bCs/>
          <w:color w:val="auto"/>
          <w:kern w:val="0"/>
          <w:sz w:val="24"/>
          <w:szCs w:val="24"/>
          <w:highlight w:val="none"/>
        </w:rPr>
      </w:pPr>
      <w:bookmarkStart w:id="2472" w:name="_Toc500865955"/>
      <w:bookmarkStart w:id="2473" w:name="_Toc500864565"/>
      <w:bookmarkStart w:id="2474" w:name="_Toc26541"/>
      <w:bookmarkStart w:id="2475" w:name="_Toc15465"/>
      <w:bookmarkStart w:id="2476" w:name="_Toc513740282"/>
      <w:bookmarkStart w:id="2477" w:name="_Toc17333"/>
      <w:bookmarkStart w:id="2478" w:name="_Toc28891"/>
      <w:bookmarkStart w:id="2479" w:name="_Toc37422305"/>
      <w:bookmarkStart w:id="2480" w:name="_Toc38738919"/>
      <w:bookmarkStart w:id="2481" w:name="_Toc37747021"/>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四</w:t>
      </w:r>
      <w:r>
        <w:rPr>
          <w:rFonts w:hint="eastAsia" w:ascii="宋体" w:hAnsi="宋体" w:eastAsia="宋体" w:cs="宋体"/>
          <w:b/>
          <w:bCs/>
          <w:color w:val="auto"/>
          <w:kern w:val="0"/>
          <w:sz w:val="24"/>
          <w:szCs w:val="24"/>
          <w:highlight w:val="none"/>
        </w:rPr>
        <w:t>）</w:t>
      </w:r>
      <w:bookmarkEnd w:id="2472"/>
      <w:bookmarkEnd w:id="2473"/>
      <w:r>
        <w:rPr>
          <w:rFonts w:hint="eastAsia" w:ascii="宋体" w:hAnsi="宋体" w:eastAsia="宋体" w:cs="宋体"/>
          <w:b/>
          <w:bCs/>
          <w:color w:val="auto"/>
          <w:sz w:val="24"/>
          <w:szCs w:val="24"/>
          <w:highlight w:val="none"/>
        </w:rPr>
        <w:t>投标人认为有必要提供的其他材料</w:t>
      </w:r>
      <w:bookmarkEnd w:id="2474"/>
      <w:bookmarkEnd w:id="2475"/>
      <w:bookmarkEnd w:id="2476"/>
      <w:bookmarkEnd w:id="2477"/>
      <w:bookmarkEnd w:id="2478"/>
      <w:bookmarkEnd w:id="2479"/>
      <w:bookmarkEnd w:id="2480"/>
      <w:bookmarkEnd w:id="2481"/>
    </w:p>
    <w:p w14:paraId="27356CD1">
      <w:pPr>
        <w:widowControl w:val="0"/>
        <w:wordWrap w:val="0"/>
        <w:autoSpaceDE w:val="0"/>
        <w:autoSpaceDN w:val="0"/>
        <w:adjustRightInd w:val="0"/>
        <w:spacing w:line="400" w:lineRule="exact"/>
        <w:ind w:right="-34" w:rightChars="-16"/>
        <w:jc w:val="center"/>
        <w:rPr>
          <w:rFonts w:hint="eastAsia" w:ascii="宋体" w:hAnsi="宋体" w:eastAsia="宋体" w:cs="宋体"/>
          <w:color w:val="auto"/>
          <w:kern w:val="0"/>
          <w:sz w:val="28"/>
          <w:szCs w:val="28"/>
          <w:highlight w:val="none"/>
        </w:rPr>
      </w:pPr>
    </w:p>
    <w:p w14:paraId="1D01DA0A">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44825D34"/>
    <w:sectPr>
      <w:pgSz w:w="11905" w:h="16838"/>
      <w:pgMar w:top="1417" w:right="1417" w:bottom="1417" w:left="1417" w:header="992" w:footer="1134" w:gutter="0"/>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8785B">
    <w:pPr>
      <w:tabs>
        <w:tab w:val="center" w:pos="4153"/>
        <w:tab w:val="right" w:pos="8306"/>
      </w:tabs>
      <w:snapToGrid w:val="0"/>
      <w:jc w:val="center"/>
      <w:rPr>
        <w:rFonts w:hint="eastAsia" w:ascii="Cambria" w:hAnsi="Cambria"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65D3E">
    <w:pPr>
      <w:widowControl w:val="0"/>
      <w:snapToGrid w:val="0"/>
      <w:spacing w:line="440" w:lineRule="exact"/>
      <w:ind w:firstLine="360" w:firstLineChars="200"/>
      <w:jc w:val="center"/>
      <w:rPr>
        <w:rFonts w:ascii="Times New Roman" w:hAnsi="Times New Roman" w:eastAsia="宋体" w:cs="Times New Roman"/>
        <w:kern w:val="2"/>
        <w:sz w:val="18"/>
        <w:szCs w:val="21"/>
        <w:lang w:val="en-US" w:eastAsia="zh-CN" w:bidi="ar-SA"/>
      </w:rPr>
    </w:pPr>
    <w:r>
      <w:rPr>
        <w:rFonts w:ascii="Times New Roman" w:hAnsi="Times New Roman" w:eastAsia="宋体" w:cs="Times New Roman"/>
        <w:kern w:val="2"/>
        <w:sz w:val="18"/>
        <w:szCs w:val="21"/>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CBCFA">
                          <w:pPr>
                            <w:widowControl w:val="0"/>
                            <w:snapToGrid w:val="0"/>
                            <w:spacing w:line="440" w:lineRule="exact"/>
                            <w:ind w:firstLine="360" w:firstLineChars="200"/>
                            <w:jc w:val="left"/>
                            <w:rPr>
                              <w:rFonts w:ascii="Times New Roman" w:hAnsi="Times New Roman" w:eastAsia="宋体" w:cs="Times New Roman"/>
                              <w:kern w:val="2"/>
                              <w:sz w:val="18"/>
                              <w:szCs w:val="21"/>
                              <w:lang w:val="en-US" w:eastAsia="zh-CN" w:bidi="ar-SA"/>
                            </w:rPr>
                          </w:pPr>
                          <w:r>
                            <w:rPr>
                              <w:rFonts w:ascii="Times New Roman" w:hAnsi="Times New Roman" w:eastAsia="宋体" w:cs="Times New Roman"/>
                              <w:kern w:val="2"/>
                              <w:sz w:val="18"/>
                              <w:szCs w:val="21"/>
                              <w:lang w:val="en-US" w:eastAsia="zh-CN" w:bidi="ar-SA"/>
                            </w:rPr>
                            <w:fldChar w:fldCharType="begin"/>
                          </w:r>
                          <w:r>
                            <w:rPr>
                              <w:rFonts w:ascii="Times New Roman" w:hAnsi="Times New Roman" w:eastAsia="宋体" w:cs="Times New Roman"/>
                              <w:kern w:val="2"/>
                              <w:sz w:val="18"/>
                              <w:szCs w:val="21"/>
                              <w:lang w:val="en-US" w:eastAsia="zh-CN" w:bidi="ar-SA"/>
                            </w:rPr>
                            <w:instrText xml:space="preserve"> PAGE  \* MERGEFORMAT </w:instrText>
                          </w:r>
                          <w:r>
                            <w:rPr>
                              <w:rFonts w:ascii="Times New Roman" w:hAnsi="Times New Roman" w:eastAsia="宋体" w:cs="Times New Roman"/>
                              <w:kern w:val="2"/>
                              <w:sz w:val="18"/>
                              <w:szCs w:val="21"/>
                              <w:lang w:val="en-US" w:eastAsia="zh-CN" w:bidi="ar-SA"/>
                            </w:rPr>
                            <w:fldChar w:fldCharType="separate"/>
                          </w:r>
                          <w:r>
                            <w:rPr>
                              <w:rFonts w:ascii="Times New Roman" w:hAnsi="Times New Roman" w:eastAsia="宋体" w:cs="Times New Roman"/>
                              <w:kern w:val="2"/>
                              <w:sz w:val="18"/>
                              <w:szCs w:val="21"/>
                              <w:lang w:val="en-US" w:eastAsia="zh-CN" w:bidi="ar-SA"/>
                            </w:rPr>
                            <w:t>1</w:t>
                          </w:r>
                          <w:r>
                            <w:rPr>
                              <w:rFonts w:ascii="Times New Roman" w:hAnsi="Times New Roman" w:eastAsia="宋体" w:cs="Times New Roman"/>
                              <w:kern w:val="2"/>
                              <w:sz w:val="18"/>
                              <w:szCs w:val="21"/>
                              <w:lang w:val="en-US" w:eastAsia="zh-CN" w:bidi="ar-S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520CBCFA">
                    <w:pPr>
                      <w:widowControl w:val="0"/>
                      <w:snapToGrid w:val="0"/>
                      <w:spacing w:line="440" w:lineRule="exact"/>
                      <w:ind w:firstLine="360" w:firstLineChars="200"/>
                      <w:jc w:val="left"/>
                      <w:rPr>
                        <w:rFonts w:ascii="Times New Roman" w:hAnsi="Times New Roman" w:eastAsia="宋体" w:cs="Times New Roman"/>
                        <w:kern w:val="2"/>
                        <w:sz w:val="18"/>
                        <w:szCs w:val="21"/>
                        <w:lang w:val="en-US" w:eastAsia="zh-CN" w:bidi="ar-SA"/>
                      </w:rPr>
                    </w:pPr>
                    <w:r>
                      <w:rPr>
                        <w:rFonts w:ascii="Times New Roman" w:hAnsi="Times New Roman" w:eastAsia="宋体" w:cs="Times New Roman"/>
                        <w:kern w:val="2"/>
                        <w:sz w:val="18"/>
                        <w:szCs w:val="21"/>
                        <w:lang w:val="en-US" w:eastAsia="zh-CN" w:bidi="ar-SA"/>
                      </w:rPr>
                      <w:fldChar w:fldCharType="begin"/>
                    </w:r>
                    <w:r>
                      <w:rPr>
                        <w:rFonts w:ascii="Times New Roman" w:hAnsi="Times New Roman" w:eastAsia="宋体" w:cs="Times New Roman"/>
                        <w:kern w:val="2"/>
                        <w:sz w:val="18"/>
                        <w:szCs w:val="21"/>
                        <w:lang w:val="en-US" w:eastAsia="zh-CN" w:bidi="ar-SA"/>
                      </w:rPr>
                      <w:instrText xml:space="preserve"> PAGE  \* MERGEFORMAT </w:instrText>
                    </w:r>
                    <w:r>
                      <w:rPr>
                        <w:rFonts w:ascii="Times New Roman" w:hAnsi="Times New Roman" w:eastAsia="宋体" w:cs="Times New Roman"/>
                        <w:kern w:val="2"/>
                        <w:sz w:val="18"/>
                        <w:szCs w:val="21"/>
                        <w:lang w:val="en-US" w:eastAsia="zh-CN" w:bidi="ar-SA"/>
                      </w:rPr>
                      <w:fldChar w:fldCharType="separate"/>
                    </w:r>
                    <w:r>
                      <w:rPr>
                        <w:rFonts w:ascii="Times New Roman" w:hAnsi="Times New Roman" w:eastAsia="宋体" w:cs="Times New Roman"/>
                        <w:kern w:val="2"/>
                        <w:sz w:val="18"/>
                        <w:szCs w:val="21"/>
                        <w:lang w:val="en-US" w:eastAsia="zh-CN" w:bidi="ar-SA"/>
                      </w:rPr>
                      <w:t>1</w:t>
                    </w:r>
                    <w:r>
                      <w:rPr>
                        <w:rFonts w:ascii="Times New Roman" w:hAnsi="Times New Roman" w:eastAsia="宋体" w:cs="Times New Roman"/>
                        <w:kern w:val="2"/>
                        <w:sz w:val="18"/>
                        <w:szCs w:val="21"/>
                        <w:lang w:val="en-US" w:eastAsia="zh-CN" w:bidi="ar-S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86CE7">
    <w:pPr>
      <w:spacing w:after="120"/>
      <w:rPr>
        <w:rFonts w:ascii="Calibri" w:hAnsi="Calibri" w:eastAsia="宋体" w:cs="Times New Roman"/>
        <w:kern w:val="2"/>
        <w:sz w:val="20"/>
        <w:szCs w:val="22"/>
        <w:lang w:val="en-US" w:eastAsia="zh-CN" w:bidi="ar-SA"/>
      </w:rPr>
    </w:pPr>
    <w:r>
      <w:rPr>
        <w:rFonts w:ascii="Calibri" w:hAnsi="Calibri" w:eastAsia="宋体" w:cs="Times New Roman"/>
        <w:kern w:val="2"/>
        <w:sz w:val="20"/>
        <w:szCs w:val="22"/>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1717F">
                          <w:pPr>
                            <w:tabs>
                              <w:tab w:val="center" w:pos="4153"/>
                              <w:tab w:val="right" w:pos="8306"/>
                            </w:tabs>
                            <w:snapToGrid w:val="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430</w:t>
                          </w:r>
                          <w:r>
                            <w:rPr>
                              <w:rFonts w:ascii="Calibri" w:hAnsi="Calibri"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1741717F">
                    <w:pPr>
                      <w:tabs>
                        <w:tab w:val="center" w:pos="4153"/>
                        <w:tab w:val="right" w:pos="8306"/>
                      </w:tabs>
                      <w:snapToGrid w:val="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430</w:t>
                    </w:r>
                    <w:r>
                      <w:rPr>
                        <w:rFonts w:ascii="Calibri" w:hAnsi="Calibri"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C0F7F">
    <w:pPr>
      <w:widowControl/>
      <w:spacing w:after="120" w:afterLines="50"/>
      <w:jc w:val="left"/>
      <w:rPr>
        <w:rFonts w:hint="eastAsia" w:ascii="宋体" w:hAnsi="宋体" w:eastAsia="宋体" w:cs="Times New Roman"/>
        <w:spacing w:val="-10"/>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E90D1"/>
    <w:multiLevelType w:val="singleLevel"/>
    <w:tmpl w:val="A9EE90D1"/>
    <w:lvl w:ilvl="0" w:tentative="0">
      <w:start w:val="2"/>
      <w:numFmt w:val="decimal"/>
      <w:suff w:val="nothing"/>
      <w:lvlText w:val="%1、"/>
      <w:lvlJc w:val="left"/>
    </w:lvl>
  </w:abstractNum>
  <w:abstractNum w:abstractNumId="1">
    <w:nsid w:val="D30A6F30"/>
    <w:multiLevelType w:val="singleLevel"/>
    <w:tmpl w:val="D30A6F30"/>
    <w:lvl w:ilvl="0" w:tentative="0">
      <w:start w:val="1"/>
      <w:numFmt w:val="decimal"/>
      <w:lvlText w:val="%1."/>
      <w:lvlJc w:val="left"/>
      <w:pPr>
        <w:tabs>
          <w:tab w:val="left" w:pos="312"/>
        </w:tabs>
      </w:pPr>
    </w:lvl>
  </w:abstractNum>
  <w:abstractNum w:abstractNumId="2">
    <w:nsid w:val="E1CA9B27"/>
    <w:multiLevelType w:val="singleLevel"/>
    <w:tmpl w:val="E1CA9B27"/>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8E02C1"/>
    <w:rsid w:val="2FB62465"/>
    <w:rsid w:val="3C8E02C1"/>
    <w:rsid w:val="4D6A7962"/>
    <w:rsid w:val="568B216D"/>
    <w:rsid w:val="5CA54743"/>
    <w:rsid w:val="796E37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5.wmf"/><Relationship Id="rId15" Type="http://schemas.openxmlformats.org/officeDocument/2006/relationships/oleObject" Target="embeddings/oleObject4.bin"/><Relationship Id="rId14" Type="http://schemas.openxmlformats.org/officeDocument/2006/relationships/image" Target="media/image4.wmf"/><Relationship Id="rId13" Type="http://schemas.openxmlformats.org/officeDocument/2006/relationships/oleObject" Target="embeddings/oleObject3.bin"/><Relationship Id="rId12" Type="http://schemas.openxmlformats.org/officeDocument/2006/relationships/oleObject" Target="embeddings/oleObject2.bin"/><Relationship Id="rId11" Type="http://schemas.openxmlformats.org/officeDocument/2006/relationships/image" Target="media/image3.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135</Pages>
  <Words>19218</Words>
  <Characters>21123</Characters>
  <Lines>0</Lines>
  <Paragraphs>0</Paragraphs>
  <TotalTime>4</TotalTime>
  <ScaleCrop>false</ScaleCrop>
  <LinksUpToDate>false</LinksUpToDate>
  <CharactersWithSpaces>21420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2026-08-26T04:05:00Z</dcterms:created>
  <dc:creator>马强</dc:creator>
  <cp:lastModifiedBy>马强</cp:lastModifiedBy>
  <dcterms:modified xsi:type="dcterms:W3CDTF">2026-08-26T04:49:16Z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6FDA3B1976904789A6AD576CDB687D3E_11</vt:lpwstr>
  </property>
  <property fmtid="{D5CDD505-2E9C-101B-9397-08002B2CF9AE}" pid="4" name="KSOTemplateDocerSaveRecord">
    <vt:lpwstr>eyJoZGlkIjoiMWQyODM1OTJkMWE1YTVlNDQ4MTA5YTVhNjcyY2E4NzUiLCJ1c2VySWQiOiI0MjAyMzM1MTcifQ==</vt:lpwstr>
  </property>
</Properties>
</file>