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6300"/>
        <w:gridCol w:w="1034"/>
      </w:tblGrid>
      <w:tr w14:paraId="5B17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22" w:type="dxa"/>
            <w:gridSpan w:val="3"/>
            <w:shd w:val="clear" w:color="auto" w:fill="auto"/>
          </w:tcPr>
          <w:p w14:paraId="6B784808">
            <w:pPr>
              <w:jc w:val="center"/>
            </w:pPr>
            <w:r>
              <w:rPr>
                <w:rFonts w:hint="eastAsia"/>
              </w:rPr>
              <w:t>主要技术参数</w:t>
            </w:r>
          </w:p>
        </w:tc>
      </w:tr>
      <w:tr w14:paraId="5C06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22" w:type="dxa"/>
            <w:gridSpan w:val="3"/>
            <w:shd w:val="clear" w:color="auto" w:fill="auto"/>
          </w:tcPr>
          <w:p w14:paraId="27EE0072">
            <w:pPr>
              <w:jc w:val="center"/>
              <w:rPr>
                <w:rFonts w:hint="eastAsia"/>
              </w:rPr>
            </w:pPr>
            <w:r>
              <w:rPr>
                <w:rFonts w:hint="eastAsia" w:ascii="宋体" w:hAnsi="宋体" w:cs="宋体"/>
                <w:b/>
                <w:bCs/>
                <w:color w:val="000000"/>
                <w:szCs w:val="21"/>
              </w:rPr>
              <w:t>设备配置要求及用途：</w:t>
            </w:r>
            <w:r>
              <w:rPr>
                <w:rFonts w:hint="eastAsia"/>
              </w:rPr>
              <w:t>脑电采集系统</w:t>
            </w:r>
            <w:r>
              <w:rPr>
                <w:rFonts w:hint="eastAsia" w:ascii="宋体" w:hAnsi="宋体" w:cs="宋体"/>
                <w:color w:val="000000"/>
                <w:szCs w:val="21"/>
              </w:rPr>
              <w:t>：包括放大器，控制盒，采集软件、分析软件，主要作用是</w:t>
            </w:r>
            <w:r>
              <w:rPr>
                <w:rFonts w:hint="eastAsia" w:ascii="宋体" w:hAnsi="宋体" w:cs="宋体"/>
                <w:szCs w:val="21"/>
              </w:rPr>
              <w:t>测和记录大脑的自发生物电活动，评估大脑功能和意识水平及其他脑科学科研研究。</w:t>
            </w:r>
          </w:p>
        </w:tc>
      </w:tr>
      <w:tr w14:paraId="70E7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188" w:type="dxa"/>
            <w:shd w:val="clear" w:color="auto" w:fill="auto"/>
          </w:tcPr>
          <w:p w14:paraId="4BADC188">
            <w:r>
              <w:rPr>
                <w:rFonts w:hint="eastAsia"/>
              </w:rPr>
              <w:t>序号</w:t>
            </w:r>
          </w:p>
        </w:tc>
        <w:tc>
          <w:tcPr>
            <w:tcW w:w="6300" w:type="dxa"/>
            <w:shd w:val="clear" w:color="auto" w:fill="auto"/>
          </w:tcPr>
          <w:p w14:paraId="22FFF8A4">
            <w:pPr>
              <w:jc w:val="center"/>
            </w:pPr>
            <w:r>
              <w:rPr>
                <w:rFonts w:hint="eastAsia"/>
              </w:rPr>
              <w:t>内容</w:t>
            </w:r>
          </w:p>
        </w:tc>
        <w:tc>
          <w:tcPr>
            <w:tcW w:w="1034" w:type="dxa"/>
            <w:shd w:val="clear" w:color="auto" w:fill="auto"/>
          </w:tcPr>
          <w:p w14:paraId="3456B082">
            <w:r>
              <w:rPr>
                <w:rFonts w:hint="eastAsia"/>
              </w:rPr>
              <w:t>备注</w:t>
            </w:r>
          </w:p>
        </w:tc>
      </w:tr>
      <w:tr w14:paraId="564B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188" w:type="dxa"/>
            <w:shd w:val="clear" w:color="auto" w:fill="auto"/>
          </w:tcPr>
          <w:p w14:paraId="706BA665"/>
        </w:tc>
        <w:tc>
          <w:tcPr>
            <w:tcW w:w="6300" w:type="dxa"/>
            <w:shd w:val="clear" w:color="auto" w:fill="auto"/>
          </w:tcPr>
          <w:p w14:paraId="66024E41">
            <w:pPr>
              <w:jc w:val="center"/>
            </w:pPr>
            <w:r>
              <w:rPr>
                <w:rFonts w:hint="eastAsia"/>
              </w:rPr>
              <w:t>参数</w:t>
            </w:r>
          </w:p>
        </w:tc>
        <w:tc>
          <w:tcPr>
            <w:tcW w:w="1034" w:type="dxa"/>
            <w:shd w:val="clear" w:color="auto" w:fill="auto"/>
          </w:tcPr>
          <w:p w14:paraId="1989F288"/>
        </w:tc>
      </w:tr>
      <w:tr w14:paraId="45EF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4FF1167A">
            <w:pPr>
              <w:jc w:val="center"/>
            </w:pPr>
            <w:r>
              <w:rPr>
                <w:rFonts w:hint="eastAsia"/>
              </w:rPr>
              <w:t>1</w:t>
            </w:r>
          </w:p>
        </w:tc>
        <w:tc>
          <w:tcPr>
            <w:tcW w:w="6300" w:type="dxa"/>
            <w:shd w:val="clear" w:color="auto" w:fill="auto"/>
          </w:tcPr>
          <w:p w14:paraId="236C1240">
            <w:pPr>
              <w:rPr>
                <w:rFonts w:ascii="宋体"/>
                <w:sz w:val="24"/>
              </w:rPr>
            </w:pPr>
            <w:r>
              <w:rPr>
                <w:rFonts w:hint="eastAsia"/>
              </w:rPr>
              <w:t>具有听觉脑干诱发电位、脑电、事件相关电位、心电等采集分析功能；</w:t>
            </w:r>
          </w:p>
        </w:tc>
        <w:tc>
          <w:tcPr>
            <w:tcW w:w="1034" w:type="dxa"/>
            <w:shd w:val="clear" w:color="auto" w:fill="auto"/>
          </w:tcPr>
          <w:p w14:paraId="3FF4AC06"/>
        </w:tc>
      </w:tr>
      <w:tr w14:paraId="6782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5AE3D34">
            <w:pPr>
              <w:jc w:val="center"/>
            </w:pPr>
            <w:r>
              <w:rPr>
                <w:rFonts w:hint="eastAsia"/>
              </w:rPr>
              <w:t>2</w:t>
            </w:r>
          </w:p>
        </w:tc>
        <w:tc>
          <w:tcPr>
            <w:tcW w:w="6300" w:type="dxa"/>
            <w:shd w:val="clear" w:color="auto" w:fill="auto"/>
          </w:tcPr>
          <w:p w14:paraId="08EC67B6">
            <w:pPr>
              <w:rPr>
                <w:b/>
              </w:rPr>
            </w:pPr>
            <w:r>
              <w:rPr>
                <w:rFonts w:hint="eastAsia"/>
              </w:rPr>
              <w:t>脑电导联数≥64导，</w:t>
            </w:r>
            <w:r>
              <w:rPr>
                <w:rFonts w:hint="eastAsia"/>
                <w:lang w:val="en-US" w:eastAsia="zh-CN"/>
              </w:rPr>
              <w:t>一体化头盒上的独立</w:t>
            </w:r>
            <w:r>
              <w:rPr>
                <w:rFonts w:hint="eastAsia"/>
              </w:rPr>
              <w:t>电极插口数量≥70</w:t>
            </w:r>
            <w:r>
              <w:rPr>
                <w:rFonts w:hint="eastAsia"/>
                <w:lang w:val="en-US" w:eastAsia="zh-CN"/>
              </w:rPr>
              <w:t>个</w:t>
            </w:r>
            <w:r>
              <w:rPr>
                <w:rFonts w:hint="eastAsia"/>
              </w:rPr>
              <w:t>；</w:t>
            </w:r>
          </w:p>
        </w:tc>
        <w:tc>
          <w:tcPr>
            <w:tcW w:w="1034" w:type="dxa"/>
            <w:shd w:val="clear" w:color="auto" w:fill="auto"/>
          </w:tcPr>
          <w:p w14:paraId="1D1B766C">
            <w:r>
              <w:rPr>
                <w:rFonts w:hint="eastAsia" w:ascii="宋体" w:hAnsi="宋体"/>
                <w:szCs w:val="21"/>
              </w:rPr>
              <w:t>*</w:t>
            </w:r>
          </w:p>
        </w:tc>
      </w:tr>
      <w:tr w14:paraId="7B39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002267B3">
            <w:pPr>
              <w:jc w:val="center"/>
            </w:pPr>
            <w:r>
              <w:rPr>
                <w:rFonts w:hint="eastAsia"/>
              </w:rPr>
              <w:t>3</w:t>
            </w:r>
          </w:p>
        </w:tc>
        <w:tc>
          <w:tcPr>
            <w:tcW w:w="6300" w:type="dxa"/>
            <w:shd w:val="clear" w:color="auto" w:fill="auto"/>
          </w:tcPr>
          <w:p w14:paraId="6FCC9E6B">
            <w:r>
              <w:rPr>
                <w:rFonts w:hint="eastAsia"/>
              </w:rPr>
              <w:t>主体设备</w:t>
            </w:r>
            <w:r>
              <w:rPr>
                <w:rFonts w:hint="eastAsia" w:ascii="宋体" w:hAnsi="宋体" w:cs="宋体"/>
              </w:rPr>
              <w:t>64导脑电通道集中在一块信号放大电路板上，一体化头盒；</w:t>
            </w:r>
          </w:p>
        </w:tc>
        <w:tc>
          <w:tcPr>
            <w:tcW w:w="1034" w:type="dxa"/>
            <w:shd w:val="clear" w:color="auto" w:fill="auto"/>
          </w:tcPr>
          <w:p w14:paraId="77399AAF"/>
        </w:tc>
      </w:tr>
      <w:tr w14:paraId="44B8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40CA779">
            <w:pPr>
              <w:jc w:val="center"/>
            </w:pPr>
            <w:r>
              <w:rPr>
                <w:rFonts w:hint="eastAsia"/>
              </w:rPr>
              <w:t>4</w:t>
            </w:r>
          </w:p>
        </w:tc>
        <w:tc>
          <w:tcPr>
            <w:tcW w:w="6300" w:type="dxa"/>
            <w:shd w:val="clear" w:color="auto" w:fill="auto"/>
            <w:vAlign w:val="center"/>
          </w:tcPr>
          <w:p w14:paraId="6BE61688">
            <w:pPr>
              <w:adjustRightInd w:val="0"/>
              <w:snapToGrid w:val="0"/>
              <w:spacing w:line="480" w:lineRule="exact"/>
              <w:rPr>
                <w:rFonts w:ascii="宋体" w:hAnsi="宋体" w:cs="宋体"/>
                <w:szCs w:val="21"/>
              </w:rPr>
            </w:pPr>
            <w:r>
              <w:rPr>
                <w:rFonts w:hint="eastAsia"/>
              </w:rPr>
              <w:t>软件支持选择最大升级容量≥500导；</w:t>
            </w:r>
          </w:p>
        </w:tc>
        <w:tc>
          <w:tcPr>
            <w:tcW w:w="1034" w:type="dxa"/>
            <w:shd w:val="clear" w:color="auto" w:fill="auto"/>
          </w:tcPr>
          <w:p w14:paraId="42C210DE">
            <w:r>
              <w:rPr>
                <w:rFonts w:hint="eastAsia" w:ascii="宋体" w:hAnsi="宋体"/>
                <w:szCs w:val="21"/>
              </w:rPr>
              <w:t>*</w:t>
            </w:r>
          </w:p>
        </w:tc>
      </w:tr>
      <w:tr w14:paraId="1E5E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53634ED">
            <w:pPr>
              <w:jc w:val="center"/>
            </w:pPr>
            <w:r>
              <w:rPr>
                <w:rFonts w:hint="eastAsia"/>
              </w:rPr>
              <w:t>5</w:t>
            </w:r>
          </w:p>
        </w:tc>
        <w:tc>
          <w:tcPr>
            <w:tcW w:w="6300" w:type="dxa"/>
            <w:shd w:val="clear" w:color="auto" w:fill="auto"/>
            <w:vAlign w:val="center"/>
          </w:tcPr>
          <w:p w14:paraId="477BFAD0">
            <w:pPr>
              <w:adjustRightInd w:val="0"/>
              <w:snapToGrid w:val="0"/>
              <w:spacing w:line="480" w:lineRule="exact"/>
              <w:rPr>
                <w:rFonts w:ascii="宋体" w:hAnsi="宋体" w:cs="宋体"/>
                <w:b/>
                <w:szCs w:val="21"/>
              </w:rPr>
            </w:pPr>
            <w:r>
              <w:rPr>
                <w:rFonts w:hint="eastAsia"/>
                <w:lang w:val="en-US" w:eastAsia="zh-CN"/>
              </w:rPr>
              <w:t>软件支持显示</w:t>
            </w:r>
            <w:r>
              <w:rPr>
                <w:rFonts w:hint="eastAsia"/>
              </w:rPr>
              <w:t>采样率≥19,000 Hz/导；</w:t>
            </w:r>
          </w:p>
        </w:tc>
        <w:tc>
          <w:tcPr>
            <w:tcW w:w="1034" w:type="dxa"/>
            <w:shd w:val="clear" w:color="auto" w:fill="auto"/>
          </w:tcPr>
          <w:p w14:paraId="1FED9296">
            <w:r>
              <w:rPr>
                <w:rFonts w:hint="eastAsia" w:ascii="宋体" w:hAnsi="宋体"/>
                <w:szCs w:val="21"/>
              </w:rPr>
              <w:t>*</w:t>
            </w:r>
          </w:p>
        </w:tc>
      </w:tr>
      <w:tr w14:paraId="623B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0A31F887">
            <w:pPr>
              <w:jc w:val="center"/>
            </w:pPr>
            <w:r>
              <w:rPr>
                <w:rFonts w:hint="eastAsia"/>
              </w:rPr>
              <w:t>6</w:t>
            </w:r>
          </w:p>
        </w:tc>
        <w:tc>
          <w:tcPr>
            <w:tcW w:w="6300" w:type="dxa"/>
            <w:shd w:val="clear" w:color="auto" w:fill="auto"/>
            <w:vAlign w:val="center"/>
          </w:tcPr>
          <w:p w14:paraId="104B1605">
            <w:pPr>
              <w:pStyle w:val="9"/>
              <w:rPr>
                <w:rFonts w:ascii="宋体" w:hAnsi="宋体"/>
                <w:color w:val="000000"/>
              </w:rPr>
            </w:pPr>
            <w:r>
              <w:rPr>
                <w:rFonts w:hint="eastAsia"/>
                <w:lang w:val="en-US" w:eastAsia="zh-CN"/>
              </w:rPr>
              <w:t>软件支持显示</w:t>
            </w:r>
            <w:r>
              <w:rPr>
                <w:rFonts w:hint="eastAsia"/>
              </w:rPr>
              <w:t>输入阻抗≥9 GOhms；</w:t>
            </w:r>
          </w:p>
        </w:tc>
        <w:tc>
          <w:tcPr>
            <w:tcW w:w="1034" w:type="dxa"/>
            <w:shd w:val="clear" w:color="auto" w:fill="auto"/>
          </w:tcPr>
          <w:p w14:paraId="7D42FFE3">
            <w:r>
              <w:rPr>
                <w:rFonts w:hint="eastAsia" w:ascii="宋体" w:hAnsi="宋体"/>
                <w:szCs w:val="21"/>
              </w:rPr>
              <w:t>*</w:t>
            </w:r>
          </w:p>
        </w:tc>
      </w:tr>
      <w:tr w14:paraId="03D7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0378072">
            <w:pPr>
              <w:jc w:val="center"/>
            </w:pPr>
            <w:r>
              <w:rPr>
                <w:rFonts w:hint="eastAsia"/>
              </w:rPr>
              <w:t>7</w:t>
            </w:r>
          </w:p>
        </w:tc>
        <w:tc>
          <w:tcPr>
            <w:tcW w:w="6300" w:type="dxa"/>
            <w:shd w:val="clear" w:color="auto" w:fill="auto"/>
            <w:vAlign w:val="center"/>
          </w:tcPr>
          <w:p w14:paraId="36A76534">
            <w:pPr>
              <w:adjustRightInd w:val="0"/>
              <w:snapToGrid w:val="0"/>
              <w:spacing w:line="480" w:lineRule="exact"/>
              <w:rPr>
                <w:rFonts w:ascii="宋体" w:hAnsi="宋体" w:cs="宋体"/>
                <w:szCs w:val="21"/>
              </w:rPr>
            </w:pPr>
            <w:r>
              <w:rPr>
                <w:rFonts w:hint="eastAsia"/>
              </w:rPr>
              <w:t>带宽范围大于0～2500 Hz；</w:t>
            </w:r>
          </w:p>
        </w:tc>
        <w:tc>
          <w:tcPr>
            <w:tcW w:w="1034" w:type="dxa"/>
            <w:shd w:val="clear" w:color="auto" w:fill="auto"/>
          </w:tcPr>
          <w:p w14:paraId="27F91068"/>
        </w:tc>
      </w:tr>
      <w:tr w14:paraId="52B1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EA9CEED">
            <w:pPr>
              <w:jc w:val="center"/>
            </w:pPr>
            <w:r>
              <w:rPr>
                <w:rFonts w:hint="eastAsia"/>
              </w:rPr>
              <w:t>8</w:t>
            </w:r>
          </w:p>
        </w:tc>
        <w:tc>
          <w:tcPr>
            <w:tcW w:w="6300" w:type="dxa"/>
            <w:shd w:val="clear" w:color="auto" w:fill="auto"/>
            <w:vAlign w:val="center"/>
          </w:tcPr>
          <w:p w14:paraId="75966BF2">
            <w:pPr>
              <w:pStyle w:val="9"/>
              <w:rPr>
                <w:rFonts w:ascii="宋体" w:hAnsi="宋体"/>
                <w:color w:val="000000"/>
              </w:rPr>
            </w:pPr>
            <w:r>
              <w:rPr>
                <w:rFonts w:hint="eastAsia"/>
              </w:rPr>
              <w:t>A/D转换分辨率≥20Bit；</w:t>
            </w:r>
          </w:p>
        </w:tc>
        <w:tc>
          <w:tcPr>
            <w:tcW w:w="1034" w:type="dxa"/>
            <w:shd w:val="clear" w:color="auto" w:fill="auto"/>
          </w:tcPr>
          <w:p w14:paraId="75E7E910">
            <w:pPr>
              <w:rPr>
                <w:rFonts w:ascii="宋体" w:hAnsi="宋体"/>
                <w:szCs w:val="21"/>
              </w:rPr>
            </w:pPr>
          </w:p>
        </w:tc>
      </w:tr>
      <w:tr w14:paraId="5362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522E18A">
            <w:pPr>
              <w:jc w:val="center"/>
            </w:pPr>
            <w:r>
              <w:t>9</w:t>
            </w:r>
          </w:p>
        </w:tc>
        <w:tc>
          <w:tcPr>
            <w:tcW w:w="6300" w:type="dxa"/>
            <w:shd w:val="clear" w:color="auto" w:fill="auto"/>
            <w:vAlign w:val="center"/>
          </w:tcPr>
          <w:p w14:paraId="4C7E94B1">
            <w:pPr>
              <w:widowControl/>
              <w:adjustRightInd w:val="0"/>
              <w:snapToGrid w:val="0"/>
              <w:spacing w:line="480" w:lineRule="exact"/>
              <w:rPr>
                <w:rFonts w:ascii="宋体" w:hAnsi="宋体" w:cs="宋体"/>
                <w:kern w:val="0"/>
                <w:szCs w:val="21"/>
              </w:rPr>
            </w:pPr>
            <w:r>
              <w:rPr>
                <w:rFonts w:hint="eastAsia"/>
              </w:rPr>
              <w:t>共模抑制比≥105dB</w:t>
            </w:r>
          </w:p>
        </w:tc>
        <w:tc>
          <w:tcPr>
            <w:tcW w:w="1034" w:type="dxa"/>
            <w:shd w:val="clear" w:color="auto" w:fill="auto"/>
          </w:tcPr>
          <w:p w14:paraId="68D22145">
            <w:pPr>
              <w:rPr>
                <w:rFonts w:ascii="宋体" w:hAnsi="宋体"/>
                <w:szCs w:val="21"/>
              </w:rPr>
            </w:pPr>
            <w:r>
              <w:rPr>
                <w:rFonts w:hint="eastAsia" w:ascii="宋体" w:hAnsi="宋体"/>
                <w:szCs w:val="21"/>
              </w:rPr>
              <w:t>*</w:t>
            </w:r>
          </w:p>
        </w:tc>
      </w:tr>
      <w:tr w14:paraId="116B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3D9BE44">
            <w:pPr>
              <w:jc w:val="center"/>
            </w:pPr>
            <w:r>
              <w:rPr>
                <w:rFonts w:hint="eastAsia"/>
              </w:rPr>
              <w:t>1</w:t>
            </w:r>
            <w:r>
              <w:t>0</w:t>
            </w:r>
          </w:p>
        </w:tc>
        <w:tc>
          <w:tcPr>
            <w:tcW w:w="6300" w:type="dxa"/>
            <w:shd w:val="clear" w:color="auto" w:fill="auto"/>
            <w:vAlign w:val="center"/>
          </w:tcPr>
          <w:p w14:paraId="623454A7">
            <w:pPr>
              <w:pStyle w:val="9"/>
              <w:rPr>
                <w:rFonts w:ascii="宋体" w:hAnsi="宋体"/>
                <w:color w:val="000000"/>
              </w:rPr>
            </w:pPr>
            <w:r>
              <w:rPr>
                <w:rFonts w:hint="eastAsia"/>
              </w:rPr>
              <w:t>输入噪声≤0.7uV RMS，DC ～ 200 Hz；</w:t>
            </w:r>
          </w:p>
        </w:tc>
        <w:tc>
          <w:tcPr>
            <w:tcW w:w="1034" w:type="dxa"/>
            <w:shd w:val="clear" w:color="auto" w:fill="auto"/>
          </w:tcPr>
          <w:p w14:paraId="31536B48">
            <w:pPr>
              <w:rPr>
                <w:rFonts w:ascii="宋体" w:hAnsi="宋体"/>
                <w:szCs w:val="21"/>
              </w:rPr>
            </w:pPr>
          </w:p>
        </w:tc>
      </w:tr>
      <w:tr w14:paraId="59BA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FEA55BF">
            <w:pPr>
              <w:jc w:val="center"/>
            </w:pPr>
            <w:r>
              <w:rPr>
                <w:rFonts w:hint="eastAsia"/>
              </w:rPr>
              <w:t>1</w:t>
            </w:r>
            <w:r>
              <w:t>1</w:t>
            </w:r>
          </w:p>
        </w:tc>
        <w:tc>
          <w:tcPr>
            <w:tcW w:w="6300" w:type="dxa"/>
            <w:shd w:val="clear" w:color="auto" w:fill="auto"/>
            <w:vAlign w:val="center"/>
          </w:tcPr>
          <w:p w14:paraId="098CB382">
            <w:pPr>
              <w:rPr>
                <w:rFonts w:ascii="宋体" w:hAnsi="宋体" w:cs="宋体"/>
                <w:szCs w:val="21"/>
              </w:rPr>
            </w:pPr>
            <w:r>
              <w:rPr>
                <w:rFonts w:hint="eastAsia"/>
              </w:rPr>
              <w:t>灵敏度:直流模式不大于28nV/bit ，交流模式不大于5nV/bit；</w:t>
            </w:r>
          </w:p>
        </w:tc>
        <w:tc>
          <w:tcPr>
            <w:tcW w:w="1034" w:type="dxa"/>
            <w:shd w:val="clear" w:color="auto" w:fill="auto"/>
          </w:tcPr>
          <w:p w14:paraId="016007C4">
            <w:pPr>
              <w:rPr>
                <w:rFonts w:ascii="宋体" w:hAnsi="宋体"/>
                <w:szCs w:val="21"/>
              </w:rPr>
            </w:pPr>
          </w:p>
        </w:tc>
      </w:tr>
      <w:tr w14:paraId="53AA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0735F7F9">
            <w:pPr>
              <w:jc w:val="center"/>
            </w:pPr>
            <w:r>
              <w:rPr>
                <w:rFonts w:hint="eastAsia"/>
              </w:rPr>
              <w:t>1</w:t>
            </w:r>
            <w:r>
              <w:t>2</w:t>
            </w:r>
          </w:p>
        </w:tc>
        <w:tc>
          <w:tcPr>
            <w:tcW w:w="6300" w:type="dxa"/>
            <w:shd w:val="clear" w:color="auto" w:fill="auto"/>
          </w:tcPr>
          <w:p w14:paraId="4DBF7A47">
            <w:pPr>
              <w:adjustRightInd w:val="0"/>
              <w:snapToGrid w:val="0"/>
              <w:spacing w:line="480" w:lineRule="exact"/>
              <w:rPr>
                <w:rFonts w:ascii="宋体" w:hAnsi="宋体" w:cs="宋体"/>
                <w:szCs w:val="21"/>
              </w:rPr>
            </w:pPr>
            <w:r>
              <w:rPr>
                <w:rFonts w:hint="eastAsia"/>
                <w:lang w:val="en-US" w:eastAsia="zh-CN"/>
              </w:rPr>
              <w:t>软件支持显示</w:t>
            </w:r>
            <w:r>
              <w:rPr>
                <w:rFonts w:hint="eastAsia"/>
              </w:rPr>
              <w:t>系统增益≥1900；</w:t>
            </w:r>
          </w:p>
        </w:tc>
        <w:tc>
          <w:tcPr>
            <w:tcW w:w="1034" w:type="dxa"/>
            <w:shd w:val="clear" w:color="auto" w:fill="auto"/>
          </w:tcPr>
          <w:p w14:paraId="5791EA6F">
            <w:pPr>
              <w:rPr>
                <w:rFonts w:ascii="宋体" w:hAnsi="宋体"/>
                <w:szCs w:val="21"/>
              </w:rPr>
            </w:pPr>
            <w:r>
              <w:rPr>
                <w:rFonts w:hint="eastAsia" w:ascii="宋体" w:hAnsi="宋体"/>
                <w:szCs w:val="21"/>
              </w:rPr>
              <w:t>*</w:t>
            </w:r>
          </w:p>
        </w:tc>
      </w:tr>
      <w:tr w14:paraId="45DE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C2D609A">
            <w:pPr>
              <w:jc w:val="center"/>
            </w:pPr>
            <w:r>
              <w:rPr>
                <w:rFonts w:hint="eastAsia"/>
              </w:rPr>
              <w:t>1</w:t>
            </w:r>
            <w:r>
              <w:t>3</w:t>
            </w:r>
          </w:p>
        </w:tc>
        <w:tc>
          <w:tcPr>
            <w:tcW w:w="6300" w:type="dxa"/>
            <w:shd w:val="clear" w:color="auto" w:fill="auto"/>
          </w:tcPr>
          <w:p w14:paraId="1ED21AE9">
            <w:pPr>
              <w:adjustRightInd w:val="0"/>
              <w:snapToGrid w:val="0"/>
              <w:spacing w:line="480" w:lineRule="exact"/>
              <w:rPr>
                <w:rFonts w:ascii="宋体" w:hAnsi="宋体" w:cs="宋体"/>
                <w:szCs w:val="21"/>
              </w:rPr>
            </w:pPr>
            <w:r>
              <w:rPr>
                <w:rFonts w:hint="eastAsia"/>
              </w:rPr>
              <w:t>核磁兼容控制盒可支持最少4个64导脑电同步采集，实现多人实时同步采集脑电功能。反应时、参考、接地可独立；同时软件支持显示和4个硬件对应的动画图标，图表上有和实物一一对应的面板图形界面；</w:t>
            </w:r>
          </w:p>
        </w:tc>
        <w:tc>
          <w:tcPr>
            <w:tcW w:w="1034" w:type="dxa"/>
            <w:shd w:val="clear" w:color="auto" w:fill="auto"/>
          </w:tcPr>
          <w:p w14:paraId="55E390AC">
            <w:pPr>
              <w:rPr>
                <w:rFonts w:ascii="宋体" w:hAnsi="宋体"/>
                <w:szCs w:val="21"/>
              </w:rPr>
            </w:pPr>
          </w:p>
        </w:tc>
      </w:tr>
      <w:tr w14:paraId="7F1B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9D9DC04">
            <w:pPr>
              <w:jc w:val="center"/>
            </w:pPr>
            <w:r>
              <w:rPr>
                <w:rFonts w:hint="eastAsia"/>
              </w:rPr>
              <w:t>1</w:t>
            </w:r>
            <w:r>
              <w:t>4</w:t>
            </w:r>
          </w:p>
        </w:tc>
        <w:tc>
          <w:tcPr>
            <w:tcW w:w="6300" w:type="dxa"/>
            <w:shd w:val="clear" w:color="auto" w:fill="auto"/>
          </w:tcPr>
          <w:p w14:paraId="0DA4653C">
            <w:pPr>
              <w:adjustRightInd w:val="0"/>
              <w:snapToGrid w:val="0"/>
              <w:spacing w:line="480" w:lineRule="exact"/>
              <w:rPr>
                <w:rFonts w:ascii="宋体" w:hAnsi="宋体" w:cs="宋体"/>
                <w:szCs w:val="21"/>
              </w:rPr>
            </w:pPr>
            <w:r>
              <w:t>刺激软件可自由编程，可实现声音、文字、文本、图片等不同类型的实验程序；</w:t>
            </w:r>
          </w:p>
        </w:tc>
        <w:tc>
          <w:tcPr>
            <w:tcW w:w="1034" w:type="dxa"/>
            <w:shd w:val="clear" w:color="auto" w:fill="auto"/>
          </w:tcPr>
          <w:p w14:paraId="4DCFF078">
            <w:pPr>
              <w:rPr>
                <w:rFonts w:ascii="宋体" w:hAnsi="宋体"/>
                <w:szCs w:val="21"/>
              </w:rPr>
            </w:pPr>
          </w:p>
        </w:tc>
      </w:tr>
      <w:tr w14:paraId="4A2A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32AC627A">
            <w:pPr>
              <w:jc w:val="center"/>
            </w:pPr>
            <w:r>
              <w:rPr>
                <w:rFonts w:hint="eastAsia"/>
              </w:rPr>
              <w:t>1</w:t>
            </w:r>
            <w:r>
              <w:t>5</w:t>
            </w:r>
          </w:p>
        </w:tc>
        <w:tc>
          <w:tcPr>
            <w:tcW w:w="6300" w:type="dxa"/>
            <w:shd w:val="clear" w:color="auto" w:fill="auto"/>
          </w:tcPr>
          <w:p w14:paraId="14FA6A17">
            <w:pPr>
              <w:adjustRightInd w:val="0"/>
              <w:snapToGrid w:val="0"/>
              <w:spacing w:line="480" w:lineRule="exact"/>
              <w:rPr>
                <w:rFonts w:ascii="宋体" w:hAnsi="宋体" w:cs="宋体"/>
                <w:szCs w:val="21"/>
              </w:rPr>
            </w:pPr>
            <w:r>
              <w:t>支持连续或分段采集；</w:t>
            </w:r>
          </w:p>
        </w:tc>
        <w:tc>
          <w:tcPr>
            <w:tcW w:w="1034" w:type="dxa"/>
            <w:shd w:val="clear" w:color="auto" w:fill="auto"/>
          </w:tcPr>
          <w:p w14:paraId="284BCD75">
            <w:pPr>
              <w:rPr>
                <w:rFonts w:ascii="宋体" w:hAnsi="宋体"/>
                <w:szCs w:val="21"/>
              </w:rPr>
            </w:pPr>
          </w:p>
        </w:tc>
      </w:tr>
      <w:tr w14:paraId="0789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BBEB5EA">
            <w:pPr>
              <w:jc w:val="center"/>
            </w:pPr>
            <w:r>
              <w:rPr>
                <w:rFonts w:hint="eastAsia"/>
              </w:rPr>
              <w:t>1</w:t>
            </w:r>
            <w:r>
              <w:t>6</w:t>
            </w:r>
          </w:p>
        </w:tc>
        <w:tc>
          <w:tcPr>
            <w:tcW w:w="6300" w:type="dxa"/>
            <w:shd w:val="clear" w:color="auto" w:fill="auto"/>
          </w:tcPr>
          <w:p w14:paraId="7D3B9E3B">
            <w:r>
              <w:t>在数据采集过程中所有事件均自动检测并记录，反应代码和刺激代码可以有效分离；</w:t>
            </w:r>
          </w:p>
        </w:tc>
        <w:tc>
          <w:tcPr>
            <w:tcW w:w="1034" w:type="dxa"/>
            <w:shd w:val="clear" w:color="auto" w:fill="auto"/>
          </w:tcPr>
          <w:p w14:paraId="7687F1AF">
            <w:pPr>
              <w:rPr>
                <w:rFonts w:ascii="宋体" w:hAnsi="宋体"/>
                <w:szCs w:val="21"/>
              </w:rPr>
            </w:pPr>
          </w:p>
        </w:tc>
      </w:tr>
      <w:tr w14:paraId="157B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B8520AA">
            <w:pPr>
              <w:jc w:val="center"/>
            </w:pPr>
            <w:r>
              <w:rPr>
                <w:rFonts w:hint="eastAsia"/>
              </w:rPr>
              <w:t>1</w:t>
            </w:r>
            <w:r>
              <w:t>7</w:t>
            </w:r>
          </w:p>
        </w:tc>
        <w:tc>
          <w:tcPr>
            <w:tcW w:w="6300" w:type="dxa"/>
            <w:shd w:val="clear" w:color="auto" w:fill="auto"/>
          </w:tcPr>
          <w:p w14:paraId="5AA84319">
            <w:pPr>
              <w:adjustRightInd w:val="0"/>
              <w:snapToGrid w:val="0"/>
              <w:spacing w:line="480" w:lineRule="exact"/>
              <w:rPr>
                <w:rFonts w:ascii="宋体" w:hAnsi="宋体" w:cs="宋体"/>
                <w:szCs w:val="21"/>
              </w:rPr>
            </w:pPr>
            <w:r>
              <w:t>可以在线进行脑电阻抗检测及数据分析：滤波、数据重组、叠加平、PCA/ICA成分分析</w:t>
            </w:r>
          </w:p>
        </w:tc>
        <w:tc>
          <w:tcPr>
            <w:tcW w:w="1034" w:type="dxa"/>
            <w:shd w:val="clear" w:color="auto" w:fill="auto"/>
          </w:tcPr>
          <w:p w14:paraId="45468FE9">
            <w:pPr>
              <w:rPr>
                <w:rFonts w:ascii="宋体" w:hAnsi="宋体"/>
                <w:szCs w:val="21"/>
              </w:rPr>
            </w:pPr>
          </w:p>
        </w:tc>
      </w:tr>
      <w:tr w14:paraId="4CF5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038B500">
            <w:pPr>
              <w:jc w:val="center"/>
            </w:pPr>
            <w:r>
              <w:rPr>
                <w:rFonts w:hint="eastAsia"/>
              </w:rPr>
              <w:t>1</w:t>
            </w:r>
            <w:r>
              <w:t>8</w:t>
            </w:r>
          </w:p>
        </w:tc>
        <w:tc>
          <w:tcPr>
            <w:tcW w:w="6300" w:type="dxa"/>
            <w:shd w:val="clear" w:color="auto" w:fill="auto"/>
          </w:tcPr>
          <w:p w14:paraId="31880EFD">
            <w:pPr>
              <w:adjustRightInd w:val="0"/>
              <w:snapToGrid w:val="0"/>
              <w:spacing w:line="480" w:lineRule="exact"/>
              <w:rPr>
                <w:rFonts w:ascii="宋体" w:hAnsi="宋体" w:cs="宋体"/>
                <w:szCs w:val="21"/>
              </w:rPr>
            </w:pPr>
            <w:r>
              <w:rPr>
                <w:rFonts w:hint="eastAsia"/>
                <w:lang w:val="en-US" w:eastAsia="zh-CN"/>
              </w:rPr>
              <w:t>支持</w:t>
            </w:r>
            <w:r>
              <w:t>在线数据转接到Matlab；</w:t>
            </w:r>
          </w:p>
        </w:tc>
        <w:tc>
          <w:tcPr>
            <w:tcW w:w="1034" w:type="dxa"/>
            <w:shd w:val="clear" w:color="auto" w:fill="auto"/>
          </w:tcPr>
          <w:p w14:paraId="1AF7F762">
            <w:pPr>
              <w:rPr>
                <w:rFonts w:ascii="宋体" w:hAnsi="宋体"/>
                <w:szCs w:val="21"/>
              </w:rPr>
            </w:pPr>
          </w:p>
        </w:tc>
      </w:tr>
      <w:tr w14:paraId="4A48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374D6CA">
            <w:pPr>
              <w:jc w:val="center"/>
            </w:pPr>
            <w:r>
              <w:rPr>
                <w:rFonts w:hint="eastAsia"/>
              </w:rPr>
              <w:t>1</w:t>
            </w:r>
            <w:r>
              <w:t>9</w:t>
            </w:r>
          </w:p>
        </w:tc>
        <w:tc>
          <w:tcPr>
            <w:tcW w:w="6300" w:type="dxa"/>
            <w:shd w:val="clear" w:color="auto" w:fill="auto"/>
          </w:tcPr>
          <w:p w14:paraId="3B584A6E">
            <w:pPr>
              <w:adjustRightInd w:val="0"/>
              <w:snapToGrid w:val="0"/>
              <w:spacing w:line="480" w:lineRule="exact"/>
              <w:rPr>
                <w:rFonts w:hint="default" w:ascii="宋体" w:hAnsi="宋体" w:eastAsia="宋体" w:cs="宋体"/>
                <w:szCs w:val="21"/>
                <w:lang w:val="en-US" w:eastAsia="zh-CN"/>
              </w:rPr>
            </w:pPr>
            <w:r>
              <w:rPr>
                <w:rFonts w:hint="eastAsia" w:ascii="宋体" w:hAnsi="宋体" w:cs="宋体"/>
                <w:szCs w:val="21"/>
                <w:lang w:val="en-US" w:eastAsia="zh-CN"/>
              </w:rPr>
              <w:t>软件支持同时显示最多8个64导放大器图标，并且每一个放大器图标都具有和真实放大器一样的布局结构；</w:t>
            </w:r>
          </w:p>
        </w:tc>
        <w:tc>
          <w:tcPr>
            <w:tcW w:w="1034" w:type="dxa"/>
            <w:shd w:val="clear" w:color="auto" w:fill="auto"/>
          </w:tcPr>
          <w:p w14:paraId="5F0CB659">
            <w:pPr>
              <w:rPr>
                <w:rFonts w:ascii="宋体" w:hAnsi="宋体"/>
                <w:szCs w:val="21"/>
              </w:rPr>
            </w:pPr>
            <w:r>
              <w:rPr>
                <w:rFonts w:hint="eastAsia" w:ascii="宋体" w:hAnsi="宋体"/>
                <w:szCs w:val="21"/>
              </w:rPr>
              <w:t>*</w:t>
            </w:r>
          </w:p>
        </w:tc>
      </w:tr>
      <w:tr w14:paraId="02DC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D7F83BE">
            <w:pPr>
              <w:jc w:val="center"/>
            </w:pPr>
            <w:r>
              <w:rPr>
                <w:rFonts w:hint="eastAsia"/>
              </w:rPr>
              <w:t>2</w:t>
            </w:r>
            <w:r>
              <w:t>0</w:t>
            </w:r>
          </w:p>
        </w:tc>
        <w:tc>
          <w:tcPr>
            <w:tcW w:w="6300" w:type="dxa"/>
            <w:shd w:val="clear" w:color="auto" w:fill="auto"/>
            <w:vAlign w:val="top"/>
          </w:tcPr>
          <w:p w14:paraId="4C2E9DF8">
            <w:pPr>
              <w:adjustRightInd w:val="0"/>
              <w:snapToGrid w:val="0"/>
              <w:spacing w:line="480" w:lineRule="exact"/>
              <w:rPr>
                <w:rFonts w:hint="default" w:ascii="宋体" w:hAnsi="宋体" w:eastAsia="宋体" w:cs="宋体"/>
                <w:kern w:val="2"/>
                <w:sz w:val="21"/>
                <w:szCs w:val="21"/>
                <w:lang w:val="en-US" w:eastAsia="zh-CN" w:bidi="ar-SA"/>
              </w:rPr>
            </w:pPr>
            <w:r>
              <w:t>支持2D和3D脑电地形图及其动态在线呈现功能</w:t>
            </w:r>
            <w:r>
              <w:rPr>
                <w:rFonts w:hint="eastAsia"/>
                <w:lang w:eastAsia="zh-CN"/>
              </w:rPr>
              <w:t>；</w:t>
            </w:r>
          </w:p>
        </w:tc>
        <w:tc>
          <w:tcPr>
            <w:tcW w:w="1034" w:type="dxa"/>
            <w:shd w:val="clear" w:color="auto" w:fill="auto"/>
          </w:tcPr>
          <w:p w14:paraId="53145E92">
            <w:pPr>
              <w:rPr>
                <w:rFonts w:ascii="宋体" w:hAnsi="宋体"/>
                <w:szCs w:val="21"/>
              </w:rPr>
            </w:pPr>
          </w:p>
        </w:tc>
      </w:tr>
      <w:tr w14:paraId="1964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D6BFEB3">
            <w:pPr>
              <w:jc w:val="center"/>
            </w:pPr>
            <w:r>
              <w:rPr>
                <w:rFonts w:hint="eastAsia"/>
              </w:rPr>
              <w:t>2</w:t>
            </w:r>
            <w:r>
              <w:t>1</w:t>
            </w:r>
          </w:p>
        </w:tc>
        <w:tc>
          <w:tcPr>
            <w:tcW w:w="6300" w:type="dxa"/>
            <w:shd w:val="clear" w:color="auto" w:fill="auto"/>
            <w:vAlign w:val="top"/>
          </w:tcPr>
          <w:p w14:paraId="150B7BAB">
            <w:pPr>
              <w:rPr>
                <w:rFonts w:ascii="Times New Roman" w:hAnsi="Times New Roman" w:eastAsia="宋体" w:cs="Times New Roman"/>
                <w:kern w:val="2"/>
                <w:sz w:val="21"/>
                <w:szCs w:val="24"/>
                <w:lang w:val="en-US" w:eastAsia="zh-CN" w:bidi="ar-SA"/>
              </w:rPr>
            </w:pPr>
            <w:r>
              <w:t>3 D 视图可以对电极、数据和大脑模型的操作进行真实的3 D 呈现</w:t>
            </w:r>
            <w:r>
              <w:rPr>
                <w:rFonts w:hint="eastAsia"/>
                <w:lang w:val="en-US" w:eastAsia="zh-CN"/>
              </w:rPr>
              <w:t>功能</w:t>
            </w:r>
            <w:r>
              <w:t>；</w:t>
            </w:r>
          </w:p>
        </w:tc>
        <w:tc>
          <w:tcPr>
            <w:tcW w:w="1034" w:type="dxa"/>
            <w:shd w:val="clear" w:color="auto" w:fill="auto"/>
          </w:tcPr>
          <w:p w14:paraId="40A0CB89">
            <w:pPr>
              <w:rPr>
                <w:rFonts w:ascii="宋体" w:hAnsi="宋体"/>
                <w:szCs w:val="21"/>
              </w:rPr>
            </w:pPr>
          </w:p>
        </w:tc>
      </w:tr>
      <w:tr w14:paraId="25E7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BF221B2">
            <w:pPr>
              <w:jc w:val="center"/>
            </w:pPr>
            <w:r>
              <w:rPr>
                <w:rFonts w:hint="eastAsia"/>
              </w:rPr>
              <w:t>2</w:t>
            </w:r>
            <w:r>
              <w:t>2</w:t>
            </w:r>
          </w:p>
        </w:tc>
        <w:tc>
          <w:tcPr>
            <w:tcW w:w="6300" w:type="dxa"/>
            <w:shd w:val="clear" w:color="auto" w:fill="auto"/>
            <w:vAlign w:val="top"/>
          </w:tcPr>
          <w:p w14:paraId="3E75FE68">
            <w:pPr>
              <w:adjustRightInd w:val="0"/>
              <w:snapToGrid w:val="0"/>
              <w:spacing w:line="480" w:lineRule="exact"/>
              <w:rPr>
                <w:rFonts w:hint="eastAsia" w:ascii="宋体" w:hAnsi="宋体" w:eastAsia="宋体" w:cs="宋体"/>
                <w:kern w:val="2"/>
                <w:sz w:val="21"/>
                <w:szCs w:val="21"/>
                <w:lang w:val="en-US" w:eastAsia="zh-CN" w:bidi="ar-SA"/>
              </w:rPr>
            </w:pPr>
            <w:r>
              <w:t>2 D 地形图可以定制单独的地形图或同时包含时间和周期及频域的动态地形图</w:t>
            </w:r>
            <w:r>
              <w:rPr>
                <w:rFonts w:hint="eastAsia"/>
                <w:lang w:eastAsia="zh-CN"/>
              </w:rPr>
              <w:t>；</w:t>
            </w:r>
          </w:p>
        </w:tc>
        <w:tc>
          <w:tcPr>
            <w:tcW w:w="1034" w:type="dxa"/>
            <w:shd w:val="clear" w:color="auto" w:fill="auto"/>
          </w:tcPr>
          <w:p w14:paraId="3E4B18FA">
            <w:pPr>
              <w:rPr>
                <w:rFonts w:ascii="宋体" w:hAnsi="宋体"/>
                <w:szCs w:val="21"/>
              </w:rPr>
            </w:pPr>
          </w:p>
        </w:tc>
      </w:tr>
      <w:tr w14:paraId="3678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0AED76A">
            <w:pPr>
              <w:jc w:val="center"/>
            </w:pPr>
            <w:r>
              <w:rPr>
                <w:rFonts w:hint="eastAsia"/>
              </w:rPr>
              <w:t>2</w:t>
            </w:r>
            <w:r>
              <w:t>3</w:t>
            </w:r>
          </w:p>
        </w:tc>
        <w:tc>
          <w:tcPr>
            <w:tcW w:w="6300" w:type="dxa"/>
            <w:shd w:val="clear" w:color="auto" w:fill="auto"/>
            <w:vAlign w:val="top"/>
          </w:tcPr>
          <w:p w14:paraId="4938282B">
            <w:pPr>
              <w:adjustRightInd w:val="0"/>
              <w:snapToGrid w:val="0"/>
              <w:spacing w:line="480" w:lineRule="exact"/>
              <w:rPr>
                <w:rFonts w:ascii="宋体" w:hAnsi="宋体" w:eastAsia="宋体" w:cs="宋体"/>
                <w:kern w:val="2"/>
                <w:sz w:val="21"/>
                <w:szCs w:val="21"/>
                <w:lang w:val="en-US" w:eastAsia="zh-CN" w:bidi="ar-SA"/>
              </w:rPr>
            </w:pPr>
            <w:r>
              <w:t>支持根据实验和研究需求进行去除眼电干扰及伪迹剃除；</w:t>
            </w:r>
          </w:p>
        </w:tc>
        <w:tc>
          <w:tcPr>
            <w:tcW w:w="1034" w:type="dxa"/>
            <w:shd w:val="clear" w:color="auto" w:fill="auto"/>
          </w:tcPr>
          <w:p w14:paraId="037C10B5">
            <w:pPr>
              <w:rPr>
                <w:rFonts w:ascii="宋体" w:hAnsi="宋体"/>
                <w:szCs w:val="21"/>
              </w:rPr>
            </w:pPr>
          </w:p>
        </w:tc>
      </w:tr>
      <w:tr w14:paraId="3AA1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764A1445">
            <w:pPr>
              <w:jc w:val="center"/>
            </w:pPr>
            <w:r>
              <w:rPr>
                <w:rFonts w:hint="eastAsia"/>
              </w:rPr>
              <w:t>2</w:t>
            </w:r>
            <w:r>
              <w:t>4</w:t>
            </w:r>
          </w:p>
        </w:tc>
        <w:tc>
          <w:tcPr>
            <w:tcW w:w="6300" w:type="dxa"/>
            <w:shd w:val="clear" w:color="auto" w:fill="auto"/>
            <w:vAlign w:val="top"/>
          </w:tcPr>
          <w:p w14:paraId="6831B893">
            <w:pPr>
              <w:rPr>
                <w:rFonts w:hint="eastAsia" w:ascii="Times New Roman" w:hAnsi="Times New Roman" w:eastAsia="宋体" w:cs="Times New Roman"/>
                <w:kern w:val="2"/>
                <w:sz w:val="21"/>
                <w:szCs w:val="24"/>
                <w:lang w:val="en-US" w:eastAsia="zh-CN" w:bidi="ar-SA"/>
              </w:rPr>
            </w:pPr>
            <w:r>
              <w:t>用户可根据需要自定义ERP数据处理流程，包括：重参考选择、ERP波形画图、ERP峰值/潜伏期导出、ERP平均幅值导出、不同事件波形相加/减运算等，完成P1,P50,N170,P300.N400等经典ERP成分实验；</w:t>
            </w:r>
          </w:p>
        </w:tc>
        <w:tc>
          <w:tcPr>
            <w:tcW w:w="1034" w:type="dxa"/>
            <w:shd w:val="clear" w:color="auto" w:fill="auto"/>
          </w:tcPr>
          <w:p w14:paraId="32AAF810">
            <w:pPr>
              <w:rPr>
                <w:rFonts w:ascii="宋体" w:hAnsi="宋体"/>
                <w:szCs w:val="21"/>
              </w:rPr>
            </w:pPr>
          </w:p>
        </w:tc>
      </w:tr>
      <w:tr w14:paraId="2D75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2C53BF2">
            <w:pPr>
              <w:jc w:val="center"/>
            </w:pPr>
            <w:r>
              <w:rPr>
                <w:rFonts w:hint="eastAsia"/>
              </w:rPr>
              <w:t>2</w:t>
            </w:r>
            <w:r>
              <w:t>5</w:t>
            </w:r>
          </w:p>
        </w:tc>
        <w:tc>
          <w:tcPr>
            <w:tcW w:w="6300" w:type="dxa"/>
            <w:shd w:val="clear" w:color="auto" w:fill="auto"/>
            <w:vAlign w:val="top"/>
          </w:tcPr>
          <w:p w14:paraId="04D45FE7">
            <w:pPr>
              <w:adjustRightInd w:val="0"/>
              <w:snapToGrid w:val="0"/>
              <w:spacing w:line="480" w:lineRule="exact"/>
              <w:rPr>
                <w:rFonts w:ascii="宋体" w:hAnsi="宋体" w:eastAsia="宋体" w:cs="宋体"/>
                <w:kern w:val="2"/>
                <w:sz w:val="21"/>
                <w:szCs w:val="21"/>
                <w:lang w:val="en-US" w:eastAsia="zh-CN" w:bidi="ar-SA"/>
              </w:rPr>
            </w:pPr>
            <w:r>
              <w:t>支持实时的线性噪声衰减功能：非滤波、自适应噪声消除</w:t>
            </w:r>
            <w:r>
              <w:rPr>
                <w:rFonts w:hint="eastAsia"/>
              </w:rPr>
              <w:t>；</w:t>
            </w:r>
          </w:p>
        </w:tc>
        <w:tc>
          <w:tcPr>
            <w:tcW w:w="1034" w:type="dxa"/>
            <w:shd w:val="clear" w:color="auto" w:fill="auto"/>
          </w:tcPr>
          <w:p w14:paraId="0751CAA8">
            <w:pPr>
              <w:rPr>
                <w:rFonts w:ascii="宋体" w:hAnsi="宋体"/>
                <w:szCs w:val="21"/>
              </w:rPr>
            </w:pPr>
          </w:p>
        </w:tc>
      </w:tr>
      <w:tr w14:paraId="2A2B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1505C0A">
            <w:pPr>
              <w:jc w:val="center"/>
              <w:rPr>
                <w:rFonts w:hint="eastAsia" w:eastAsia="宋体"/>
                <w:lang w:eastAsia="zh-CN"/>
              </w:rPr>
            </w:pPr>
            <w:r>
              <w:rPr>
                <w:rFonts w:hint="eastAsia"/>
              </w:rPr>
              <w:t>2</w:t>
            </w:r>
            <w:r>
              <w:rPr>
                <w:rFonts w:hint="eastAsia"/>
                <w:lang w:val="en-US" w:eastAsia="zh-CN"/>
              </w:rPr>
              <w:t>6</w:t>
            </w:r>
          </w:p>
        </w:tc>
        <w:tc>
          <w:tcPr>
            <w:tcW w:w="6300" w:type="dxa"/>
            <w:shd w:val="clear" w:color="auto" w:fill="auto"/>
          </w:tcPr>
          <w:p w14:paraId="53366B62">
            <w:pPr>
              <w:adjustRightInd w:val="0"/>
              <w:snapToGrid w:val="0"/>
              <w:spacing w:line="480" w:lineRule="exact"/>
              <w:rPr>
                <w:rFonts w:hint="default" w:ascii="宋体" w:hAnsi="宋体" w:eastAsia="宋体" w:cs="宋体"/>
                <w:szCs w:val="21"/>
                <w:lang w:val="en-US" w:eastAsia="zh-CN"/>
              </w:rPr>
            </w:pPr>
            <w:r>
              <w:rPr>
                <w:rFonts w:hint="eastAsia" w:ascii="宋体" w:hAnsi="宋体" w:cs="宋体"/>
                <w:szCs w:val="21"/>
                <w:lang w:val="en-US" w:eastAsia="zh-CN"/>
              </w:rPr>
              <w:t>采集软件和事件相关电位分析软件为同一品牌软件，不接受开源软件；</w:t>
            </w:r>
          </w:p>
        </w:tc>
        <w:tc>
          <w:tcPr>
            <w:tcW w:w="1034" w:type="dxa"/>
            <w:shd w:val="clear" w:color="auto" w:fill="auto"/>
          </w:tcPr>
          <w:p w14:paraId="499EDE3A">
            <w:pPr>
              <w:rPr>
                <w:rFonts w:ascii="宋体" w:hAnsi="宋体"/>
                <w:szCs w:val="21"/>
              </w:rPr>
            </w:pPr>
            <w:r>
              <w:rPr>
                <w:rFonts w:hint="eastAsia" w:ascii="宋体" w:hAnsi="宋体"/>
                <w:szCs w:val="21"/>
              </w:rPr>
              <w:t>*</w:t>
            </w:r>
          </w:p>
        </w:tc>
      </w:tr>
      <w:tr w14:paraId="3711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8ADE3E7">
            <w:pPr>
              <w:jc w:val="center"/>
              <w:rPr>
                <w:rFonts w:hint="default" w:eastAsia="宋体"/>
                <w:lang w:val="en-US" w:eastAsia="zh-CN"/>
              </w:rPr>
            </w:pPr>
            <w:r>
              <w:rPr>
                <w:rFonts w:hint="eastAsia"/>
                <w:lang w:val="en-US" w:eastAsia="zh-CN"/>
              </w:rPr>
              <w:t>27</w:t>
            </w:r>
          </w:p>
        </w:tc>
        <w:tc>
          <w:tcPr>
            <w:tcW w:w="6300" w:type="dxa"/>
            <w:shd w:val="clear" w:color="auto" w:fill="auto"/>
          </w:tcPr>
          <w:p w14:paraId="6301C491">
            <w:pPr>
              <w:adjustRightInd w:val="0"/>
              <w:snapToGrid w:val="0"/>
              <w:spacing w:line="480" w:lineRule="exact"/>
              <w:rPr>
                <w:rFonts w:ascii="宋体" w:hAnsi="宋体" w:cs="宋体"/>
                <w:szCs w:val="21"/>
              </w:rPr>
            </w:pPr>
            <w:r>
              <w:rPr>
                <w:rFonts w:hint="eastAsia"/>
              </w:rPr>
              <w:t>提供P300、SSVEP、MI脑机接口实验范式；</w:t>
            </w:r>
          </w:p>
        </w:tc>
        <w:tc>
          <w:tcPr>
            <w:tcW w:w="1034" w:type="dxa"/>
            <w:shd w:val="clear" w:color="auto" w:fill="auto"/>
          </w:tcPr>
          <w:p w14:paraId="0D6331E8">
            <w:pPr>
              <w:rPr>
                <w:rFonts w:ascii="宋体" w:hAnsi="宋体"/>
                <w:szCs w:val="21"/>
              </w:rPr>
            </w:pPr>
          </w:p>
        </w:tc>
      </w:tr>
      <w:tr w14:paraId="382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141019AC">
            <w:pPr>
              <w:jc w:val="center"/>
              <w:rPr>
                <w:rFonts w:hint="default" w:eastAsia="宋体"/>
                <w:lang w:val="en-US" w:eastAsia="zh-CN"/>
              </w:rPr>
            </w:pPr>
            <w:r>
              <w:rPr>
                <w:rFonts w:hint="eastAsia"/>
                <w:lang w:val="en-US" w:eastAsia="zh-CN"/>
              </w:rPr>
              <w:t>28</w:t>
            </w:r>
          </w:p>
        </w:tc>
        <w:tc>
          <w:tcPr>
            <w:tcW w:w="6300" w:type="dxa"/>
            <w:shd w:val="clear" w:color="auto" w:fill="auto"/>
          </w:tcPr>
          <w:p w14:paraId="2A4E4F6B">
            <w:pPr>
              <w:adjustRightInd w:val="0"/>
              <w:snapToGrid w:val="0"/>
              <w:spacing w:line="480" w:lineRule="exact"/>
              <w:rPr>
                <w:rFonts w:ascii="宋体" w:hAnsi="宋体" w:cs="宋体"/>
                <w:szCs w:val="21"/>
              </w:rPr>
            </w:pPr>
            <w:r>
              <w:rPr>
                <w:rFonts w:hint="eastAsia"/>
              </w:rPr>
              <w:t>电极帽采用</w:t>
            </w:r>
            <w:r>
              <w:t>标准的银/氯化银(Ag/AgC1)电极；</w:t>
            </w:r>
          </w:p>
        </w:tc>
        <w:tc>
          <w:tcPr>
            <w:tcW w:w="1034" w:type="dxa"/>
            <w:shd w:val="clear" w:color="auto" w:fill="auto"/>
          </w:tcPr>
          <w:p w14:paraId="274D89C2">
            <w:pPr>
              <w:rPr>
                <w:rFonts w:ascii="宋体" w:hAnsi="宋体"/>
                <w:szCs w:val="21"/>
              </w:rPr>
            </w:pPr>
          </w:p>
        </w:tc>
      </w:tr>
      <w:tr w14:paraId="48E6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B8A06CA">
            <w:pPr>
              <w:jc w:val="center"/>
              <w:rPr>
                <w:rFonts w:hint="default" w:eastAsia="宋体"/>
                <w:lang w:val="en-US" w:eastAsia="zh-CN"/>
              </w:rPr>
            </w:pPr>
            <w:r>
              <w:rPr>
                <w:rFonts w:hint="eastAsia"/>
                <w:lang w:val="en-US" w:eastAsia="zh-CN"/>
              </w:rPr>
              <w:t>29</w:t>
            </w:r>
          </w:p>
        </w:tc>
        <w:tc>
          <w:tcPr>
            <w:tcW w:w="6300" w:type="dxa"/>
            <w:shd w:val="clear" w:color="auto" w:fill="auto"/>
          </w:tcPr>
          <w:p w14:paraId="3CB897CB">
            <w:pPr>
              <w:adjustRightInd w:val="0"/>
              <w:snapToGrid w:val="0"/>
              <w:spacing w:line="480" w:lineRule="exact"/>
              <w:rPr>
                <w:rFonts w:ascii="宋体" w:hAnsi="宋体" w:cs="宋体"/>
                <w:szCs w:val="21"/>
              </w:rPr>
            </w:pPr>
            <w:r>
              <w:rPr>
                <w:rFonts w:hint="eastAsia"/>
              </w:rPr>
              <w:t>电极帽的</w:t>
            </w:r>
            <w:r>
              <w:t>电极被包裹在软橡胶内固定，使佩带者更舒适；</w:t>
            </w:r>
          </w:p>
        </w:tc>
        <w:tc>
          <w:tcPr>
            <w:tcW w:w="1034" w:type="dxa"/>
            <w:shd w:val="clear" w:color="auto" w:fill="auto"/>
          </w:tcPr>
          <w:p w14:paraId="647E723B">
            <w:pPr>
              <w:rPr>
                <w:rFonts w:ascii="宋体" w:hAnsi="宋体"/>
                <w:szCs w:val="21"/>
              </w:rPr>
            </w:pPr>
          </w:p>
        </w:tc>
      </w:tr>
      <w:tr w14:paraId="67C8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67228ED0">
            <w:pPr>
              <w:jc w:val="center"/>
              <w:rPr>
                <w:rFonts w:hint="default" w:eastAsia="宋体"/>
                <w:lang w:val="en-US" w:eastAsia="zh-CN"/>
              </w:rPr>
            </w:pPr>
            <w:r>
              <w:rPr>
                <w:rFonts w:hint="eastAsia"/>
                <w:lang w:val="en-US" w:eastAsia="zh-CN"/>
              </w:rPr>
              <w:t>30</w:t>
            </w:r>
          </w:p>
        </w:tc>
        <w:tc>
          <w:tcPr>
            <w:tcW w:w="6300" w:type="dxa"/>
            <w:shd w:val="clear" w:color="auto" w:fill="auto"/>
          </w:tcPr>
          <w:p w14:paraId="27F4344F">
            <w:pPr>
              <w:adjustRightInd w:val="0"/>
              <w:snapToGrid w:val="0"/>
              <w:spacing w:line="480" w:lineRule="exact"/>
              <w:rPr>
                <w:rFonts w:ascii="宋体" w:hAnsi="宋体" w:cs="宋体"/>
                <w:szCs w:val="21"/>
              </w:rPr>
            </w:pPr>
            <w:r>
              <w:rPr>
                <w:rFonts w:hint="eastAsia"/>
              </w:rPr>
              <w:t>电极帽的</w:t>
            </w:r>
            <w:r>
              <w:t>所有电极都很清楚地标记在帽子上，不是在放大器的接口上，使电极的定位快速简便；</w:t>
            </w:r>
          </w:p>
        </w:tc>
        <w:tc>
          <w:tcPr>
            <w:tcW w:w="1034" w:type="dxa"/>
            <w:shd w:val="clear" w:color="auto" w:fill="auto"/>
          </w:tcPr>
          <w:p w14:paraId="55E9393D">
            <w:pPr>
              <w:rPr>
                <w:rFonts w:ascii="宋体" w:hAnsi="宋体"/>
                <w:szCs w:val="21"/>
              </w:rPr>
            </w:pPr>
          </w:p>
        </w:tc>
      </w:tr>
      <w:tr w14:paraId="1AD1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82E7778">
            <w:pPr>
              <w:jc w:val="center"/>
              <w:rPr>
                <w:rFonts w:hint="eastAsia" w:eastAsia="宋体"/>
                <w:lang w:eastAsia="zh-CN"/>
              </w:rPr>
            </w:pPr>
            <w:r>
              <w:rPr>
                <w:rFonts w:hint="eastAsia"/>
              </w:rPr>
              <w:t>3</w:t>
            </w:r>
            <w:r>
              <w:rPr>
                <w:rFonts w:hint="eastAsia"/>
                <w:lang w:val="en-US" w:eastAsia="zh-CN"/>
              </w:rPr>
              <w:t>1</w:t>
            </w:r>
          </w:p>
        </w:tc>
        <w:tc>
          <w:tcPr>
            <w:tcW w:w="6300" w:type="dxa"/>
            <w:shd w:val="clear" w:color="auto" w:fill="auto"/>
          </w:tcPr>
          <w:p w14:paraId="106337C7">
            <w:pPr>
              <w:adjustRightInd w:val="0"/>
              <w:snapToGrid w:val="0"/>
              <w:spacing w:line="480" w:lineRule="exact"/>
              <w:rPr>
                <w:rFonts w:ascii="宋体" w:hAnsi="宋体" w:cs="宋体"/>
                <w:szCs w:val="21"/>
              </w:rPr>
            </w:pPr>
            <w:r>
              <w:t>导电介质为导电膏</w:t>
            </w:r>
            <w:r>
              <w:rPr>
                <w:rFonts w:hint="eastAsia"/>
              </w:rPr>
              <w:t>时</w:t>
            </w:r>
            <w:r>
              <w:t>，输入阻抗不大于5KOhms</w:t>
            </w:r>
            <w:r>
              <w:rPr>
                <w:rFonts w:hint="eastAsia"/>
              </w:rPr>
              <w:t>；</w:t>
            </w:r>
          </w:p>
        </w:tc>
        <w:tc>
          <w:tcPr>
            <w:tcW w:w="1034" w:type="dxa"/>
            <w:shd w:val="clear" w:color="auto" w:fill="auto"/>
          </w:tcPr>
          <w:p w14:paraId="18746297">
            <w:pPr>
              <w:rPr>
                <w:rFonts w:ascii="宋体" w:hAnsi="宋体"/>
                <w:szCs w:val="21"/>
              </w:rPr>
            </w:pPr>
          </w:p>
        </w:tc>
      </w:tr>
      <w:tr w14:paraId="490E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763D915F">
            <w:pPr>
              <w:jc w:val="center"/>
              <w:rPr>
                <w:rFonts w:hint="eastAsia" w:eastAsia="宋体"/>
                <w:lang w:eastAsia="zh-CN"/>
              </w:rPr>
            </w:pPr>
            <w:r>
              <w:rPr>
                <w:rFonts w:hint="eastAsia"/>
              </w:rPr>
              <w:t>3</w:t>
            </w:r>
            <w:r>
              <w:rPr>
                <w:rFonts w:hint="eastAsia"/>
                <w:lang w:val="en-US" w:eastAsia="zh-CN"/>
              </w:rPr>
              <w:t>2</w:t>
            </w:r>
          </w:p>
        </w:tc>
        <w:tc>
          <w:tcPr>
            <w:tcW w:w="6300" w:type="dxa"/>
            <w:shd w:val="clear" w:color="auto" w:fill="auto"/>
          </w:tcPr>
          <w:p w14:paraId="5C5F86D2">
            <w:pPr>
              <w:adjustRightInd w:val="0"/>
              <w:snapToGrid w:val="0"/>
              <w:spacing w:line="480" w:lineRule="exact"/>
              <w:rPr>
                <w:rFonts w:ascii="宋体" w:hAnsi="宋体" w:cs="宋体"/>
                <w:szCs w:val="21"/>
              </w:rPr>
            </w:pPr>
            <w:r>
              <w:rPr>
                <w:rFonts w:hint="eastAsia"/>
              </w:rPr>
              <w:t>投标产品为进口产品时，需要提供生产厂家的授权书；</w:t>
            </w:r>
          </w:p>
        </w:tc>
        <w:tc>
          <w:tcPr>
            <w:tcW w:w="1034" w:type="dxa"/>
            <w:shd w:val="clear" w:color="auto" w:fill="auto"/>
          </w:tcPr>
          <w:p w14:paraId="3493A234">
            <w:pPr>
              <w:rPr>
                <w:rFonts w:ascii="宋体" w:hAnsi="宋体"/>
                <w:szCs w:val="21"/>
              </w:rPr>
            </w:pPr>
          </w:p>
        </w:tc>
      </w:tr>
      <w:tr w14:paraId="66EA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53BAA3F9">
            <w:pPr>
              <w:jc w:val="center"/>
              <w:rPr>
                <w:rFonts w:hint="eastAsia" w:eastAsia="宋体"/>
                <w:lang w:eastAsia="zh-CN"/>
              </w:rPr>
            </w:pPr>
            <w:r>
              <w:rPr>
                <w:rFonts w:hint="eastAsia"/>
              </w:rPr>
              <w:t>3</w:t>
            </w:r>
            <w:r>
              <w:rPr>
                <w:rFonts w:hint="eastAsia"/>
                <w:lang w:val="en-US" w:eastAsia="zh-CN"/>
              </w:rPr>
              <w:t>3</w:t>
            </w:r>
          </w:p>
        </w:tc>
        <w:tc>
          <w:tcPr>
            <w:tcW w:w="6300" w:type="dxa"/>
            <w:shd w:val="clear" w:color="auto" w:fill="auto"/>
          </w:tcPr>
          <w:p w14:paraId="1D6A66DE">
            <w:pPr>
              <w:adjustRightInd w:val="0"/>
              <w:snapToGrid w:val="0"/>
              <w:spacing w:line="480" w:lineRule="exact"/>
              <w:rPr>
                <w:rFonts w:ascii="宋体" w:hAnsi="宋体" w:cs="宋体"/>
                <w:szCs w:val="21"/>
              </w:rPr>
            </w:pPr>
            <w:r>
              <w:rPr>
                <w:rFonts w:hint="eastAsia"/>
              </w:rPr>
              <w:t>招投标流程中，有争议者签订合同前要带样机进行检测，一切费用由供应商承担。</w:t>
            </w:r>
          </w:p>
        </w:tc>
        <w:tc>
          <w:tcPr>
            <w:tcW w:w="1034" w:type="dxa"/>
            <w:shd w:val="clear" w:color="auto" w:fill="auto"/>
          </w:tcPr>
          <w:p w14:paraId="1A3FDF0B">
            <w:pPr>
              <w:rPr>
                <w:rFonts w:ascii="宋体" w:hAnsi="宋体"/>
                <w:szCs w:val="21"/>
              </w:rPr>
            </w:pPr>
          </w:p>
        </w:tc>
      </w:tr>
      <w:tr w14:paraId="551C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F33DE4E">
            <w:pPr>
              <w:jc w:val="center"/>
              <w:rPr>
                <w:rFonts w:hint="eastAsia" w:eastAsia="宋体"/>
                <w:lang w:eastAsia="zh-CN"/>
              </w:rPr>
            </w:pPr>
            <w:r>
              <w:rPr>
                <w:rFonts w:hint="eastAsia"/>
              </w:rPr>
              <w:t>3</w:t>
            </w:r>
            <w:r>
              <w:rPr>
                <w:rFonts w:hint="eastAsia"/>
                <w:lang w:val="en-US" w:eastAsia="zh-CN"/>
              </w:rPr>
              <w:t>4</w:t>
            </w:r>
          </w:p>
        </w:tc>
        <w:tc>
          <w:tcPr>
            <w:tcW w:w="6300" w:type="dxa"/>
            <w:shd w:val="clear" w:color="auto" w:fill="auto"/>
          </w:tcPr>
          <w:p w14:paraId="554F0912">
            <w:r>
              <w:rPr>
                <w:rFonts w:hint="eastAsia"/>
              </w:rPr>
              <w:t>需要提供样机及技术人员支持，协助完成脑智计划项目完成；</w:t>
            </w:r>
          </w:p>
        </w:tc>
        <w:tc>
          <w:tcPr>
            <w:tcW w:w="1034" w:type="dxa"/>
            <w:shd w:val="clear" w:color="auto" w:fill="auto"/>
          </w:tcPr>
          <w:p w14:paraId="1A46D6CE">
            <w:pPr>
              <w:rPr>
                <w:rFonts w:ascii="宋体" w:hAnsi="宋体"/>
                <w:szCs w:val="21"/>
              </w:rPr>
            </w:pPr>
            <w:r>
              <w:rPr>
                <w:rFonts w:hint="eastAsia" w:ascii="宋体" w:hAnsi="宋体"/>
                <w:szCs w:val="21"/>
              </w:rPr>
              <w:t>*</w:t>
            </w:r>
          </w:p>
        </w:tc>
      </w:tr>
      <w:tr w14:paraId="1478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shd w:val="clear" w:color="auto" w:fill="auto"/>
          </w:tcPr>
          <w:p w14:paraId="2DA4E1A9">
            <w:pPr>
              <w:jc w:val="center"/>
              <w:rPr>
                <w:rFonts w:hint="eastAsia" w:eastAsia="宋体"/>
                <w:lang w:eastAsia="zh-CN"/>
              </w:rPr>
            </w:pPr>
            <w:r>
              <w:rPr>
                <w:rFonts w:hint="eastAsia"/>
              </w:rPr>
              <w:t>3</w:t>
            </w:r>
            <w:r>
              <w:rPr>
                <w:rFonts w:hint="eastAsia"/>
                <w:lang w:val="en-US" w:eastAsia="zh-CN"/>
              </w:rPr>
              <w:t>5</w:t>
            </w:r>
          </w:p>
        </w:tc>
        <w:tc>
          <w:tcPr>
            <w:tcW w:w="6300" w:type="dxa"/>
            <w:shd w:val="clear" w:color="auto" w:fill="auto"/>
          </w:tcPr>
          <w:p w14:paraId="54BB07C8">
            <w:pPr>
              <w:adjustRightInd w:val="0"/>
              <w:snapToGrid w:val="0"/>
              <w:spacing w:line="480" w:lineRule="exact"/>
              <w:rPr>
                <w:rFonts w:ascii="宋体" w:hAnsi="宋体" w:cs="宋体"/>
                <w:szCs w:val="21"/>
              </w:rPr>
            </w:pPr>
            <w:r>
              <w:rPr>
                <w:rFonts w:hint="eastAsia"/>
              </w:rPr>
              <w:t>需要提供四年科研支持。</w:t>
            </w:r>
          </w:p>
        </w:tc>
        <w:tc>
          <w:tcPr>
            <w:tcW w:w="1034" w:type="dxa"/>
            <w:shd w:val="clear" w:color="auto" w:fill="auto"/>
          </w:tcPr>
          <w:p w14:paraId="60670A02">
            <w:pPr>
              <w:rPr>
                <w:rFonts w:ascii="宋体" w:hAnsi="宋体"/>
                <w:szCs w:val="21"/>
              </w:rPr>
            </w:pPr>
          </w:p>
        </w:tc>
      </w:tr>
    </w:tbl>
    <w:p w14:paraId="600DEFD0">
      <w:r>
        <w:rPr>
          <w:rFonts w:hint="eastAsia"/>
        </w:rPr>
        <w:t>注：1、技术参数要求备注栏内带“</w:t>
      </w:r>
      <w:r>
        <w:rPr>
          <w:rFonts w:hint="eastAsia" w:ascii="宋体" w:hAnsi="宋体"/>
          <w:szCs w:val="21"/>
        </w:rPr>
        <w:t>*</w:t>
      </w:r>
      <w:r>
        <w:rPr>
          <w:rFonts w:hint="eastAsia"/>
        </w:rPr>
        <w:t>”标注的为重要技术参数，若投标设备技术指标与该项要求相比出现负偏离者将导致废标。</w:t>
      </w:r>
    </w:p>
    <w:p w14:paraId="0451DF13">
      <w:r>
        <w:rPr>
          <w:rFonts w:hint="eastAsia"/>
        </w:rPr>
        <w:t>2、技术参数要求备注栏内未标注“</w:t>
      </w:r>
      <w:r>
        <w:rPr>
          <w:rFonts w:hint="eastAsia" w:ascii="宋体" w:hAnsi="宋体"/>
          <w:szCs w:val="21"/>
        </w:rPr>
        <w:t>*</w:t>
      </w:r>
      <w:r>
        <w:rPr>
          <w:rFonts w:hint="eastAsia"/>
        </w:rPr>
        <w:t>”的为一般技术参数，投标设备技术指标与要求相比超出3项负偏离者将导致废标。</w:t>
      </w:r>
    </w:p>
    <w:p w14:paraId="1692E241">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8B392">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7515"/>
    <w:rsid w:val="00004E0F"/>
    <w:rsid w:val="000466B2"/>
    <w:rsid w:val="00073580"/>
    <w:rsid w:val="000C1232"/>
    <w:rsid w:val="0012600D"/>
    <w:rsid w:val="001379C4"/>
    <w:rsid w:val="00144C05"/>
    <w:rsid w:val="001A2658"/>
    <w:rsid w:val="001B3DD5"/>
    <w:rsid w:val="001E59F2"/>
    <w:rsid w:val="001E7347"/>
    <w:rsid w:val="002738B8"/>
    <w:rsid w:val="00276DC4"/>
    <w:rsid w:val="00277BBE"/>
    <w:rsid w:val="002A3851"/>
    <w:rsid w:val="002B5FF7"/>
    <w:rsid w:val="002D1137"/>
    <w:rsid w:val="003134A0"/>
    <w:rsid w:val="00345053"/>
    <w:rsid w:val="003764E8"/>
    <w:rsid w:val="003A6D5D"/>
    <w:rsid w:val="003C4628"/>
    <w:rsid w:val="00420EBA"/>
    <w:rsid w:val="00425880"/>
    <w:rsid w:val="004514FD"/>
    <w:rsid w:val="004871A9"/>
    <w:rsid w:val="00494D38"/>
    <w:rsid w:val="004966B2"/>
    <w:rsid w:val="004C0F07"/>
    <w:rsid w:val="005028AC"/>
    <w:rsid w:val="005253E2"/>
    <w:rsid w:val="00531477"/>
    <w:rsid w:val="005429EA"/>
    <w:rsid w:val="00556599"/>
    <w:rsid w:val="005568F3"/>
    <w:rsid w:val="0059485B"/>
    <w:rsid w:val="005A19D9"/>
    <w:rsid w:val="005A2874"/>
    <w:rsid w:val="005C6BB6"/>
    <w:rsid w:val="005E2276"/>
    <w:rsid w:val="005E47DD"/>
    <w:rsid w:val="00617C8D"/>
    <w:rsid w:val="0063320A"/>
    <w:rsid w:val="006506DF"/>
    <w:rsid w:val="00657F8B"/>
    <w:rsid w:val="00671D19"/>
    <w:rsid w:val="006A67A1"/>
    <w:rsid w:val="006C1201"/>
    <w:rsid w:val="006C4443"/>
    <w:rsid w:val="006E5D64"/>
    <w:rsid w:val="0070498E"/>
    <w:rsid w:val="0076571B"/>
    <w:rsid w:val="00791A88"/>
    <w:rsid w:val="007B352B"/>
    <w:rsid w:val="007E7B94"/>
    <w:rsid w:val="008004B4"/>
    <w:rsid w:val="00866406"/>
    <w:rsid w:val="008C262F"/>
    <w:rsid w:val="008E0338"/>
    <w:rsid w:val="00917157"/>
    <w:rsid w:val="00923FD5"/>
    <w:rsid w:val="0092672C"/>
    <w:rsid w:val="0094768F"/>
    <w:rsid w:val="00967149"/>
    <w:rsid w:val="009D6342"/>
    <w:rsid w:val="00A10E0E"/>
    <w:rsid w:val="00A152C0"/>
    <w:rsid w:val="00A325B8"/>
    <w:rsid w:val="00A7180B"/>
    <w:rsid w:val="00A72709"/>
    <w:rsid w:val="00A751EB"/>
    <w:rsid w:val="00AA4408"/>
    <w:rsid w:val="00AC233E"/>
    <w:rsid w:val="00AF3C39"/>
    <w:rsid w:val="00B17C7A"/>
    <w:rsid w:val="00B32D32"/>
    <w:rsid w:val="00B32EC7"/>
    <w:rsid w:val="00B47AA2"/>
    <w:rsid w:val="00BC791E"/>
    <w:rsid w:val="00BD38ED"/>
    <w:rsid w:val="00BF6A2A"/>
    <w:rsid w:val="00C117BA"/>
    <w:rsid w:val="00C15410"/>
    <w:rsid w:val="00C1644F"/>
    <w:rsid w:val="00C35FB8"/>
    <w:rsid w:val="00C3733B"/>
    <w:rsid w:val="00C43A8F"/>
    <w:rsid w:val="00C73F62"/>
    <w:rsid w:val="00CC7515"/>
    <w:rsid w:val="00CC7F46"/>
    <w:rsid w:val="00CF0D2E"/>
    <w:rsid w:val="00D114A1"/>
    <w:rsid w:val="00D13D1A"/>
    <w:rsid w:val="00D40BBD"/>
    <w:rsid w:val="00D654F0"/>
    <w:rsid w:val="00D712E3"/>
    <w:rsid w:val="00DA3809"/>
    <w:rsid w:val="00DC076D"/>
    <w:rsid w:val="00DE672A"/>
    <w:rsid w:val="00DF4556"/>
    <w:rsid w:val="00DF60F3"/>
    <w:rsid w:val="00E06784"/>
    <w:rsid w:val="00E1751D"/>
    <w:rsid w:val="00E34AF4"/>
    <w:rsid w:val="00E533CB"/>
    <w:rsid w:val="00E552C4"/>
    <w:rsid w:val="00E65499"/>
    <w:rsid w:val="00EA1CC6"/>
    <w:rsid w:val="00EA6FFF"/>
    <w:rsid w:val="00EC0782"/>
    <w:rsid w:val="00EC54CC"/>
    <w:rsid w:val="00EF0577"/>
    <w:rsid w:val="00F0212A"/>
    <w:rsid w:val="00F0277B"/>
    <w:rsid w:val="00F2686D"/>
    <w:rsid w:val="00F27297"/>
    <w:rsid w:val="00F504DB"/>
    <w:rsid w:val="00F76824"/>
    <w:rsid w:val="00FA4550"/>
    <w:rsid w:val="00FD01B0"/>
    <w:rsid w:val="01E84B6E"/>
    <w:rsid w:val="2C2F3AC7"/>
    <w:rsid w:val="2FC304B7"/>
    <w:rsid w:val="39EA6992"/>
    <w:rsid w:val="462D78C2"/>
    <w:rsid w:val="4C7D6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msonormal 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列出段落1"/>
    <w:basedOn w:val="1"/>
    <w:qFormat/>
    <w:uiPriority w:val="34"/>
    <w:pPr>
      <w:ind w:firstLine="420" w:firstLineChars="200"/>
    </w:pPr>
    <w:rPr>
      <w:rFonts w:ascii="Calibri" w:hAnsi="Calibri" w:cs="宋体"/>
      <w:szCs w:val="22"/>
    </w:rPr>
  </w:style>
  <w:style w:type="paragraph" w:customStyle="1" w:styleId="9">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1268</Words>
  <Characters>1416</Characters>
  <Lines>13</Lines>
  <Paragraphs>3</Paragraphs>
  <TotalTime>1</TotalTime>
  <ScaleCrop>false</ScaleCrop>
  <LinksUpToDate>false</LinksUpToDate>
  <CharactersWithSpaces>1432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2020-07-29T06:59:00Z</dcterms:created>
  <dc:creator>微软用户</dc:creator>
  <cp:lastModifiedBy>付</cp:lastModifiedBy>
  <dcterms:modified xsi:type="dcterms:W3CDTF">2026-08-17T06:16:58Z</dcterms:modified>
  <dc:title>驻马店市医疗单位医疗器械采购申报表3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eyJoZGlkIjoiM2E5MThjNDk5M2QzZTc3Zjk0YzFjYzk1NTNhNWU4OWUiLCJ1c2VySWQiOiIzODUzMDU3MDcifQ==</vt:lpwstr>
  </property>
  <property fmtid="{D5CDD505-2E9C-101B-9397-08002B2CF9AE}" pid="3" name="KSOProductBuildVer">
    <vt:lpwstr>2052-12.1.0.28043</vt:lpwstr>
  </property>
  <property fmtid="{D5CDD505-2E9C-101B-9397-08002B2CF9AE}" pid="4" name="ICV">
    <vt:lpwstr>9B8B28CE5A404D3E926249F5453D7BF0_12</vt:lpwstr>
  </property>
</Properties>
</file>