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973BE">
      <w:pPr>
        <w:pStyle w:val="9"/>
        <w:rPr>
          <w:rFonts w:asciiTheme="minorEastAsia" w:hAnsiTheme="minorEastAsia" w:eastAsiaTheme="minorEastAsia"/>
          <w:sz w:val="20"/>
          <w:highlight w:val="none"/>
        </w:rPr>
      </w:pPr>
    </w:p>
    <w:p w14:paraId="5C43410E">
      <w:pPr>
        <w:pStyle w:val="9"/>
        <w:rPr>
          <w:rFonts w:asciiTheme="minorEastAsia" w:hAnsiTheme="minorEastAsia" w:eastAsiaTheme="minorEastAsia"/>
          <w:sz w:val="20"/>
          <w:highlight w:val="none"/>
        </w:rPr>
      </w:pPr>
    </w:p>
    <w:p w14:paraId="70BF0189">
      <w:pPr>
        <w:pStyle w:val="9"/>
        <w:spacing w:before="4"/>
        <w:rPr>
          <w:rFonts w:asciiTheme="minorEastAsia" w:hAnsiTheme="minorEastAsia" w:eastAsiaTheme="minorEastAsia"/>
          <w:sz w:val="21"/>
          <w:highlight w:val="none"/>
        </w:rPr>
      </w:pPr>
    </w:p>
    <w:p w14:paraId="42A5C8D5">
      <w:pPr>
        <w:pStyle w:val="4"/>
        <w:spacing w:line="487" w:lineRule="auto"/>
        <w:ind w:right="987"/>
        <w:rPr>
          <w:rFonts w:asciiTheme="minorEastAsia" w:hAnsiTheme="minorEastAsia" w:eastAsiaTheme="minorEastAsia"/>
          <w:spacing w:val="-1"/>
          <w:w w:val="95"/>
          <w:highlight w:val="none"/>
        </w:rPr>
      </w:pPr>
      <w:r>
        <w:rPr>
          <w:rFonts w:hint="eastAsia" w:asciiTheme="minorEastAsia" w:hAnsiTheme="minorEastAsia" w:eastAsiaTheme="minorEastAsia"/>
          <w:spacing w:val="-1"/>
          <w:w w:val="95"/>
          <w:highlight w:val="none"/>
        </w:rPr>
        <w:t>周口市公共资源交易中心政府采购中心</w:t>
      </w:r>
    </w:p>
    <w:p w14:paraId="1A811F2E">
      <w:pPr>
        <w:rPr>
          <w:rFonts w:asciiTheme="minorEastAsia" w:hAnsiTheme="minorEastAsia" w:eastAsiaTheme="minorEastAsia"/>
          <w:spacing w:val="-1"/>
          <w:w w:val="95"/>
          <w:highlight w:val="none"/>
        </w:rPr>
      </w:pPr>
    </w:p>
    <w:p w14:paraId="643453E0">
      <w:pPr>
        <w:pStyle w:val="4"/>
        <w:spacing w:line="487" w:lineRule="auto"/>
        <w:ind w:right="987"/>
        <w:rPr>
          <w:rFonts w:asciiTheme="minorEastAsia" w:hAnsiTheme="minorEastAsia" w:eastAsiaTheme="minorEastAsia"/>
          <w:spacing w:val="-1"/>
          <w:w w:val="95"/>
          <w:highlight w:val="none"/>
        </w:rPr>
      </w:pPr>
    </w:p>
    <w:p w14:paraId="663E41B7">
      <w:pPr>
        <w:pStyle w:val="4"/>
        <w:spacing w:line="487" w:lineRule="auto"/>
        <w:ind w:right="987"/>
        <w:rPr>
          <w:rFonts w:asciiTheme="minorEastAsia" w:hAnsiTheme="minorEastAsia" w:eastAsiaTheme="minorEastAsia"/>
          <w:sz w:val="56"/>
          <w:szCs w:val="56"/>
          <w:highlight w:val="none"/>
        </w:rPr>
      </w:pPr>
      <w:r>
        <w:rPr>
          <w:rFonts w:hint="eastAsia" w:asciiTheme="minorEastAsia" w:hAnsiTheme="minorEastAsia" w:eastAsiaTheme="minorEastAsia"/>
          <w:sz w:val="56"/>
          <w:szCs w:val="56"/>
          <w:highlight w:val="none"/>
        </w:rPr>
        <w:t>竞争性谈判文件</w:t>
      </w:r>
    </w:p>
    <w:p w14:paraId="2AFCAE30">
      <w:pPr>
        <w:pStyle w:val="9"/>
        <w:rPr>
          <w:rFonts w:asciiTheme="minorEastAsia" w:hAnsiTheme="minorEastAsia" w:eastAsiaTheme="minorEastAsia"/>
          <w:b/>
          <w:sz w:val="44"/>
          <w:highlight w:val="none"/>
          <w:lang w:val="en-US"/>
        </w:rPr>
      </w:pPr>
    </w:p>
    <w:p w14:paraId="3373653D">
      <w:pPr>
        <w:pStyle w:val="9"/>
        <w:rPr>
          <w:rFonts w:asciiTheme="minorEastAsia" w:hAnsiTheme="minorEastAsia" w:eastAsiaTheme="minorEastAsia"/>
          <w:b/>
          <w:sz w:val="44"/>
          <w:highlight w:val="none"/>
        </w:rPr>
      </w:pPr>
    </w:p>
    <w:p w14:paraId="5B1F6CFC">
      <w:pPr>
        <w:rPr>
          <w:rFonts w:asciiTheme="minorEastAsia" w:hAnsiTheme="minorEastAsia" w:eastAsiaTheme="minorEastAsia"/>
          <w:b/>
          <w:sz w:val="44"/>
          <w:highlight w:val="none"/>
        </w:rPr>
      </w:pPr>
    </w:p>
    <w:p w14:paraId="708E4518">
      <w:pPr>
        <w:pStyle w:val="2"/>
        <w:rPr>
          <w:highlight w:val="none"/>
        </w:rPr>
      </w:pPr>
    </w:p>
    <w:p w14:paraId="0BF3A86D">
      <w:pPr>
        <w:pStyle w:val="9"/>
        <w:rPr>
          <w:rFonts w:asciiTheme="minorEastAsia" w:hAnsiTheme="minorEastAsia" w:eastAsiaTheme="minorEastAsia"/>
          <w:b/>
          <w:sz w:val="44"/>
          <w:highlight w:val="none"/>
        </w:rPr>
      </w:pPr>
    </w:p>
    <w:p w14:paraId="17CF94E0">
      <w:pPr>
        <w:pStyle w:val="9"/>
        <w:rPr>
          <w:rFonts w:asciiTheme="minorEastAsia" w:hAnsiTheme="minorEastAsia" w:eastAsiaTheme="minorEastAsia"/>
          <w:b/>
          <w:sz w:val="44"/>
          <w:highlight w:val="none"/>
        </w:rPr>
      </w:pPr>
    </w:p>
    <w:p w14:paraId="0F427F9C">
      <w:pPr>
        <w:pStyle w:val="9"/>
        <w:rPr>
          <w:rFonts w:asciiTheme="minorEastAsia" w:hAnsiTheme="minorEastAsia" w:eastAsiaTheme="minorEastAsia"/>
          <w:b/>
          <w:sz w:val="44"/>
          <w:highlight w:val="none"/>
        </w:rPr>
      </w:pPr>
    </w:p>
    <w:p w14:paraId="04E4F238">
      <w:pPr>
        <w:pStyle w:val="9"/>
        <w:rPr>
          <w:rFonts w:asciiTheme="minorEastAsia" w:hAnsiTheme="minorEastAsia" w:eastAsiaTheme="minorEastAsia"/>
          <w:b/>
          <w:sz w:val="44"/>
          <w:highlight w:val="none"/>
        </w:rPr>
      </w:pPr>
    </w:p>
    <w:p w14:paraId="44FFA04E">
      <w:pPr>
        <w:rPr>
          <w:rFonts w:asciiTheme="minorEastAsia" w:hAnsiTheme="minorEastAsia" w:eastAsiaTheme="minorEastAsia"/>
          <w:b/>
          <w:sz w:val="44"/>
          <w:highlight w:val="none"/>
        </w:rPr>
      </w:pPr>
    </w:p>
    <w:p w14:paraId="1CBEE1F3">
      <w:pPr>
        <w:pStyle w:val="2"/>
        <w:rPr>
          <w:rFonts w:asciiTheme="minorEastAsia" w:hAnsiTheme="minorEastAsia" w:eastAsiaTheme="minorEastAsia"/>
          <w:b/>
          <w:sz w:val="44"/>
          <w:highlight w:val="none"/>
        </w:rPr>
      </w:pPr>
    </w:p>
    <w:p w14:paraId="5C174050">
      <w:pPr>
        <w:keepNext w:val="0"/>
        <w:keepLines w:val="0"/>
        <w:pageBreakBefore w:val="0"/>
        <w:widowControl w:val="0"/>
        <w:kinsoku/>
        <w:wordWrap/>
        <w:overflowPunct/>
        <w:topLinePunct w:val="0"/>
        <w:autoSpaceDE w:val="0"/>
        <w:autoSpaceDN w:val="0"/>
        <w:bidi w:val="0"/>
        <w:adjustRightInd/>
        <w:snapToGrid/>
        <w:spacing w:line="360" w:lineRule="auto"/>
        <w:ind w:left="1500" w:right="987" w:hanging="1500" w:hangingChars="500"/>
        <w:textAlignment w:val="auto"/>
        <w:rPr>
          <w:rFonts w:asciiTheme="minorEastAsia" w:hAnsiTheme="minorEastAsia" w:eastAsiaTheme="minorEastAsia"/>
          <w:sz w:val="30"/>
          <w:szCs w:val="30"/>
          <w:highlight w:val="none"/>
          <w:lang w:val="en-US"/>
        </w:rPr>
      </w:pPr>
      <w:r>
        <w:rPr>
          <w:rFonts w:hint="eastAsia" w:asciiTheme="minorEastAsia" w:hAnsiTheme="minorEastAsia" w:eastAsiaTheme="minorEastAsia"/>
          <w:sz w:val="30"/>
          <w:szCs w:val="30"/>
          <w:highlight w:val="none"/>
        </w:rPr>
        <w:t>项目名称：周口实验高级中学（郸城一高周口校区）语文学科教室采购项目</w:t>
      </w:r>
    </w:p>
    <w:p w14:paraId="5AF27424">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项目编号：</w:t>
      </w:r>
      <w:r>
        <w:rPr>
          <w:rFonts w:hint="eastAsia" w:asciiTheme="minorEastAsia" w:hAnsiTheme="minorEastAsia" w:eastAsiaTheme="minorEastAsia"/>
          <w:sz w:val="30"/>
          <w:szCs w:val="30"/>
          <w:highlight w:val="none"/>
          <w:lang w:val="en-US" w:eastAsia="zh-CN"/>
        </w:rPr>
        <w:t>周财竞谈-2026-9</w:t>
      </w:r>
    </w:p>
    <w:p w14:paraId="090B9BAB">
      <w:pPr>
        <w:rPr>
          <w:rFonts w:asciiTheme="minorEastAsia" w:hAnsiTheme="minorEastAsia" w:eastAsiaTheme="minorEastAsia"/>
          <w:sz w:val="30"/>
          <w:szCs w:val="30"/>
          <w:highlight w:val="none"/>
        </w:rPr>
      </w:pPr>
    </w:p>
    <w:p w14:paraId="7A5CBCCC">
      <w:pPr>
        <w:pStyle w:val="9"/>
        <w:jc w:val="center"/>
        <w:rPr>
          <w:rFonts w:cs="宋体" w:asciiTheme="minorEastAsia" w:hAnsiTheme="minorEastAsia" w:eastAsiaTheme="minorEastAsia"/>
          <w:b w:val="0"/>
          <w:bCs/>
          <w:sz w:val="30"/>
          <w:szCs w:val="30"/>
          <w:highlight w:val="none"/>
        </w:rPr>
      </w:pPr>
      <w:r>
        <w:rPr>
          <w:rFonts w:hint="eastAsia" w:cs="宋体" w:asciiTheme="minorEastAsia" w:hAnsiTheme="minorEastAsia" w:eastAsiaTheme="minorEastAsia"/>
          <w:b w:val="0"/>
          <w:bCs/>
          <w:sz w:val="30"/>
          <w:szCs w:val="30"/>
          <w:highlight w:val="none"/>
          <w:lang w:val="en-US" w:eastAsia="zh-CN"/>
        </w:rPr>
        <w:t>2026</w:t>
      </w:r>
      <w:r>
        <w:rPr>
          <w:rFonts w:hint="eastAsia" w:cs="宋体" w:asciiTheme="minorEastAsia" w:hAnsiTheme="minorEastAsia" w:eastAsiaTheme="minorEastAsia"/>
          <w:b w:val="0"/>
          <w:bCs/>
          <w:sz w:val="30"/>
          <w:szCs w:val="30"/>
          <w:highlight w:val="none"/>
        </w:rPr>
        <w:t>年</w:t>
      </w:r>
      <w:r>
        <w:rPr>
          <w:rFonts w:hint="eastAsia" w:cs="宋体" w:asciiTheme="minorEastAsia" w:hAnsiTheme="minorEastAsia" w:eastAsiaTheme="minorEastAsia"/>
          <w:b w:val="0"/>
          <w:bCs/>
          <w:sz w:val="30"/>
          <w:szCs w:val="30"/>
          <w:highlight w:val="none"/>
          <w:lang w:val="en-US" w:eastAsia="zh-CN"/>
        </w:rPr>
        <w:t>3</w:t>
      </w:r>
      <w:r>
        <w:rPr>
          <w:rFonts w:hint="eastAsia" w:cs="宋体" w:asciiTheme="minorEastAsia" w:hAnsiTheme="minorEastAsia" w:eastAsiaTheme="minorEastAsia"/>
          <w:b w:val="0"/>
          <w:bCs/>
          <w:sz w:val="30"/>
          <w:szCs w:val="30"/>
          <w:highlight w:val="none"/>
        </w:rPr>
        <w:t>月</w:t>
      </w:r>
      <w:r>
        <w:rPr>
          <w:rFonts w:hint="eastAsia" w:cs="宋体" w:asciiTheme="minorEastAsia" w:hAnsiTheme="minorEastAsia" w:eastAsiaTheme="minorEastAsia"/>
          <w:b w:val="0"/>
          <w:bCs/>
          <w:sz w:val="30"/>
          <w:szCs w:val="30"/>
          <w:highlight w:val="none"/>
          <w:lang w:val="en-US" w:eastAsia="zh-CN"/>
        </w:rPr>
        <w:t>31</w:t>
      </w:r>
      <w:r>
        <w:rPr>
          <w:rFonts w:hint="eastAsia" w:cs="宋体" w:asciiTheme="minorEastAsia" w:hAnsiTheme="minorEastAsia" w:eastAsiaTheme="minorEastAsia"/>
          <w:b w:val="0"/>
          <w:bCs/>
          <w:sz w:val="30"/>
          <w:szCs w:val="30"/>
          <w:highlight w:val="none"/>
        </w:rPr>
        <w:t>日</w:t>
      </w:r>
    </w:p>
    <w:p w14:paraId="226662AE">
      <w:pPr>
        <w:jc w:val="center"/>
        <w:rPr>
          <w:rFonts w:asciiTheme="minorEastAsia" w:hAnsiTheme="minorEastAsia" w:eastAsiaTheme="minorEastAsia"/>
          <w:sz w:val="32"/>
          <w:highlight w:val="none"/>
        </w:rPr>
        <w:sectPr>
          <w:footerReference r:id="rId3" w:type="default"/>
          <w:type w:val="continuous"/>
          <w:pgSz w:w="11850" w:h="16790"/>
          <w:pgMar w:top="1600" w:right="1180" w:bottom="920" w:left="1580" w:header="720" w:footer="721" w:gutter="0"/>
          <w:pgNumType w:start="1"/>
          <w:cols w:space="720" w:num="1"/>
        </w:sectPr>
      </w:pPr>
    </w:p>
    <w:p w14:paraId="52EDA6B6">
      <w:pPr>
        <w:pStyle w:val="5"/>
        <w:tabs>
          <w:tab w:val="left" w:pos="965"/>
        </w:tabs>
        <w:spacing w:before="39"/>
        <w:ind w:right="395"/>
        <w:rPr>
          <w:rFonts w:asciiTheme="minorEastAsia" w:hAnsiTheme="minorEastAsia" w:eastAsiaTheme="minorEastAsia"/>
          <w:highlight w:val="none"/>
        </w:rPr>
      </w:pPr>
      <w:r>
        <w:rPr>
          <w:rFonts w:hint="eastAsia" w:asciiTheme="minorEastAsia" w:hAnsiTheme="minorEastAsia" w:eastAsiaTheme="minorEastAsia"/>
          <w:highlight w:val="none"/>
        </w:rPr>
        <w:t>目</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录</w:t>
      </w:r>
    </w:p>
    <w:sdt>
      <w:sdtPr>
        <w:rPr>
          <w:rFonts w:hint="eastAsia" w:asciiTheme="minorEastAsia" w:hAnsiTheme="minorEastAsia" w:eastAsiaTheme="minorEastAsia"/>
          <w:highlight w:val="none"/>
        </w:rPr>
        <w:id w:val="533461460"/>
        <w:docPartObj>
          <w:docPartGallery w:val="Table of Contents"/>
          <w:docPartUnique/>
        </w:docPartObj>
      </w:sdtPr>
      <w:sdtEndPr>
        <w:rPr>
          <w:rFonts w:hint="eastAsia" w:asciiTheme="minorEastAsia" w:hAnsiTheme="minorEastAsia" w:eastAsiaTheme="minorEastAsia"/>
          <w:highlight w:val="none"/>
        </w:rPr>
      </w:sdtEndPr>
      <w:sdtContent>
        <w:p w14:paraId="0882A5F0">
          <w:pPr>
            <w:pStyle w:val="17"/>
            <w:keepNext w:val="0"/>
            <w:keepLines w:val="0"/>
            <w:pageBreakBefore w:val="0"/>
            <w:widowControl w:val="0"/>
            <w:tabs>
              <w:tab w:val="left" w:pos="1619"/>
              <w:tab w:val="right" w:leader="dot" w:pos="8851"/>
            </w:tabs>
            <w:kinsoku/>
            <w:wordWrap/>
            <w:overflowPunct/>
            <w:topLinePunct w:val="0"/>
            <w:autoSpaceDE w:val="0"/>
            <w:autoSpaceDN w:val="0"/>
            <w:bidi w:val="0"/>
            <w:adjustRightInd/>
            <w:snapToGrid/>
            <w:spacing w:before="0" w:line="360" w:lineRule="auto"/>
            <w:textAlignment w:val="auto"/>
            <w:rPr>
              <w:rFonts w:asciiTheme="minorEastAsia" w:hAnsiTheme="minorEastAsia" w:eastAsiaTheme="minorEastAsia"/>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asciiTheme="minorEastAsia" w:hAnsiTheme="minorEastAsia" w:eastAsiaTheme="minorEastAsia"/>
              <w:highlight w:val="none"/>
            </w:rPr>
            <w:t>第一部分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判采</w:t>
          </w:r>
          <w:r>
            <w:rPr>
              <w:rFonts w:hint="eastAsia" w:asciiTheme="minorEastAsia" w:hAnsiTheme="minorEastAsia" w:eastAsiaTheme="minorEastAsia"/>
              <w:highlight w:val="none"/>
            </w:rPr>
            <w:t>购邀请函</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3</w:t>
          </w:r>
          <w:r>
            <w:rPr>
              <w:rFonts w:hint="eastAsia" w:asciiTheme="minorEastAsia" w:hAnsiTheme="minorEastAsia" w:eastAsiaTheme="minorEastAsia"/>
              <w:highlight w:val="none"/>
            </w:rPr>
            <w:fldChar w:fldCharType="end"/>
          </w:r>
        </w:p>
        <w:p w14:paraId="31C22691">
          <w:pPr>
            <w:pStyle w:val="17"/>
            <w:keepNext w:val="0"/>
            <w:keepLines w:val="0"/>
            <w:pageBreakBefore w:val="0"/>
            <w:widowControl w:val="0"/>
            <w:tabs>
              <w:tab w:val="left" w:pos="1619"/>
              <w:tab w:val="right" w:leader="dot" w:pos="8851"/>
            </w:tabs>
            <w:kinsoku/>
            <w:wordWrap/>
            <w:overflowPunct/>
            <w:topLinePunct w:val="0"/>
            <w:autoSpaceDE w:val="0"/>
            <w:autoSpaceDN w:val="0"/>
            <w:bidi w:val="0"/>
            <w:adjustRightInd/>
            <w:snapToGrid/>
            <w:spacing w:before="0" w:line="360" w:lineRule="auto"/>
            <w:textAlignment w:val="auto"/>
            <w:rPr>
              <w:rFonts w:asciiTheme="minorEastAsia" w:hAnsiTheme="minorEastAsia" w:eastAsiaTheme="minorEastAsia"/>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asciiTheme="minorEastAsia" w:hAnsiTheme="minorEastAsia" w:eastAsiaTheme="minorEastAsia"/>
              <w:highlight w:val="none"/>
            </w:rPr>
            <w:t>第二部分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判供</w:t>
          </w:r>
          <w:r>
            <w:rPr>
              <w:rFonts w:hint="eastAsia" w:asciiTheme="minorEastAsia" w:hAnsiTheme="minorEastAsia" w:eastAsiaTheme="minorEastAsia"/>
              <w:highlight w:val="none"/>
            </w:rPr>
            <w:t>应商须知</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5</w:t>
          </w:r>
          <w:r>
            <w:rPr>
              <w:rFonts w:hint="eastAsia" w:asciiTheme="minorEastAsia" w:hAnsiTheme="minorEastAsia" w:eastAsiaTheme="minorEastAsia"/>
              <w:highlight w:val="none"/>
            </w:rPr>
            <w:fldChar w:fldCharType="end"/>
          </w:r>
        </w:p>
        <w:p w14:paraId="6DF941F8">
          <w:pPr>
            <w:pStyle w:val="17"/>
            <w:keepNext w:val="0"/>
            <w:keepLines w:val="0"/>
            <w:pageBreakBefore w:val="0"/>
            <w:widowControl w:val="0"/>
            <w:tabs>
              <w:tab w:val="left" w:pos="1619"/>
              <w:tab w:val="right" w:leader="dot" w:pos="8851"/>
            </w:tabs>
            <w:kinsoku/>
            <w:wordWrap/>
            <w:overflowPunct/>
            <w:topLinePunct w:val="0"/>
            <w:autoSpaceDE w:val="0"/>
            <w:autoSpaceDN w:val="0"/>
            <w:bidi w:val="0"/>
            <w:adjustRightInd/>
            <w:snapToGrid/>
            <w:spacing w:before="0" w:line="360" w:lineRule="auto"/>
            <w:textAlignment w:val="auto"/>
            <w:rPr>
              <w:rFonts w:asciiTheme="minorEastAsia" w:hAnsiTheme="minorEastAsia" w:eastAsiaTheme="minorEastAsia"/>
              <w:highlight w:val="none"/>
              <w:lang w:val="en-US"/>
            </w:rPr>
          </w:pPr>
          <w:r>
            <w:rPr>
              <w:highlight w:val="none"/>
            </w:rPr>
            <w:fldChar w:fldCharType="begin"/>
          </w:r>
          <w:r>
            <w:rPr>
              <w:highlight w:val="none"/>
            </w:rPr>
            <w:instrText xml:space="preserve"> HYPERLINK \l "_bookmark2" </w:instrText>
          </w:r>
          <w:r>
            <w:rPr>
              <w:highlight w:val="none"/>
            </w:rPr>
            <w:fldChar w:fldCharType="separate"/>
          </w:r>
          <w:r>
            <w:rPr>
              <w:rFonts w:hint="eastAsia" w:asciiTheme="minorEastAsia" w:hAnsiTheme="minorEastAsia" w:eastAsiaTheme="minorEastAsia"/>
              <w:highlight w:val="none"/>
            </w:rPr>
            <w:t>第三部分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判项</w:t>
          </w:r>
          <w:r>
            <w:rPr>
              <w:rFonts w:hint="eastAsia" w:asciiTheme="minorEastAsia" w:hAnsiTheme="minorEastAsia" w:eastAsiaTheme="minorEastAsia"/>
              <w:highlight w:val="none"/>
            </w:rPr>
            <w:t>目要求</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rPr>
            <w:t>1</w:t>
          </w:r>
          <w:r>
            <w:rPr>
              <w:rFonts w:hint="eastAsia" w:asciiTheme="minorEastAsia" w:hAnsiTheme="minorEastAsia" w:eastAsiaTheme="minorEastAsia"/>
              <w:highlight w:val="none"/>
              <w:lang w:val="en-US"/>
            </w:rPr>
            <w:fldChar w:fldCharType="end"/>
          </w:r>
          <w:r>
            <w:rPr>
              <w:rFonts w:hint="eastAsia" w:asciiTheme="minorEastAsia" w:hAnsiTheme="minorEastAsia" w:eastAsiaTheme="minorEastAsia"/>
              <w:highlight w:val="none"/>
              <w:lang w:val="en-US"/>
            </w:rPr>
            <w:t>6</w:t>
          </w:r>
        </w:p>
        <w:p w14:paraId="2892486E">
          <w:pPr>
            <w:pStyle w:val="17"/>
            <w:keepNext w:val="0"/>
            <w:keepLines w:val="0"/>
            <w:pageBreakBefore w:val="0"/>
            <w:widowControl w:val="0"/>
            <w:tabs>
              <w:tab w:val="left" w:pos="1619"/>
              <w:tab w:val="right" w:leader="dot" w:pos="8851"/>
            </w:tabs>
            <w:kinsoku/>
            <w:wordWrap/>
            <w:overflowPunct/>
            <w:topLinePunct w:val="0"/>
            <w:autoSpaceDE w:val="0"/>
            <w:autoSpaceDN w:val="0"/>
            <w:bidi w:val="0"/>
            <w:adjustRightInd/>
            <w:snapToGrid/>
            <w:spacing w:before="0" w:line="360" w:lineRule="auto"/>
            <w:textAlignment w:val="auto"/>
            <w:rPr>
              <w:rFonts w:asciiTheme="minorEastAsia" w:hAnsiTheme="minorEastAsia" w:eastAsiaTheme="minorEastAsia"/>
              <w:highlight w:val="none"/>
              <w:lang w:val="en-US"/>
            </w:rPr>
          </w:pPr>
          <w:r>
            <w:rPr>
              <w:highlight w:val="none"/>
            </w:rPr>
            <w:fldChar w:fldCharType="begin"/>
          </w:r>
          <w:r>
            <w:rPr>
              <w:highlight w:val="none"/>
            </w:rPr>
            <w:instrText xml:space="preserve"> HYPERLINK \l "_bookmark3" </w:instrText>
          </w:r>
          <w:r>
            <w:rPr>
              <w:highlight w:val="none"/>
            </w:rPr>
            <w:fldChar w:fldCharType="separate"/>
          </w:r>
          <w:r>
            <w:rPr>
              <w:rFonts w:hint="eastAsia" w:asciiTheme="minorEastAsia" w:hAnsiTheme="minorEastAsia" w:eastAsiaTheme="minorEastAsia"/>
              <w:highlight w:val="none"/>
            </w:rPr>
            <w:t>第四部分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项</w:t>
          </w:r>
          <w:r>
            <w:rPr>
              <w:rFonts w:hint="eastAsia" w:asciiTheme="minorEastAsia" w:hAnsiTheme="minorEastAsia" w:eastAsiaTheme="minorEastAsia"/>
              <w:spacing w:val="-3"/>
              <w:highlight w:val="none"/>
            </w:rPr>
            <w:t>目内</w:t>
          </w:r>
          <w:r>
            <w:rPr>
              <w:rFonts w:hint="eastAsia" w:asciiTheme="minorEastAsia" w:hAnsiTheme="minorEastAsia" w:eastAsiaTheme="minorEastAsia"/>
              <w:highlight w:val="none"/>
            </w:rPr>
            <w:t>容及技</w:t>
          </w:r>
          <w:r>
            <w:rPr>
              <w:rFonts w:hint="eastAsia" w:asciiTheme="minorEastAsia" w:hAnsiTheme="minorEastAsia" w:eastAsiaTheme="minorEastAsia"/>
              <w:spacing w:val="-3"/>
              <w:highlight w:val="none"/>
            </w:rPr>
            <w:t>术</w:t>
          </w:r>
          <w:r>
            <w:rPr>
              <w:rFonts w:hint="eastAsia" w:asciiTheme="minorEastAsia" w:hAnsiTheme="minorEastAsia" w:eastAsiaTheme="minorEastAsia"/>
              <w:highlight w:val="none"/>
            </w:rPr>
            <w:t>要求</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rPr>
            <w:t>1</w:t>
          </w:r>
          <w:r>
            <w:rPr>
              <w:rFonts w:hint="eastAsia" w:asciiTheme="minorEastAsia" w:hAnsiTheme="minorEastAsia" w:eastAsiaTheme="minorEastAsia"/>
              <w:highlight w:val="none"/>
              <w:lang w:val="en-US"/>
            </w:rPr>
            <w:fldChar w:fldCharType="end"/>
          </w:r>
          <w:r>
            <w:rPr>
              <w:rFonts w:hint="eastAsia" w:asciiTheme="minorEastAsia" w:hAnsiTheme="minorEastAsia" w:eastAsiaTheme="minorEastAsia"/>
              <w:highlight w:val="none"/>
              <w:lang w:val="en-US"/>
            </w:rPr>
            <w:t>7</w:t>
          </w:r>
        </w:p>
        <w:p w14:paraId="290F79F3">
          <w:pPr>
            <w:pStyle w:val="17"/>
            <w:keepNext w:val="0"/>
            <w:keepLines w:val="0"/>
            <w:pageBreakBefore w:val="0"/>
            <w:widowControl w:val="0"/>
            <w:tabs>
              <w:tab w:val="left" w:pos="1619"/>
              <w:tab w:val="right" w:leader="dot" w:pos="8852"/>
            </w:tabs>
            <w:kinsoku/>
            <w:wordWrap/>
            <w:overflowPunct/>
            <w:topLinePunct w:val="0"/>
            <w:autoSpaceDE w:val="0"/>
            <w:autoSpaceDN w:val="0"/>
            <w:bidi w:val="0"/>
            <w:adjustRightInd/>
            <w:snapToGrid/>
            <w:spacing w:before="0" w:line="360" w:lineRule="auto"/>
            <w:textAlignment w:val="auto"/>
            <w:rPr>
              <w:rFonts w:hint="default"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"_bookmark4" </w:instrText>
          </w:r>
          <w:r>
            <w:rPr>
              <w:highlight w:val="none"/>
            </w:rPr>
            <w:fldChar w:fldCharType="separate"/>
          </w:r>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判响</w:t>
          </w:r>
          <w:r>
            <w:rPr>
              <w:rFonts w:hint="eastAsia" w:asciiTheme="minorEastAsia" w:hAnsiTheme="minorEastAsia" w:eastAsiaTheme="minorEastAsia"/>
              <w:highlight w:val="none"/>
            </w:rPr>
            <w:t>应文件</w:t>
          </w:r>
          <w:r>
            <w:rPr>
              <w:rFonts w:hint="eastAsia" w:asciiTheme="minorEastAsia" w:hAnsiTheme="minorEastAsia" w:eastAsiaTheme="minorEastAsia"/>
              <w:spacing w:val="-3"/>
              <w:highlight w:val="none"/>
            </w:rPr>
            <w:t>格</w:t>
          </w:r>
          <w:r>
            <w:rPr>
              <w:rFonts w:hint="eastAsia" w:asciiTheme="minorEastAsia" w:hAnsiTheme="minorEastAsia" w:eastAsiaTheme="minorEastAsia"/>
              <w:highlight w:val="none"/>
            </w:rPr>
            <w:t>式</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eastAsia="zh-CN"/>
            </w:rPr>
            <w:t>21</w:t>
          </w:r>
        </w:p>
        <w:p w14:paraId="5CCFDD5B">
          <w:pPr>
            <w:pStyle w:val="17"/>
            <w:keepNext w:val="0"/>
            <w:keepLines w:val="0"/>
            <w:pageBreakBefore w:val="0"/>
            <w:widowControl w:val="0"/>
            <w:tabs>
              <w:tab w:val="left" w:pos="1619"/>
              <w:tab w:val="right" w:leader="dot" w:pos="8851"/>
            </w:tabs>
            <w:kinsoku/>
            <w:wordWrap/>
            <w:overflowPunct/>
            <w:topLinePunct w:val="0"/>
            <w:autoSpaceDE w:val="0"/>
            <w:autoSpaceDN w:val="0"/>
            <w:bidi w:val="0"/>
            <w:adjustRightInd/>
            <w:snapToGrid/>
            <w:spacing w:before="0" w:line="360" w:lineRule="auto"/>
            <w:textAlignment w:val="auto"/>
            <w:rPr>
              <w:rFonts w:hint="default" w:eastAsia="宋体"/>
              <w:highlight w:val="none"/>
              <w:lang w:val="en-US" w:eastAsia="zh-CN"/>
            </w:rPr>
          </w:pPr>
          <w:r>
            <w:rPr>
              <w:rFonts w:hint="eastAsia"/>
              <w:highlight w:val="none"/>
              <w:lang w:val="en-US"/>
            </w:rPr>
            <w:t xml:space="preserve">第六部分 </w:t>
          </w:r>
          <w:r>
            <w:rPr>
              <w:rFonts w:hint="eastAsia"/>
              <w:highlight w:val="none"/>
              <w:lang w:val="en-US" w:eastAsia="zh-CN"/>
            </w:rPr>
            <w:t xml:space="preserve"> </w:t>
          </w:r>
          <w:r>
            <w:rPr>
              <w:rFonts w:hint="eastAsia"/>
              <w:highlight w:val="none"/>
              <w:lang w:val="en-US"/>
            </w:rPr>
            <w:t>周口市政府采购合同（货物类）标准文本</w:t>
          </w:r>
          <w:r>
            <w:rPr>
              <w:rFonts w:hint="eastAsia"/>
              <w:highlight w:val="none"/>
              <w:lang w:val="en-US" w:eastAsia="zh-CN"/>
            </w:rPr>
            <w:t>、</w:t>
          </w:r>
          <w:r>
            <w:rPr>
              <w:rFonts w:hint="eastAsia"/>
              <w:highlight w:val="none"/>
            </w:rPr>
            <w:t>合同签订指引</w:t>
          </w:r>
          <w:r>
            <w:rPr>
              <w:rFonts w:hint="eastAsia"/>
              <w:highlight w:val="none"/>
              <w:lang w:eastAsia="zh-CN"/>
            </w:rPr>
            <w:t>、</w:t>
          </w:r>
          <w:r>
            <w:rPr>
              <w:rFonts w:hint="eastAsia"/>
              <w:highlight w:val="none"/>
            </w:rPr>
            <w:t>供应商履约验收指引</w:t>
          </w:r>
          <w:r>
            <w:rPr>
              <w:rFonts w:hint="eastAsia"/>
              <w:highlight w:val="none"/>
              <w:lang w:eastAsia="zh-CN"/>
            </w:rPr>
            <w:t>、</w:t>
          </w:r>
          <w:r>
            <w:rPr>
              <w:rFonts w:hint="eastAsia"/>
              <w:highlight w:val="none"/>
            </w:rPr>
            <w:t>周口市政府采购合同融资政策告知函</w:t>
          </w:r>
          <w:r>
            <w:rPr>
              <w:rFonts w:hint="eastAsia"/>
              <w:highlight w:val="none"/>
              <w:lang w:val="en-US" w:eastAsia="zh-CN"/>
            </w:rPr>
            <w:t xml:space="preserve">       33</w:t>
          </w:r>
        </w:p>
        <w:p w14:paraId="1800FEB9">
          <w:pPr>
            <w:keepNext w:val="0"/>
            <w:keepLines w:val="0"/>
            <w:pageBreakBefore w:val="0"/>
            <w:widowControl w:val="0"/>
            <w:kinsoku/>
            <w:wordWrap/>
            <w:overflowPunct/>
            <w:topLinePunct w:val="0"/>
            <w:autoSpaceDE w:val="0"/>
            <w:autoSpaceDN w:val="0"/>
            <w:bidi w:val="0"/>
            <w:adjustRightInd/>
            <w:snapToGrid/>
            <w:spacing w:line="360" w:lineRule="auto"/>
            <w:textAlignment w:val="auto"/>
            <w:rPr>
              <w:highlight w:val="none"/>
            </w:rPr>
          </w:pPr>
        </w:p>
        <w:p w14:paraId="4BEAD06A">
          <w:pPr>
            <w:pStyle w:val="17"/>
            <w:tabs>
              <w:tab w:val="left" w:pos="1619"/>
              <w:tab w:val="right" w:leader="dot" w:pos="8852"/>
            </w:tabs>
            <w:rPr>
              <w:rFonts w:asciiTheme="minorEastAsia" w:hAnsiTheme="minorEastAsia" w:eastAsiaTheme="minorEastAsia"/>
              <w:highlight w:val="none"/>
            </w:rPr>
          </w:pPr>
        </w:p>
      </w:sdtContent>
    </w:sdt>
    <w:p w14:paraId="729AE4AC">
      <w:pPr>
        <w:rPr>
          <w:rFonts w:asciiTheme="minorEastAsia" w:hAnsiTheme="minorEastAsia" w:eastAsiaTheme="minorEastAsia"/>
          <w:highlight w:val="none"/>
        </w:rPr>
      </w:pPr>
    </w:p>
    <w:p w14:paraId="6E989788">
      <w:pPr>
        <w:pStyle w:val="21"/>
        <w:ind w:left="440" w:firstLine="482"/>
        <w:rPr>
          <w:rFonts w:asciiTheme="minorEastAsia" w:hAnsiTheme="minorEastAsia" w:eastAsiaTheme="minorEastAsia"/>
          <w:b/>
          <w:bCs/>
          <w:sz w:val="24"/>
          <w:szCs w:val="24"/>
          <w:highlight w:val="none"/>
        </w:rPr>
      </w:pPr>
    </w:p>
    <w:p w14:paraId="34A5381A">
      <w:pPr>
        <w:pStyle w:val="21"/>
        <w:ind w:left="440" w:firstLine="482"/>
        <w:rPr>
          <w:rFonts w:asciiTheme="minorEastAsia" w:hAnsiTheme="minorEastAsia" w:eastAsiaTheme="minorEastAsia"/>
          <w:b/>
          <w:bCs/>
          <w:sz w:val="24"/>
          <w:szCs w:val="24"/>
          <w:highlight w:val="none"/>
        </w:rPr>
      </w:pPr>
    </w:p>
    <w:p w14:paraId="2B76ECE3">
      <w:pPr>
        <w:pStyle w:val="21"/>
        <w:ind w:left="440" w:firstLine="482"/>
        <w:rPr>
          <w:rFonts w:asciiTheme="minorEastAsia" w:hAnsiTheme="minorEastAsia" w:eastAsiaTheme="minorEastAsia"/>
          <w:b/>
          <w:bCs/>
          <w:sz w:val="24"/>
          <w:szCs w:val="24"/>
          <w:highlight w:val="none"/>
        </w:rPr>
        <w:sectPr>
          <w:pgSz w:w="11850" w:h="16790"/>
          <w:pgMar w:top="1400" w:right="1180" w:bottom="920" w:left="1580" w:header="0" w:footer="721" w:gutter="0"/>
          <w:cols w:space="720" w:num="1"/>
        </w:sectPr>
      </w:pPr>
    </w:p>
    <w:p w14:paraId="6A3C967D">
      <w:pPr>
        <w:pStyle w:val="5"/>
        <w:numPr>
          <w:ilvl w:val="0"/>
          <w:numId w:val="1"/>
        </w:numPr>
        <w:tabs>
          <w:tab w:val="left" w:pos="1607"/>
        </w:tabs>
        <w:spacing w:before="100"/>
        <w:rPr>
          <w:rFonts w:asciiTheme="minorEastAsia" w:hAnsiTheme="minorEastAsia" w:eastAsiaTheme="minorEastAsia"/>
          <w:highlight w:val="none"/>
        </w:rPr>
      </w:pPr>
      <w:bookmarkStart w:id="0" w:name="第一部分__谈判采购邀请函"/>
      <w:bookmarkEnd w:id="0"/>
      <w:bookmarkStart w:id="1" w:name="_bookmark0"/>
      <w:bookmarkEnd w:id="1"/>
      <w:r>
        <w:rPr>
          <w:rFonts w:hint="eastAsia" w:asciiTheme="minorEastAsia" w:hAnsiTheme="minorEastAsia" w:eastAsiaTheme="minorEastAsia"/>
          <w:highlight w:val="none"/>
        </w:rPr>
        <w:t>谈判采购邀请函</w:t>
      </w:r>
    </w:p>
    <w:p w14:paraId="597D473C">
      <w:pPr>
        <w:pStyle w:val="28"/>
        <w:rPr>
          <w:highlight w:val="none"/>
        </w:rPr>
      </w:pPr>
    </w:p>
    <w:p w14:paraId="567E1C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733B08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 xml:space="preserve"> 周口实验高级中学（郸城一高周口校区）语文学科教室采购项目的潜在投标人应在周口市公共资源交易中心网（http://jyzx.zhoukou.gov.cn）获取招标文件，并于    年  月  日    点    分（北京时间）前递交投标文件。</w:t>
      </w:r>
    </w:p>
    <w:p w14:paraId="74C3AFCF">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 w:name="_Toc35393798"/>
      <w:bookmarkStart w:id="3" w:name="_Toc28359012"/>
      <w:bookmarkStart w:id="4" w:name="_Toc35393629"/>
      <w:bookmarkStart w:id="5" w:name="_Toc28359089"/>
      <w:r>
        <w:rPr>
          <w:rFonts w:hint="eastAsia" w:asciiTheme="minorEastAsia" w:hAnsiTheme="minorEastAsia" w:eastAsiaTheme="minorEastAsia" w:cstheme="minorEastAsia"/>
          <w:b w:val="0"/>
          <w:sz w:val="24"/>
          <w:szCs w:val="24"/>
          <w:highlight w:val="none"/>
        </w:rPr>
        <w:t>一、项目基本情况</w:t>
      </w:r>
      <w:bookmarkEnd w:id="2"/>
      <w:bookmarkEnd w:id="3"/>
      <w:bookmarkEnd w:id="4"/>
      <w:bookmarkEnd w:id="5"/>
    </w:p>
    <w:p w14:paraId="2AC6E1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周财竞谈-2026-9</w:t>
      </w:r>
    </w:p>
    <w:p w14:paraId="0B36E217">
      <w:pPr>
        <w:keepNext w:val="0"/>
        <w:keepLines w:val="0"/>
        <w:pageBreakBefore w:val="0"/>
        <w:widowControl w:val="0"/>
        <w:kinsoku/>
        <w:wordWrap/>
        <w:overflowPunct/>
        <w:topLinePunct w:val="0"/>
        <w:autoSpaceDE w:val="0"/>
        <w:autoSpaceDN w:val="0"/>
        <w:bidi w:val="0"/>
        <w:adjustRightInd/>
        <w:snapToGrid/>
        <w:spacing w:line="360" w:lineRule="auto"/>
        <w:ind w:right="-273" w:rightChars="-124"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项目名称：周口实验高级中学（郸城一高周口校区）语文学科教室采购项目</w:t>
      </w:r>
    </w:p>
    <w:p w14:paraId="543909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采购方式：竞争性谈判</w:t>
      </w:r>
    </w:p>
    <w:p w14:paraId="3AE8EC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预算金额：</w:t>
      </w:r>
      <w:r>
        <w:rPr>
          <w:rFonts w:hint="eastAsia" w:ascii="宋体" w:hAnsi="宋体" w:eastAsia="宋体" w:cs="宋体"/>
          <w:sz w:val="24"/>
          <w:szCs w:val="24"/>
          <w:highlight w:val="none"/>
          <w:lang w:val="en-US" w:eastAsia="zh-CN"/>
        </w:rPr>
        <w:t>54.3万元</w:t>
      </w:r>
    </w:p>
    <w:p w14:paraId="0AF268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宋体" w:hAnsi="宋体" w:eastAsia="宋体" w:cs="宋体"/>
          <w:sz w:val="24"/>
          <w:szCs w:val="24"/>
          <w:highlight w:val="none"/>
          <w:lang w:val="en-US" w:eastAsia="zh-CN"/>
        </w:rPr>
        <w:t>54.3万元</w:t>
      </w:r>
    </w:p>
    <w:p w14:paraId="2A4FFAFE">
      <w:pPr>
        <w:pStyle w:val="19"/>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3"/>
        <w:tblW w:w="8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5966"/>
        <w:gridCol w:w="2049"/>
      </w:tblGrid>
      <w:tr w14:paraId="48436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Align w:val="center"/>
          </w:tcPr>
          <w:p w14:paraId="49A18600">
            <w:pPr>
              <w:pStyle w:val="19"/>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5966" w:type="dxa"/>
            <w:vAlign w:val="center"/>
          </w:tcPr>
          <w:p w14:paraId="26825B08">
            <w:pPr>
              <w:pStyle w:val="19"/>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2049" w:type="dxa"/>
            <w:vAlign w:val="center"/>
          </w:tcPr>
          <w:p w14:paraId="36876E1F">
            <w:pPr>
              <w:pStyle w:val="19"/>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51C41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99" w:type="dxa"/>
            <w:vAlign w:val="center"/>
          </w:tcPr>
          <w:p w14:paraId="69CA4F23">
            <w:pPr>
              <w:pStyle w:val="19"/>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5966" w:type="dxa"/>
            <w:vAlign w:val="center"/>
          </w:tcPr>
          <w:p w14:paraId="07E9A955">
            <w:pPr>
              <w:adjustRightInd w:val="0"/>
              <w:snapToGrid w:val="0"/>
              <w:spacing w:line="360" w:lineRule="auto"/>
              <w:jc w:val="both"/>
              <w:rPr>
                <w:rFonts w:hint="eastAsia"/>
                <w:sz w:val="24"/>
                <w:szCs w:val="24"/>
                <w:highlight w:val="none"/>
                <w:vertAlign w:val="baseline"/>
              </w:rPr>
            </w:pPr>
            <w:r>
              <w:rPr>
                <w:rFonts w:hint="eastAsia" w:asciiTheme="minorEastAsia" w:hAnsiTheme="minorEastAsia" w:eastAsiaTheme="minorEastAsia" w:cstheme="minorEastAsia"/>
                <w:i w:val="0"/>
                <w:iCs w:val="0"/>
                <w:sz w:val="24"/>
                <w:szCs w:val="24"/>
                <w:highlight w:val="none"/>
              </w:rPr>
              <w:t>周口实验高级中学（郸城一高周口校区）语文学科教室采购项目</w:t>
            </w:r>
          </w:p>
        </w:tc>
        <w:tc>
          <w:tcPr>
            <w:tcW w:w="2049" w:type="dxa"/>
            <w:vAlign w:val="center"/>
          </w:tcPr>
          <w:p w14:paraId="2DAE7AEB">
            <w:pPr>
              <w:adjustRightInd w:val="0"/>
              <w:snapToGrid w:val="0"/>
              <w:spacing w:line="360" w:lineRule="auto"/>
              <w:jc w:val="center"/>
              <w:rPr>
                <w:rFonts w:hint="eastAsia"/>
                <w:sz w:val="24"/>
                <w:szCs w:val="24"/>
                <w:highlight w:val="none"/>
                <w:vertAlign w:val="baseline"/>
              </w:rPr>
            </w:pPr>
            <w:r>
              <w:rPr>
                <w:rFonts w:hint="eastAsia" w:ascii="宋体" w:hAnsi="宋体" w:eastAsia="宋体" w:cs="宋体"/>
                <w:sz w:val="24"/>
                <w:szCs w:val="24"/>
                <w:highlight w:val="none"/>
                <w:lang w:val="en-US" w:eastAsia="zh-CN"/>
              </w:rPr>
              <w:t>54.3</w:t>
            </w:r>
          </w:p>
        </w:tc>
      </w:tr>
    </w:tbl>
    <w:p w14:paraId="1D885C0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采购需求：（包括但不限于标的的名称、数量、简要技术需求或服务要求等）周口实验高级中学（郸城一高周口校区）语文学科教室采购项目</w:t>
      </w:r>
    </w:p>
    <w:p w14:paraId="0E30D3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10日历天</w:t>
      </w:r>
    </w:p>
    <w:p w14:paraId="1ED7D5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6" w:name="_Toc35393630"/>
      <w:bookmarkStart w:id="7" w:name="_Toc28359090"/>
      <w:bookmarkStart w:id="8" w:name="_Toc28359013"/>
      <w:bookmarkStart w:id="9" w:name="_Toc35393799"/>
      <w:r>
        <w:rPr>
          <w:rFonts w:hint="eastAsia" w:ascii="宋体" w:hAnsi="宋体" w:eastAsia="宋体" w:cs="宋体"/>
          <w:i w:val="0"/>
          <w:iCs w:val="0"/>
          <w:sz w:val="24"/>
          <w:szCs w:val="24"/>
          <w:highlight w:val="none"/>
        </w:rPr>
        <w:t>是否接受进口产品：否</w:t>
      </w:r>
    </w:p>
    <w:p w14:paraId="2B4DEE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3896D4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eastAsia="宋体"/>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cs="宋体"/>
          <w:i w:val="0"/>
          <w:iCs w:val="0"/>
          <w:sz w:val="24"/>
          <w:szCs w:val="24"/>
          <w:highlight w:val="none"/>
          <w:lang w:val="en-US" w:eastAsia="zh-CN"/>
        </w:rPr>
        <w:t>否</w:t>
      </w:r>
    </w:p>
    <w:p w14:paraId="478EBC2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6"/>
      <w:bookmarkEnd w:id="7"/>
      <w:bookmarkEnd w:id="8"/>
      <w:bookmarkEnd w:id="9"/>
    </w:p>
    <w:p w14:paraId="10653CBB">
      <w:pPr>
        <w:adjustRightInd w:val="0"/>
        <w:snapToGrid w:val="0"/>
        <w:spacing w:line="360" w:lineRule="auto"/>
        <w:ind w:firstLine="480" w:firstLineChars="200"/>
        <w:rPr>
          <w:rFonts w:hint="eastAsia"/>
          <w:sz w:val="24"/>
          <w:highlight w:val="none"/>
        </w:rPr>
      </w:pPr>
      <w:r>
        <w:rPr>
          <w:rFonts w:hint="eastAsia"/>
          <w:sz w:val="24"/>
          <w:highlight w:val="none"/>
        </w:rPr>
        <w:t>1.满足《中华人民共和国政府采购法》第二十二条规定；</w:t>
      </w:r>
    </w:p>
    <w:p w14:paraId="029CD4A2">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28E451D1">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40DDF147">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23B83792">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25EF0DF4">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7F562EFE">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1065E78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10" w:name="_Toc28359014"/>
      <w:bookmarkStart w:id="11"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86029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auto"/>
          <w:sz w:val="24"/>
          <w:szCs w:val="24"/>
          <w:highlight w:val="none"/>
        </w:rPr>
        <w:t>、“重大税收违法案件当事人名单（</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auto"/>
          <w:sz w:val="24"/>
          <w:szCs w:val="24"/>
          <w:highlight w:val="none"/>
        </w:rPr>
        <w:t>）”和</w:t>
      </w:r>
      <w:r>
        <w:rPr>
          <w:rFonts w:hint="eastAsia" w:ascii="宋体" w:hAnsi="宋体" w:eastAsia="宋体" w:cs="宋体"/>
          <w:i w:val="0"/>
          <w:iCs w:val="0"/>
          <w:sz w:val="24"/>
          <w:szCs w:val="24"/>
          <w:highlight w:val="none"/>
        </w:rPr>
        <w:t>“中国政府采购”网站(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20B6461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35393631"/>
      <w:bookmarkStart w:id="13" w:name="_Toc35393800"/>
      <w:r>
        <w:rPr>
          <w:rFonts w:hint="eastAsia" w:asciiTheme="minorEastAsia" w:hAnsiTheme="minorEastAsia" w:eastAsiaTheme="minorEastAsia" w:cstheme="minorEastAsia"/>
          <w:b w:val="0"/>
          <w:sz w:val="24"/>
          <w:szCs w:val="24"/>
          <w:highlight w:val="none"/>
        </w:rPr>
        <w:t>三、获取采购文件</w:t>
      </w:r>
      <w:bookmarkEnd w:id="10"/>
      <w:bookmarkEnd w:id="11"/>
      <w:bookmarkEnd w:id="12"/>
      <w:bookmarkEnd w:id="13"/>
    </w:p>
    <w:p w14:paraId="46443E6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3</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31</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4</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3</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6A0FC5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2BCDEE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u w:val="singl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58E402C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361FF7A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4" w:name="_Toc35393801"/>
      <w:bookmarkStart w:id="15" w:name="_Toc35393632"/>
      <w:bookmarkStart w:id="16" w:name="_Toc28359092"/>
      <w:bookmarkStart w:id="17" w:name="_Toc28359015"/>
      <w:r>
        <w:rPr>
          <w:rFonts w:hint="eastAsia" w:asciiTheme="minorEastAsia" w:hAnsiTheme="minorEastAsia" w:eastAsiaTheme="minorEastAsia" w:cstheme="minorEastAsia"/>
          <w:b w:val="0"/>
          <w:sz w:val="24"/>
          <w:szCs w:val="24"/>
          <w:highlight w:val="none"/>
        </w:rPr>
        <w:t>四、响应文件提交</w:t>
      </w:r>
      <w:bookmarkEnd w:id="14"/>
      <w:bookmarkEnd w:id="15"/>
      <w:bookmarkEnd w:id="16"/>
      <w:bookmarkEnd w:id="17"/>
    </w:p>
    <w:p w14:paraId="29D943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4</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1AFFFC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7E91D5E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8" w:name="_Toc28359093"/>
      <w:bookmarkStart w:id="19" w:name="_Toc28359016"/>
      <w:bookmarkStart w:id="20" w:name="_Toc35393633"/>
      <w:bookmarkStart w:id="21" w:name="_Toc35393802"/>
      <w:r>
        <w:rPr>
          <w:rFonts w:hint="eastAsia" w:asciiTheme="minorEastAsia" w:hAnsiTheme="minorEastAsia" w:eastAsiaTheme="minorEastAsia" w:cstheme="minorEastAsia"/>
          <w:b w:val="0"/>
          <w:i w:val="0"/>
          <w:iCs w:val="0"/>
          <w:sz w:val="24"/>
          <w:szCs w:val="24"/>
          <w:highlight w:val="none"/>
        </w:rPr>
        <w:t>五、</w:t>
      </w:r>
      <w:r>
        <w:rPr>
          <w:rFonts w:hint="eastAsia" w:asciiTheme="minorEastAsia" w:hAnsiTheme="minorEastAsia" w:eastAsiaTheme="minorEastAsia" w:cstheme="minorEastAsia"/>
          <w:b w:val="0"/>
          <w:i w:val="0"/>
          <w:iCs w:val="0"/>
          <w:sz w:val="24"/>
          <w:szCs w:val="24"/>
          <w:highlight w:val="none"/>
          <w:lang w:val="en-US" w:eastAsia="zh-CN"/>
        </w:rPr>
        <w:t>响应文件</w:t>
      </w:r>
      <w:r>
        <w:rPr>
          <w:rFonts w:hint="eastAsia" w:asciiTheme="minorEastAsia" w:hAnsiTheme="minorEastAsia" w:eastAsiaTheme="minorEastAsia" w:cstheme="minorEastAsia"/>
          <w:b w:val="0"/>
          <w:i w:val="0"/>
          <w:iCs w:val="0"/>
          <w:sz w:val="24"/>
          <w:szCs w:val="24"/>
          <w:highlight w:val="none"/>
        </w:rPr>
        <w:t>开启</w:t>
      </w:r>
      <w:bookmarkEnd w:id="18"/>
      <w:bookmarkEnd w:id="19"/>
      <w:bookmarkEnd w:id="20"/>
      <w:bookmarkEnd w:id="21"/>
    </w:p>
    <w:p w14:paraId="4FE077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4</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6314ED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3115B24E">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2" w:name="_Toc28359017"/>
      <w:bookmarkStart w:id="23" w:name="_Toc28359094"/>
      <w:bookmarkStart w:id="24" w:name="_Toc35393803"/>
      <w:bookmarkStart w:id="25" w:name="_Toc35393634"/>
      <w:r>
        <w:rPr>
          <w:rFonts w:hint="eastAsia" w:asciiTheme="minorEastAsia" w:hAnsiTheme="minorEastAsia" w:eastAsiaTheme="minorEastAsia" w:cstheme="minorEastAsia"/>
          <w:b w:val="0"/>
          <w:sz w:val="24"/>
          <w:szCs w:val="24"/>
          <w:highlight w:val="none"/>
        </w:rPr>
        <w:t>六、公告期限</w:t>
      </w:r>
      <w:bookmarkEnd w:id="22"/>
      <w:bookmarkEnd w:id="23"/>
      <w:bookmarkEnd w:id="24"/>
      <w:bookmarkEnd w:id="25"/>
    </w:p>
    <w:p w14:paraId="400516A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1B00C13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6" w:name="_Toc35393804"/>
      <w:bookmarkStart w:id="27" w:name="_Toc35393635"/>
      <w:r>
        <w:rPr>
          <w:rFonts w:hint="eastAsia" w:asciiTheme="minorEastAsia" w:hAnsiTheme="minorEastAsia" w:eastAsiaTheme="minorEastAsia" w:cstheme="minorEastAsia"/>
          <w:b w:val="0"/>
          <w:sz w:val="24"/>
          <w:szCs w:val="24"/>
          <w:highlight w:val="none"/>
        </w:rPr>
        <w:t>七、其他补充事宜</w:t>
      </w:r>
      <w:bookmarkEnd w:id="26"/>
      <w:bookmarkEnd w:id="27"/>
    </w:p>
    <w:p w14:paraId="4C6D786C">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8" w:name="_Toc28359095"/>
      <w:bookmarkStart w:id="29" w:name="_Toc35393805"/>
      <w:bookmarkStart w:id="30" w:name="_Toc28359018"/>
      <w:bookmarkStart w:id="31" w:name="_Toc35393636"/>
      <w:r>
        <w:rPr>
          <w:rFonts w:hint="eastAsia" w:asciiTheme="minorEastAsia" w:hAnsiTheme="minorEastAsia" w:eastAsiaTheme="minorEastAsia" w:cstheme="minorEastAsia"/>
          <w:b w:val="0"/>
          <w:sz w:val="24"/>
          <w:szCs w:val="24"/>
          <w:highlight w:val="none"/>
        </w:rPr>
        <w:t>八、凡对本次采购提出询问，请按以下方式联系。</w:t>
      </w:r>
      <w:bookmarkEnd w:id="28"/>
      <w:bookmarkEnd w:id="29"/>
      <w:bookmarkEnd w:id="30"/>
      <w:bookmarkEnd w:id="31"/>
    </w:p>
    <w:p w14:paraId="0F8D3C09">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1.采购人信息</w:t>
      </w:r>
    </w:p>
    <w:p w14:paraId="3A8AC62B">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lang w:val="en-US" w:eastAsia="zh-CN"/>
        </w:rPr>
        <w:t>周口实验高级中学(郸城一高周口校区)</w:t>
      </w:r>
      <w:r>
        <w:rPr>
          <w:rFonts w:hint="eastAsia" w:ascii="宋体" w:hAnsi="宋体" w:eastAsia="宋体" w:cs="宋体"/>
          <w:color w:val="auto"/>
          <w:sz w:val="24"/>
          <w:highlight w:val="none"/>
        </w:rPr>
        <w:t>　　　　　　　　　　　　</w:t>
      </w:r>
    </w:p>
    <w:p w14:paraId="76D9C618">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地址：周口市文昌大道东段　　　　　　　　　　　　</w:t>
      </w:r>
    </w:p>
    <w:p w14:paraId="38DF71B9">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项目联系人：</w:t>
      </w:r>
      <w:r>
        <w:rPr>
          <w:rFonts w:hint="eastAsia" w:ascii="宋体" w:hAnsi="宋体" w:cs="宋体"/>
          <w:color w:val="auto"/>
          <w:sz w:val="24"/>
          <w:highlight w:val="none"/>
          <w:lang w:val="en-US" w:eastAsia="zh-CN"/>
        </w:rPr>
        <w:t>钱彦</w:t>
      </w:r>
      <w:r>
        <w:rPr>
          <w:rFonts w:hint="eastAsia" w:ascii="宋体" w:hAnsi="宋体" w:eastAsia="宋体" w:cs="宋体"/>
          <w:color w:val="auto"/>
          <w:sz w:val="24"/>
          <w:highlight w:val="none"/>
        </w:rPr>
        <w:t xml:space="preserve">     </w:t>
      </w:r>
    </w:p>
    <w:p w14:paraId="7D1AA4D3">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联系方式：</w:t>
      </w:r>
      <w:r>
        <w:rPr>
          <w:rFonts w:hint="eastAsia" w:cs="宋体"/>
          <w:color w:val="auto"/>
          <w:sz w:val="24"/>
          <w:highlight w:val="none"/>
          <w:lang w:val="en-US" w:eastAsia="zh-CN"/>
        </w:rPr>
        <w:t>15518059995</w:t>
      </w:r>
      <w:r>
        <w:rPr>
          <w:rFonts w:hint="eastAsia" w:ascii="宋体" w:hAnsi="宋体" w:eastAsia="宋体" w:cs="宋体"/>
          <w:color w:val="auto"/>
          <w:sz w:val="24"/>
          <w:highlight w:val="none"/>
        </w:rPr>
        <w:t xml:space="preserve">　　　　　　　　　　　 </w:t>
      </w:r>
      <w:bookmarkStart w:id="32" w:name="_Toc28359009"/>
      <w:bookmarkStart w:id="33" w:name="_Toc28359086"/>
    </w:p>
    <w:p w14:paraId="18E414E6">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2.采购代理机构信息</w:t>
      </w:r>
      <w:bookmarkEnd w:id="32"/>
      <w:bookmarkEnd w:id="33"/>
    </w:p>
    <w:p w14:paraId="64592DD4">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名称：周口市公共资源交易中心政府采购中心　　　　　　　　　　　　</w:t>
      </w:r>
    </w:p>
    <w:p w14:paraId="38276FC0">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地址：周口市光明路与政通路交叉口向北100米路东</w:t>
      </w:r>
    </w:p>
    <w:p w14:paraId="33665D08">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项目联系人：</w:t>
      </w:r>
      <w:r>
        <w:rPr>
          <w:rFonts w:hint="eastAsia" w:cs="宋体"/>
          <w:color w:val="auto"/>
          <w:sz w:val="24"/>
          <w:highlight w:val="none"/>
          <w:lang w:val="en-US" w:eastAsia="zh-CN"/>
        </w:rPr>
        <w:t>郭战伟</w:t>
      </w:r>
      <w:r>
        <w:rPr>
          <w:rFonts w:hint="eastAsia" w:ascii="宋体" w:hAnsi="宋体" w:eastAsia="宋体" w:cs="宋体"/>
          <w:color w:val="auto"/>
          <w:sz w:val="24"/>
          <w:highlight w:val="none"/>
        </w:rPr>
        <w:t xml:space="preserve">             </w:t>
      </w:r>
    </w:p>
    <w:p w14:paraId="4CD8C269">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联系方式：</w:t>
      </w:r>
      <w:bookmarkStart w:id="34" w:name="_Toc28359010"/>
      <w:bookmarkStart w:id="35" w:name="_Toc28359087"/>
      <w:r>
        <w:rPr>
          <w:rFonts w:hint="eastAsia" w:cs="宋体"/>
          <w:color w:val="auto"/>
          <w:sz w:val="24"/>
          <w:highlight w:val="none"/>
          <w:lang w:val="en-US" w:eastAsia="zh-CN"/>
        </w:rPr>
        <w:t>0394-8106517、17839489001</w:t>
      </w:r>
      <w:r>
        <w:rPr>
          <w:rFonts w:hint="eastAsia" w:ascii="宋体" w:hAnsi="宋体" w:eastAsia="宋体" w:cs="宋体"/>
          <w:color w:val="auto"/>
          <w:sz w:val="24"/>
          <w:highlight w:val="none"/>
        </w:rPr>
        <w:t>　　　　　　　　</w:t>
      </w:r>
    </w:p>
    <w:bookmarkEnd w:id="34"/>
    <w:bookmarkEnd w:id="35"/>
    <w:p w14:paraId="06A20A57">
      <w:pPr>
        <w:spacing w:line="360" w:lineRule="auto"/>
        <w:ind w:firstLine="480" w:firstLineChars="200"/>
        <w:jc w:val="left"/>
        <w:rPr>
          <w:rFonts w:hint="eastAsia" w:ascii="宋体" w:hAnsi="宋体" w:eastAsia="宋体" w:cs="宋体"/>
          <w:sz w:val="24"/>
          <w:szCs w:val="24"/>
          <w:highlight w:val="none"/>
        </w:rPr>
      </w:pPr>
      <w:bookmarkStart w:id="36" w:name="_Toc28359021"/>
      <w:bookmarkStart w:id="37" w:name="_Toc28359098"/>
      <w:bookmarkStart w:id="38" w:name="_Toc35393639"/>
      <w:bookmarkStart w:id="39" w:name="_Toc35393808"/>
      <w:r>
        <w:rPr>
          <w:rFonts w:hint="eastAsia" w:ascii="宋体" w:hAnsi="宋体" w:eastAsia="宋体" w:cs="宋体"/>
          <w:color w:val="auto"/>
          <w:sz w:val="24"/>
          <w:szCs w:val="24"/>
          <w:highlight w:val="none"/>
        </w:rPr>
        <w:t>3.</w:t>
      </w:r>
      <w:bookmarkEnd w:id="36"/>
      <w:bookmarkEnd w:id="37"/>
      <w:bookmarkEnd w:id="38"/>
      <w:bookmarkEnd w:id="39"/>
      <w:r>
        <w:rPr>
          <w:rFonts w:hint="eastAsia" w:ascii="宋体" w:hAnsi="宋体" w:eastAsia="宋体" w:cs="宋体"/>
          <w:sz w:val="24"/>
          <w:szCs w:val="24"/>
          <w:highlight w:val="none"/>
        </w:rPr>
        <w:t>监督单位：周口市财政局政府采购监督管理科</w:t>
      </w:r>
    </w:p>
    <w:p w14:paraId="5D0E6E15">
      <w:pPr>
        <w:pStyle w:val="2"/>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宋体" w:hAnsi="宋体" w:eastAsia="宋体" w:cs="宋体"/>
          <w:sz w:val="24"/>
          <w:szCs w:val="24"/>
          <w:highlight w:val="none"/>
        </w:rPr>
        <w:t xml:space="preserve">联系方式： 0394-8106976 </w:t>
      </w:r>
    </w:p>
    <w:p w14:paraId="4E40B1CF">
      <w:pPr>
        <w:pStyle w:val="9"/>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p>
    <w:p w14:paraId="0A93286B">
      <w:pPr>
        <w:pStyle w:val="9"/>
        <w:adjustRightInd w:val="0"/>
        <w:snapToGrid w:val="0"/>
        <w:spacing w:line="360" w:lineRule="auto"/>
        <w:ind w:firstLine="1680" w:firstLineChars="700"/>
        <w:jc w:val="right"/>
        <w:rPr>
          <w:rFonts w:hint="eastAsia" w:asciiTheme="minorEastAsia" w:hAnsiTheme="minorEastAsia" w:eastAsiaTheme="minorEastAsia" w:cstheme="minorEastAsia"/>
          <w:sz w:val="24"/>
          <w:szCs w:val="24"/>
          <w:highlight w:val="none"/>
        </w:rPr>
      </w:pPr>
    </w:p>
    <w:p w14:paraId="5EA41D6A">
      <w:pPr>
        <w:pStyle w:val="9"/>
        <w:adjustRightInd w:val="0"/>
        <w:snapToGrid w:val="0"/>
        <w:spacing w:line="360" w:lineRule="auto"/>
        <w:ind w:firstLine="1680" w:firstLineChars="700"/>
        <w:jc w:val="right"/>
        <w:rPr>
          <w:rFonts w:hint="eastAsia" w:asciiTheme="minorEastAsia" w:hAnsiTheme="minorEastAsia" w:eastAsiaTheme="minorEastAsia" w:cstheme="minorEastAsia"/>
          <w:sz w:val="24"/>
          <w:szCs w:val="24"/>
          <w:highlight w:val="none"/>
        </w:rPr>
      </w:pPr>
    </w:p>
    <w:p w14:paraId="75EA5AC1">
      <w:pPr>
        <w:pStyle w:val="9"/>
        <w:adjustRightInd w:val="0"/>
        <w:snapToGrid w:val="0"/>
        <w:spacing w:line="360" w:lineRule="auto"/>
        <w:ind w:firstLine="1680" w:firstLineChars="700"/>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周口市公共资源交易中心政府采购中心</w:t>
      </w:r>
    </w:p>
    <w:p w14:paraId="245A17BE">
      <w:pPr>
        <w:pStyle w:val="9"/>
        <w:adjustRightInd w:val="0"/>
        <w:snapToGrid w:val="0"/>
        <w:spacing w:line="360" w:lineRule="auto"/>
        <w:ind w:firstLine="2040" w:firstLineChars="850"/>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shd w:val="clear" w:color="auto" w:fill="FFFFFF"/>
          <w:lang w:val="en-US" w:eastAsia="zh-CN"/>
        </w:rPr>
        <w:t>2026</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color w:val="000000"/>
          <w:sz w:val="24"/>
          <w:szCs w:val="24"/>
          <w:highlight w:val="none"/>
          <w:shd w:val="clear" w:color="auto" w:fill="FFFFFF"/>
          <w:lang w:val="en-US" w:eastAsia="zh-CN"/>
        </w:rPr>
        <w:t>3</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color w:val="000000"/>
          <w:sz w:val="24"/>
          <w:szCs w:val="24"/>
          <w:highlight w:val="none"/>
          <w:shd w:val="clear" w:color="auto" w:fill="FFFFFF"/>
          <w:lang w:val="en-US" w:eastAsia="zh-CN"/>
        </w:rPr>
        <w:t>31</w:t>
      </w:r>
      <w:r>
        <w:rPr>
          <w:rFonts w:hint="eastAsia" w:asciiTheme="minorEastAsia" w:hAnsiTheme="minorEastAsia" w:eastAsiaTheme="minorEastAsia" w:cstheme="minorEastAsia"/>
          <w:sz w:val="24"/>
          <w:szCs w:val="24"/>
          <w:highlight w:val="none"/>
        </w:rPr>
        <w:t>日</w:t>
      </w:r>
    </w:p>
    <w:p w14:paraId="304ABBFB">
      <w:pPr>
        <w:rPr>
          <w:highlight w:val="none"/>
        </w:rPr>
      </w:pPr>
    </w:p>
    <w:p w14:paraId="2E15FCA2">
      <w:pPr>
        <w:pStyle w:val="2"/>
        <w:rPr>
          <w:highlight w:val="none"/>
        </w:rPr>
      </w:pPr>
    </w:p>
    <w:p w14:paraId="5873BDE5">
      <w:pPr>
        <w:pStyle w:val="2"/>
        <w:rPr>
          <w:highlight w:val="none"/>
        </w:rPr>
      </w:pPr>
    </w:p>
    <w:p w14:paraId="19811513">
      <w:pPr>
        <w:pStyle w:val="2"/>
        <w:rPr>
          <w:highlight w:val="none"/>
        </w:rPr>
      </w:pPr>
      <w:bookmarkStart w:id="59" w:name="_GoBack"/>
      <w:bookmarkEnd w:id="59"/>
    </w:p>
    <w:p w14:paraId="08AF6310">
      <w:pPr>
        <w:pStyle w:val="2"/>
        <w:rPr>
          <w:highlight w:val="none"/>
        </w:rPr>
      </w:pPr>
    </w:p>
    <w:p w14:paraId="3C489AA3">
      <w:pPr>
        <w:pStyle w:val="2"/>
        <w:rPr>
          <w:highlight w:val="none"/>
        </w:rPr>
      </w:pPr>
    </w:p>
    <w:p w14:paraId="693FE8DD">
      <w:pPr>
        <w:pStyle w:val="2"/>
        <w:rPr>
          <w:highlight w:val="none"/>
        </w:rPr>
      </w:pPr>
    </w:p>
    <w:p w14:paraId="08A9590E">
      <w:pPr>
        <w:pStyle w:val="2"/>
        <w:rPr>
          <w:highlight w:val="none"/>
        </w:rPr>
      </w:pPr>
    </w:p>
    <w:p w14:paraId="619AB194">
      <w:pPr>
        <w:pStyle w:val="2"/>
        <w:rPr>
          <w:highlight w:val="none"/>
        </w:rPr>
      </w:pPr>
    </w:p>
    <w:p w14:paraId="64047DD4">
      <w:pPr>
        <w:pStyle w:val="2"/>
        <w:rPr>
          <w:highlight w:val="none"/>
        </w:rPr>
      </w:pPr>
    </w:p>
    <w:p w14:paraId="267053F1">
      <w:pPr>
        <w:rPr>
          <w:rFonts w:asciiTheme="minorEastAsia" w:hAnsiTheme="minorEastAsia" w:eastAsiaTheme="minorEastAsia"/>
          <w:highlight w:val="none"/>
        </w:rPr>
      </w:pPr>
    </w:p>
    <w:p w14:paraId="112CC346">
      <w:pPr>
        <w:rPr>
          <w:rFonts w:asciiTheme="minorEastAsia" w:hAnsiTheme="minorEastAsia" w:eastAsiaTheme="minorEastAsia"/>
          <w:highlight w:val="none"/>
        </w:rPr>
      </w:pPr>
      <w:bookmarkStart w:id="40" w:name="第二部分__项目内容及施工要求"/>
      <w:bookmarkEnd w:id="40"/>
      <w:bookmarkStart w:id="41" w:name="_bookmark1"/>
      <w:bookmarkEnd w:id="41"/>
      <w:r>
        <w:rPr>
          <w:rFonts w:hint="eastAsia" w:asciiTheme="minorEastAsia" w:hAnsiTheme="minorEastAsia" w:eastAsiaTheme="minorEastAsia"/>
          <w:highlight w:val="none"/>
          <w:lang w:val="en-US"/>
        </w:rPr>
        <w:br w:type="page"/>
      </w:r>
    </w:p>
    <w:p w14:paraId="798AD693">
      <w:pPr>
        <w:pStyle w:val="5"/>
        <w:numPr>
          <w:ilvl w:val="0"/>
          <w:numId w:val="1"/>
        </w:numPr>
        <w:tabs>
          <w:tab w:val="left" w:pos="1607"/>
        </w:tabs>
        <w:spacing w:before="100"/>
        <w:rPr>
          <w:rFonts w:asciiTheme="minorEastAsia" w:hAnsiTheme="minorEastAsia" w:eastAsiaTheme="minorEastAsia"/>
          <w:highlight w:val="none"/>
        </w:rPr>
      </w:pPr>
      <w:r>
        <w:rPr>
          <w:rFonts w:hint="eastAsia" w:asciiTheme="minorEastAsia" w:hAnsiTheme="minorEastAsia" w:eastAsiaTheme="minorEastAsia"/>
          <w:highlight w:val="none"/>
          <w:lang w:val="en-US"/>
        </w:rPr>
        <w:t>谈判供应商须知</w:t>
      </w:r>
    </w:p>
    <w:p w14:paraId="425D773A">
      <w:pPr>
        <w:spacing w:line="360" w:lineRule="auto"/>
        <w:jc w:val="center"/>
        <w:rPr>
          <w:rFonts w:asciiTheme="minorEastAsia" w:hAnsiTheme="minorEastAsia" w:eastAsiaTheme="minorEastAsia"/>
          <w:b/>
          <w:szCs w:val="21"/>
          <w:highlight w:val="none"/>
        </w:rPr>
      </w:pPr>
    </w:p>
    <w:p w14:paraId="1C93A43F">
      <w:pPr>
        <w:spacing w:line="360" w:lineRule="auto"/>
        <w:jc w:val="center"/>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投标须知前附表</w:t>
      </w:r>
    </w:p>
    <w:p w14:paraId="5F0BE95A">
      <w:pPr>
        <w:pStyle w:val="18"/>
        <w:rPr>
          <w:rFonts w:asciiTheme="minorEastAsia" w:hAnsiTheme="minorEastAsia" w:eastAsiaTheme="minorEastAsia"/>
          <w:highlight w:val="none"/>
        </w:rPr>
      </w:pPr>
    </w:p>
    <w:tbl>
      <w:tblPr>
        <w:tblStyle w:val="22"/>
        <w:tblW w:w="904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24"/>
        <w:gridCol w:w="1642"/>
        <w:gridCol w:w="6781"/>
      </w:tblGrid>
      <w:tr w14:paraId="6B667C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04BB66AC">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序号</w:t>
            </w:r>
          </w:p>
        </w:tc>
        <w:tc>
          <w:tcPr>
            <w:tcW w:w="1642" w:type="dxa"/>
            <w:tcBorders>
              <w:left w:val="single" w:color="auto" w:sz="4" w:space="0"/>
            </w:tcBorders>
            <w:vAlign w:val="center"/>
          </w:tcPr>
          <w:p w14:paraId="08A07FDC">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名称</w:t>
            </w:r>
          </w:p>
        </w:tc>
        <w:tc>
          <w:tcPr>
            <w:tcW w:w="6781" w:type="dxa"/>
            <w:vAlign w:val="center"/>
          </w:tcPr>
          <w:p w14:paraId="47E3D86D">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b/>
                <w:sz w:val="24"/>
                <w:szCs w:val="24"/>
                <w:highlight w:val="none"/>
              </w:rPr>
            </w:pPr>
            <w:r>
              <w:rPr>
                <w:rFonts w:hint="eastAsia" w:asciiTheme="minorEastAsia" w:hAnsiTheme="minorEastAsia" w:eastAsiaTheme="minorEastAsia"/>
                <w:b/>
                <w:sz w:val="24"/>
                <w:szCs w:val="24"/>
                <w:highlight w:val="none"/>
              </w:rPr>
              <w:t>内      容</w:t>
            </w:r>
          </w:p>
        </w:tc>
      </w:tr>
      <w:tr w14:paraId="61B9B8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02BBF22B">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1</w:t>
            </w:r>
          </w:p>
        </w:tc>
        <w:tc>
          <w:tcPr>
            <w:tcW w:w="1642" w:type="dxa"/>
            <w:tcBorders>
              <w:left w:val="single" w:color="auto" w:sz="4" w:space="0"/>
            </w:tcBorders>
            <w:vAlign w:val="center"/>
          </w:tcPr>
          <w:p w14:paraId="2B6E8B86">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bCs/>
                <w:sz w:val="24"/>
                <w:szCs w:val="24"/>
                <w:highlight w:val="none"/>
              </w:rPr>
              <w:t>项目名称</w:t>
            </w:r>
          </w:p>
        </w:tc>
        <w:tc>
          <w:tcPr>
            <w:tcW w:w="6781" w:type="dxa"/>
            <w:vAlign w:val="center"/>
          </w:tcPr>
          <w:p w14:paraId="5B697A4D">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4"/>
                <w:szCs w:val="24"/>
                <w:highlight w:val="none"/>
              </w:rPr>
            </w:pPr>
            <w:r>
              <w:rPr>
                <w:rFonts w:hint="eastAsia" w:asciiTheme="minorEastAsia" w:hAnsiTheme="minorEastAsia" w:eastAsiaTheme="minorEastAsia"/>
                <w:color w:val="000000"/>
                <w:sz w:val="24"/>
                <w:szCs w:val="24"/>
                <w:highlight w:val="none"/>
                <w:shd w:val="clear" w:color="auto" w:fill="FFFFFF"/>
              </w:rPr>
              <w:t>周口实验高级中学（郸城一高周口校区）语文学科教室采购项目</w:t>
            </w:r>
          </w:p>
        </w:tc>
      </w:tr>
      <w:tr w14:paraId="241EA9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66EBB95B">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w:t>
            </w:r>
          </w:p>
        </w:tc>
        <w:tc>
          <w:tcPr>
            <w:tcW w:w="1642" w:type="dxa"/>
            <w:tcBorders>
              <w:left w:val="single" w:color="auto" w:sz="4" w:space="0"/>
            </w:tcBorders>
            <w:vAlign w:val="center"/>
          </w:tcPr>
          <w:p w14:paraId="1A1F45D2">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采购项目编号</w:t>
            </w:r>
          </w:p>
        </w:tc>
        <w:tc>
          <w:tcPr>
            <w:tcW w:w="6781" w:type="dxa"/>
            <w:vAlign w:val="center"/>
          </w:tcPr>
          <w:p w14:paraId="781C5F91">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4"/>
                <w:szCs w:val="24"/>
                <w:highlight w:val="none"/>
                <w:lang w:val="en-US"/>
              </w:rPr>
            </w:pPr>
            <w:r>
              <w:rPr>
                <w:rFonts w:hint="eastAsia" w:asciiTheme="minorEastAsia" w:hAnsiTheme="minorEastAsia" w:eastAsiaTheme="minorEastAsia"/>
                <w:bCs/>
                <w:sz w:val="24"/>
                <w:szCs w:val="24"/>
                <w:highlight w:val="none"/>
                <w:lang w:val="en-US" w:eastAsia="zh-CN"/>
              </w:rPr>
              <w:t>周财竞谈-2026-9</w:t>
            </w:r>
          </w:p>
        </w:tc>
      </w:tr>
      <w:tr w14:paraId="6A83AE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7C8D1F95">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3</w:t>
            </w:r>
          </w:p>
        </w:tc>
        <w:tc>
          <w:tcPr>
            <w:tcW w:w="1642" w:type="dxa"/>
            <w:tcBorders>
              <w:left w:val="single" w:color="auto" w:sz="4" w:space="0"/>
            </w:tcBorders>
            <w:vAlign w:val="center"/>
          </w:tcPr>
          <w:p w14:paraId="296EEC89">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bCs/>
                <w:sz w:val="24"/>
                <w:szCs w:val="24"/>
                <w:highlight w:val="none"/>
              </w:rPr>
              <w:t>采购人</w:t>
            </w:r>
          </w:p>
        </w:tc>
        <w:tc>
          <w:tcPr>
            <w:tcW w:w="6781" w:type="dxa"/>
            <w:vAlign w:val="center"/>
          </w:tcPr>
          <w:p w14:paraId="14B77427">
            <w:pPr>
              <w:keepLines w:val="0"/>
              <w:pageBreakBefore w:val="0"/>
              <w:widowControl w:val="0"/>
              <w:kinsoku/>
              <w:wordWrap/>
              <w:overflowPunct/>
              <w:topLinePunct w:val="0"/>
              <w:autoSpaceDE w:val="0"/>
              <w:autoSpaceDN w:val="0"/>
              <w:bidi w:val="0"/>
              <w:spacing w:line="400" w:lineRule="exact"/>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名称：</w:t>
            </w:r>
            <w:r>
              <w:rPr>
                <w:rFonts w:hint="eastAsia" w:asciiTheme="minorEastAsia" w:hAnsiTheme="minorEastAsia" w:eastAsiaTheme="minorEastAsia"/>
                <w:sz w:val="24"/>
                <w:szCs w:val="24"/>
                <w:highlight w:val="none"/>
                <w:lang w:val="en-US" w:eastAsia="zh-CN"/>
              </w:rPr>
              <w:t>周口实验高级中学(郸城一高周口校区)</w:t>
            </w:r>
            <w:r>
              <w:rPr>
                <w:rFonts w:hint="eastAsia" w:asciiTheme="minorEastAsia" w:hAnsiTheme="minorEastAsia" w:eastAsiaTheme="minorEastAsia"/>
                <w:sz w:val="24"/>
                <w:szCs w:val="24"/>
                <w:highlight w:val="none"/>
                <w:lang w:val="en-US"/>
              </w:rPr>
              <w:t>　　　　　　　　　　　　</w:t>
            </w:r>
          </w:p>
          <w:p w14:paraId="2FA1C33D">
            <w:pPr>
              <w:keepLines w:val="0"/>
              <w:pageBreakBefore w:val="0"/>
              <w:widowControl w:val="0"/>
              <w:kinsoku/>
              <w:wordWrap/>
              <w:overflowPunct/>
              <w:topLinePunct w:val="0"/>
              <w:autoSpaceDE w:val="0"/>
              <w:autoSpaceDN w:val="0"/>
              <w:bidi w:val="0"/>
              <w:spacing w:line="400" w:lineRule="exact"/>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地址：周口市文昌大道东段　　　　　　　　　　　　</w:t>
            </w:r>
          </w:p>
          <w:p w14:paraId="65529681">
            <w:pPr>
              <w:keepLines w:val="0"/>
              <w:pageBreakBefore w:val="0"/>
              <w:widowControl w:val="0"/>
              <w:kinsoku/>
              <w:wordWrap/>
              <w:overflowPunct/>
              <w:topLinePunct w:val="0"/>
              <w:autoSpaceDE w:val="0"/>
              <w:autoSpaceDN w:val="0"/>
              <w:bidi w:val="0"/>
              <w:spacing w:line="400" w:lineRule="exact"/>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项目联系人：</w:t>
            </w:r>
            <w:r>
              <w:rPr>
                <w:rFonts w:hint="eastAsia" w:asciiTheme="minorEastAsia" w:hAnsiTheme="minorEastAsia" w:eastAsiaTheme="minorEastAsia"/>
                <w:sz w:val="24"/>
                <w:szCs w:val="24"/>
                <w:highlight w:val="none"/>
                <w:lang w:val="en-US" w:eastAsia="zh-CN"/>
              </w:rPr>
              <w:t>钱彦</w:t>
            </w:r>
            <w:r>
              <w:rPr>
                <w:rFonts w:hint="eastAsia" w:asciiTheme="minorEastAsia" w:hAnsiTheme="minorEastAsia" w:eastAsiaTheme="minorEastAsia"/>
                <w:sz w:val="24"/>
                <w:szCs w:val="24"/>
                <w:highlight w:val="none"/>
                <w:lang w:val="en-US"/>
              </w:rPr>
              <w:t xml:space="preserve">     </w:t>
            </w:r>
          </w:p>
          <w:p w14:paraId="2CDABA70">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联系方式：</w:t>
            </w:r>
            <w:r>
              <w:rPr>
                <w:rFonts w:hint="eastAsia" w:asciiTheme="minorEastAsia" w:hAnsiTheme="minorEastAsia" w:eastAsiaTheme="minorEastAsia"/>
                <w:sz w:val="24"/>
                <w:szCs w:val="24"/>
                <w:highlight w:val="none"/>
                <w:lang w:val="en-US" w:eastAsia="zh-CN"/>
              </w:rPr>
              <w:t>15518059995</w:t>
            </w:r>
            <w:r>
              <w:rPr>
                <w:rFonts w:hint="eastAsia" w:asciiTheme="minorEastAsia" w:hAnsiTheme="minorEastAsia" w:eastAsiaTheme="minorEastAsia"/>
                <w:sz w:val="24"/>
                <w:szCs w:val="24"/>
                <w:highlight w:val="none"/>
                <w:lang w:val="en-US"/>
              </w:rPr>
              <w:t>　</w:t>
            </w:r>
          </w:p>
        </w:tc>
      </w:tr>
      <w:tr w14:paraId="3D05E3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45130E35">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4</w:t>
            </w:r>
          </w:p>
        </w:tc>
        <w:tc>
          <w:tcPr>
            <w:tcW w:w="1642" w:type="dxa"/>
            <w:tcBorders>
              <w:left w:val="single" w:color="auto" w:sz="4" w:space="0"/>
            </w:tcBorders>
            <w:vAlign w:val="center"/>
          </w:tcPr>
          <w:p w14:paraId="6F8756AB">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bCs/>
                <w:sz w:val="24"/>
                <w:szCs w:val="24"/>
                <w:highlight w:val="none"/>
              </w:rPr>
              <w:t>采购代理机构</w:t>
            </w:r>
          </w:p>
        </w:tc>
        <w:tc>
          <w:tcPr>
            <w:tcW w:w="6781" w:type="dxa"/>
            <w:vAlign w:val="center"/>
          </w:tcPr>
          <w:p w14:paraId="4A010847">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4"/>
                <w:szCs w:val="24"/>
                <w:highlight w:val="none"/>
                <w:lang w:val="en-US"/>
              </w:rPr>
            </w:pPr>
            <w:r>
              <w:rPr>
                <w:rFonts w:hint="eastAsia" w:asciiTheme="minorEastAsia" w:hAnsiTheme="minorEastAsia" w:eastAsiaTheme="minorEastAsia"/>
                <w:bCs/>
                <w:sz w:val="24"/>
                <w:szCs w:val="24"/>
                <w:highlight w:val="none"/>
              </w:rPr>
              <w:t>采购代理机构：</w:t>
            </w:r>
            <w:r>
              <w:rPr>
                <w:rFonts w:hint="eastAsia" w:asciiTheme="minorEastAsia" w:hAnsiTheme="minorEastAsia" w:eastAsiaTheme="minorEastAsia"/>
                <w:bCs/>
                <w:sz w:val="24"/>
                <w:szCs w:val="24"/>
                <w:highlight w:val="none"/>
                <w:lang w:val="en-US"/>
              </w:rPr>
              <w:t>周口市公共资源交易中心政府采购中心</w:t>
            </w:r>
          </w:p>
          <w:p w14:paraId="5EF0C0A5">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联 系 人：</w:t>
            </w:r>
            <w:r>
              <w:rPr>
                <w:rFonts w:hint="eastAsia" w:asciiTheme="minorEastAsia" w:hAnsiTheme="minorEastAsia" w:eastAsiaTheme="minorEastAsia"/>
                <w:color w:val="000000"/>
                <w:sz w:val="24"/>
                <w:szCs w:val="24"/>
                <w:highlight w:val="none"/>
                <w:shd w:val="clear" w:color="auto" w:fill="FFFFFF"/>
              </w:rPr>
              <w:t>******</w:t>
            </w:r>
          </w:p>
          <w:p w14:paraId="53D12359">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 xml:space="preserve">电    话： </w:t>
            </w:r>
            <w:r>
              <w:rPr>
                <w:rFonts w:hint="eastAsia"/>
                <w:bCs/>
                <w:sz w:val="24"/>
                <w:szCs w:val="24"/>
                <w:highlight w:val="none"/>
                <w:lang w:val="en-US" w:eastAsia="zh-CN"/>
              </w:rPr>
              <w:t>0394-8106517</w:t>
            </w:r>
          </w:p>
          <w:p w14:paraId="4AAF40B5">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联系地址：</w:t>
            </w:r>
            <w:r>
              <w:rPr>
                <w:rFonts w:hint="eastAsia"/>
                <w:bCs/>
                <w:sz w:val="24"/>
                <w:szCs w:val="24"/>
                <w:highlight w:val="none"/>
              </w:rPr>
              <w:t>周口市东新区光明路和政通路交叉口北100米路东</w:t>
            </w:r>
          </w:p>
        </w:tc>
      </w:tr>
      <w:tr w14:paraId="3D7CC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4FE95316">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5</w:t>
            </w:r>
          </w:p>
        </w:tc>
        <w:tc>
          <w:tcPr>
            <w:tcW w:w="1642" w:type="dxa"/>
            <w:tcBorders>
              <w:left w:val="single" w:color="auto" w:sz="4" w:space="0"/>
            </w:tcBorders>
            <w:vAlign w:val="center"/>
          </w:tcPr>
          <w:p w14:paraId="1A60DBE1">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bCs/>
                <w:sz w:val="24"/>
                <w:szCs w:val="24"/>
                <w:highlight w:val="none"/>
              </w:rPr>
              <w:t>资金来源</w:t>
            </w:r>
          </w:p>
        </w:tc>
        <w:tc>
          <w:tcPr>
            <w:tcW w:w="6781" w:type="dxa"/>
            <w:vAlign w:val="center"/>
          </w:tcPr>
          <w:p w14:paraId="796AA384">
            <w:pPr>
              <w:keepLines w:val="0"/>
              <w:pageBreakBefore w:val="0"/>
              <w:widowControl w:val="0"/>
              <w:kinsoku/>
              <w:wordWrap/>
              <w:overflowPunct/>
              <w:topLinePunct w:val="0"/>
              <w:autoSpaceDE w:val="0"/>
              <w:autoSpaceDN w:val="0"/>
              <w:bidi w:val="0"/>
              <w:spacing w:line="400" w:lineRule="exact"/>
              <w:rPr>
                <w:rFonts w:hint="default" w:asciiTheme="minorEastAsia" w:hAnsiTheme="minorEastAsia" w:eastAsiaTheme="minorEastAsia"/>
                <w:bCs/>
                <w:sz w:val="24"/>
                <w:szCs w:val="24"/>
                <w:highlight w:val="none"/>
                <w:lang w:val="en-US" w:eastAsia="zh-CN"/>
              </w:rPr>
            </w:pPr>
            <w:r>
              <w:rPr>
                <w:rFonts w:hint="eastAsia" w:asciiTheme="minorEastAsia" w:hAnsiTheme="minorEastAsia" w:eastAsiaTheme="minorEastAsia"/>
                <w:bCs/>
                <w:sz w:val="24"/>
                <w:szCs w:val="24"/>
                <w:highlight w:val="none"/>
                <w:lang w:val="en-US" w:eastAsia="zh-CN"/>
              </w:rPr>
              <w:t>财政资金</w:t>
            </w:r>
          </w:p>
        </w:tc>
      </w:tr>
      <w:tr w14:paraId="66B02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5A730B2F">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6</w:t>
            </w:r>
          </w:p>
        </w:tc>
        <w:tc>
          <w:tcPr>
            <w:tcW w:w="1642" w:type="dxa"/>
            <w:tcBorders>
              <w:left w:val="single" w:color="auto" w:sz="4" w:space="0"/>
            </w:tcBorders>
            <w:vAlign w:val="center"/>
          </w:tcPr>
          <w:p w14:paraId="1C8B5A37">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bCs/>
                <w:sz w:val="24"/>
                <w:szCs w:val="24"/>
                <w:highlight w:val="none"/>
                <w:lang w:val="en-US"/>
              </w:rPr>
              <w:t>预算</w:t>
            </w:r>
            <w:r>
              <w:rPr>
                <w:rFonts w:hint="eastAsia" w:asciiTheme="minorEastAsia" w:hAnsiTheme="minorEastAsia" w:eastAsiaTheme="minorEastAsia"/>
                <w:bCs/>
                <w:sz w:val="24"/>
                <w:szCs w:val="24"/>
                <w:highlight w:val="none"/>
              </w:rPr>
              <w:t>金额</w:t>
            </w:r>
          </w:p>
        </w:tc>
        <w:tc>
          <w:tcPr>
            <w:tcW w:w="6781" w:type="dxa"/>
            <w:vAlign w:val="center"/>
          </w:tcPr>
          <w:p w14:paraId="41F2A2CF">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lang w:val="en-US" w:eastAsia="zh-CN"/>
              </w:rPr>
              <w:t>54.3万元</w:t>
            </w:r>
          </w:p>
        </w:tc>
      </w:tr>
      <w:tr w14:paraId="23583E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10A987C9">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7</w:t>
            </w:r>
          </w:p>
        </w:tc>
        <w:tc>
          <w:tcPr>
            <w:tcW w:w="1642" w:type="dxa"/>
            <w:tcBorders>
              <w:left w:val="single" w:color="auto" w:sz="4" w:space="0"/>
            </w:tcBorders>
            <w:vAlign w:val="center"/>
          </w:tcPr>
          <w:p w14:paraId="619AA5BA">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bCs/>
                <w:sz w:val="24"/>
                <w:szCs w:val="24"/>
                <w:highlight w:val="none"/>
              </w:rPr>
              <w:t>交货期</w:t>
            </w:r>
          </w:p>
        </w:tc>
        <w:tc>
          <w:tcPr>
            <w:tcW w:w="6781" w:type="dxa"/>
            <w:vAlign w:val="center"/>
          </w:tcPr>
          <w:p w14:paraId="0F9BEAAC">
            <w:pPr>
              <w:keepLines w:val="0"/>
              <w:pageBreakBefore w:val="0"/>
              <w:widowControl w:val="0"/>
              <w:kinsoku/>
              <w:wordWrap/>
              <w:overflowPunct/>
              <w:topLinePunct w:val="0"/>
              <w:autoSpaceDE w:val="0"/>
              <w:autoSpaceDN w:val="0"/>
              <w:bidi w:val="0"/>
              <w:spacing w:line="400" w:lineRule="exact"/>
              <w:rPr>
                <w:rFonts w:hint="default" w:asciiTheme="minorEastAsia" w:hAnsiTheme="minorEastAsia" w:eastAsiaTheme="minorEastAsia"/>
                <w:bCs/>
                <w:sz w:val="24"/>
                <w:szCs w:val="24"/>
                <w:highlight w:val="none"/>
                <w:lang w:val="en-US" w:eastAsia="zh-CN"/>
              </w:rPr>
            </w:pPr>
            <w:r>
              <w:rPr>
                <w:rFonts w:hint="eastAsia" w:asciiTheme="minorEastAsia" w:hAnsiTheme="minorEastAsia" w:eastAsiaTheme="minorEastAsia"/>
                <w:color w:val="000000"/>
                <w:sz w:val="24"/>
                <w:szCs w:val="24"/>
                <w:highlight w:val="none"/>
                <w:shd w:val="clear" w:color="auto" w:fill="FFFFFF"/>
                <w:lang w:val="en-US" w:eastAsia="zh-CN"/>
              </w:rPr>
              <w:t>10日历天</w:t>
            </w:r>
          </w:p>
        </w:tc>
      </w:tr>
      <w:tr w14:paraId="5A06FF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3C9DB7BA">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w:t>
            </w:r>
          </w:p>
        </w:tc>
        <w:tc>
          <w:tcPr>
            <w:tcW w:w="1642" w:type="dxa"/>
            <w:tcBorders>
              <w:left w:val="single" w:color="auto" w:sz="4" w:space="0"/>
            </w:tcBorders>
            <w:vAlign w:val="center"/>
          </w:tcPr>
          <w:p w14:paraId="08E124B1">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bCs/>
                <w:sz w:val="24"/>
                <w:szCs w:val="24"/>
                <w:highlight w:val="none"/>
              </w:rPr>
              <w:t>交货地点</w:t>
            </w:r>
          </w:p>
        </w:tc>
        <w:tc>
          <w:tcPr>
            <w:tcW w:w="6781" w:type="dxa"/>
            <w:vAlign w:val="center"/>
          </w:tcPr>
          <w:p w14:paraId="21EFE539">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采购人指定地点</w:t>
            </w:r>
          </w:p>
        </w:tc>
      </w:tr>
      <w:tr w14:paraId="22A4BA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57855BA4">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9</w:t>
            </w:r>
          </w:p>
        </w:tc>
        <w:tc>
          <w:tcPr>
            <w:tcW w:w="1642" w:type="dxa"/>
            <w:tcBorders>
              <w:left w:val="single" w:color="auto" w:sz="4" w:space="0"/>
            </w:tcBorders>
            <w:vAlign w:val="center"/>
          </w:tcPr>
          <w:p w14:paraId="47E14724">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采购内容</w:t>
            </w:r>
          </w:p>
        </w:tc>
        <w:tc>
          <w:tcPr>
            <w:tcW w:w="6781" w:type="dxa"/>
            <w:vAlign w:val="center"/>
          </w:tcPr>
          <w:p w14:paraId="100628C9">
            <w:pPr>
              <w:keepLines w:val="0"/>
              <w:pageBreakBefore w:val="0"/>
              <w:widowControl w:val="0"/>
              <w:kinsoku/>
              <w:wordWrap/>
              <w:overflowPunct/>
              <w:topLinePunct w:val="0"/>
              <w:autoSpaceDE w:val="0"/>
              <w:autoSpaceDN w:val="0"/>
              <w:bidi w:val="0"/>
              <w:spacing w:line="400" w:lineRule="exact"/>
              <w:rPr>
                <w:rFonts w:hint="eastAsia" w:asciiTheme="minorEastAsia" w:hAnsiTheme="minorEastAsia" w:eastAsiaTheme="minorEastAsia"/>
                <w:sz w:val="24"/>
                <w:szCs w:val="24"/>
                <w:highlight w:val="none"/>
                <w:lang w:eastAsia="zh-CN"/>
              </w:rPr>
            </w:pPr>
            <w:r>
              <w:rPr>
                <w:rFonts w:hint="eastAsia" w:asciiTheme="minorEastAsia" w:hAnsiTheme="minorEastAsia" w:eastAsiaTheme="minorEastAsia"/>
                <w:sz w:val="24"/>
                <w:szCs w:val="24"/>
                <w:highlight w:val="none"/>
              </w:rPr>
              <w:t>周口实验高级中学（郸城一高周口校区）语文学科教室采购项目</w:t>
            </w:r>
            <w:r>
              <w:rPr>
                <w:rFonts w:hint="eastAsia" w:asciiTheme="minorEastAsia" w:hAnsiTheme="minorEastAsia" w:eastAsiaTheme="minorEastAsia"/>
                <w:sz w:val="24"/>
                <w:szCs w:val="24"/>
                <w:highlight w:val="none"/>
                <w:lang w:eastAsia="zh-CN"/>
              </w:rPr>
              <w:t>（</w:t>
            </w:r>
            <w:r>
              <w:rPr>
                <w:rFonts w:hint="eastAsia" w:asciiTheme="minorEastAsia" w:hAnsiTheme="minorEastAsia" w:eastAsiaTheme="minorEastAsia"/>
                <w:sz w:val="24"/>
                <w:szCs w:val="24"/>
                <w:highlight w:val="none"/>
                <w:lang w:val="en-US" w:eastAsia="zh-CN"/>
              </w:rPr>
              <w:t>详见第四部分项目内容及技术要求</w:t>
            </w:r>
            <w:r>
              <w:rPr>
                <w:rFonts w:hint="eastAsia" w:asciiTheme="minorEastAsia" w:hAnsiTheme="minorEastAsia" w:eastAsiaTheme="minorEastAsia"/>
                <w:sz w:val="24"/>
                <w:szCs w:val="24"/>
                <w:highlight w:val="none"/>
                <w:lang w:eastAsia="zh-CN"/>
              </w:rPr>
              <w:t>）</w:t>
            </w:r>
          </w:p>
        </w:tc>
      </w:tr>
      <w:tr w14:paraId="34CC3B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63FCFAB5">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10</w:t>
            </w:r>
          </w:p>
        </w:tc>
        <w:tc>
          <w:tcPr>
            <w:tcW w:w="1642" w:type="dxa"/>
            <w:tcBorders>
              <w:left w:val="single" w:color="auto" w:sz="4" w:space="0"/>
            </w:tcBorders>
            <w:vAlign w:val="center"/>
          </w:tcPr>
          <w:p w14:paraId="60429120">
            <w:pPr>
              <w:keepLines w:val="0"/>
              <w:pageBreakBefore w:val="0"/>
              <w:widowControl w:val="0"/>
              <w:kinsoku/>
              <w:wordWrap/>
              <w:overflowPunct/>
              <w:topLinePunct w:val="0"/>
              <w:autoSpaceDE w:val="0"/>
              <w:autoSpaceDN w:val="0"/>
              <w:bidi w:val="0"/>
              <w:adjustRightInd w:val="0"/>
              <w:snapToGrid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供应商资格要求</w:t>
            </w:r>
          </w:p>
        </w:tc>
        <w:tc>
          <w:tcPr>
            <w:tcW w:w="6781" w:type="dxa"/>
            <w:vAlign w:val="center"/>
          </w:tcPr>
          <w:p w14:paraId="2974C5C8">
            <w:pPr>
              <w:keepLines w:val="0"/>
              <w:pageBreakBefore w:val="0"/>
              <w:widowControl w:val="0"/>
              <w:kinsoku/>
              <w:wordWrap/>
              <w:overflowPunct/>
              <w:topLinePunct w:val="0"/>
              <w:autoSpaceDE w:val="0"/>
              <w:autoSpaceDN w:val="0"/>
              <w:bidi w:val="0"/>
              <w:adjustRightInd w:val="0"/>
              <w:snapToGrid w:val="0"/>
              <w:spacing w:line="400" w:lineRule="exact"/>
              <w:rPr>
                <w:rFonts w:hint="eastAsia"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lang w:val="en-US" w:eastAsia="zh-CN"/>
              </w:rPr>
              <w:t>见公告</w:t>
            </w:r>
          </w:p>
        </w:tc>
      </w:tr>
      <w:tr w14:paraId="717484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0ABC0456">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11</w:t>
            </w:r>
          </w:p>
        </w:tc>
        <w:tc>
          <w:tcPr>
            <w:tcW w:w="1642" w:type="dxa"/>
            <w:tcBorders>
              <w:left w:val="single" w:color="auto" w:sz="4" w:space="0"/>
            </w:tcBorders>
            <w:vAlign w:val="center"/>
          </w:tcPr>
          <w:p w14:paraId="695F2C34">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投标有效期</w:t>
            </w:r>
          </w:p>
        </w:tc>
        <w:tc>
          <w:tcPr>
            <w:tcW w:w="6781" w:type="dxa"/>
            <w:vAlign w:val="center"/>
          </w:tcPr>
          <w:p w14:paraId="6C263CCA">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自投标截止之日起</w:t>
            </w:r>
            <w:r>
              <w:rPr>
                <w:rFonts w:hint="eastAsia" w:asciiTheme="minorEastAsia" w:hAnsiTheme="minorEastAsia" w:eastAsiaTheme="minorEastAsia"/>
                <w:sz w:val="24"/>
                <w:szCs w:val="24"/>
                <w:highlight w:val="none"/>
              </w:rPr>
              <w:t>6</w:t>
            </w:r>
            <w:r>
              <w:rPr>
                <w:rFonts w:asciiTheme="minorEastAsia" w:hAnsiTheme="minorEastAsia" w:eastAsiaTheme="minorEastAsia"/>
                <w:sz w:val="24"/>
                <w:szCs w:val="24"/>
                <w:highlight w:val="none"/>
              </w:rPr>
              <w:t>0日历天。</w:t>
            </w:r>
          </w:p>
        </w:tc>
      </w:tr>
      <w:tr w14:paraId="48A623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4E21BCE2">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12</w:t>
            </w:r>
          </w:p>
        </w:tc>
        <w:tc>
          <w:tcPr>
            <w:tcW w:w="1642" w:type="dxa"/>
            <w:tcBorders>
              <w:left w:val="single" w:color="auto" w:sz="4" w:space="0"/>
            </w:tcBorders>
            <w:vAlign w:val="center"/>
          </w:tcPr>
          <w:p w14:paraId="0BC403AD">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投标保证金</w:t>
            </w:r>
          </w:p>
        </w:tc>
        <w:tc>
          <w:tcPr>
            <w:tcW w:w="6781" w:type="dxa"/>
            <w:vAlign w:val="center"/>
          </w:tcPr>
          <w:p w14:paraId="30F73EC1">
            <w:pPr>
              <w:keepLines w:val="0"/>
              <w:pageBreakBefore w:val="0"/>
              <w:widowControl w:val="0"/>
              <w:kinsoku/>
              <w:wordWrap/>
              <w:overflowPunct/>
              <w:topLinePunct w:val="0"/>
              <w:autoSpaceDE w:val="0"/>
              <w:autoSpaceDN w:val="0"/>
              <w:bidi w:val="0"/>
              <w:adjustRightInd w:val="0"/>
              <w:spacing w:line="400" w:lineRule="exact"/>
              <w:textAlignment w:val="baseline"/>
              <w:rPr>
                <w:rFonts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本项目不需要缴纳谈判保证金</w:t>
            </w:r>
          </w:p>
        </w:tc>
      </w:tr>
      <w:tr w14:paraId="21D04A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2FC12D8C">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13</w:t>
            </w:r>
          </w:p>
        </w:tc>
        <w:tc>
          <w:tcPr>
            <w:tcW w:w="1642" w:type="dxa"/>
            <w:tcBorders>
              <w:left w:val="single" w:color="auto" w:sz="4" w:space="0"/>
            </w:tcBorders>
            <w:vAlign w:val="center"/>
          </w:tcPr>
          <w:p w14:paraId="3DC6CD18">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签字或盖章要求</w:t>
            </w:r>
          </w:p>
        </w:tc>
        <w:tc>
          <w:tcPr>
            <w:tcW w:w="6781" w:type="dxa"/>
            <w:vAlign w:val="center"/>
          </w:tcPr>
          <w:p w14:paraId="03A0496B">
            <w:pPr>
              <w:keepNext/>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本招标文件中明确需法定代表人、授权代表签字的地方内容应全姓名签署，明确加盖单位公章的内容应加盖单位公章，不得用其它印章代替。</w:t>
            </w:r>
          </w:p>
        </w:tc>
      </w:tr>
      <w:tr w14:paraId="5F05D8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5CD25856">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14</w:t>
            </w:r>
          </w:p>
        </w:tc>
        <w:tc>
          <w:tcPr>
            <w:tcW w:w="1642" w:type="dxa"/>
            <w:tcBorders>
              <w:left w:val="single" w:color="auto" w:sz="4" w:space="0"/>
            </w:tcBorders>
            <w:vAlign w:val="center"/>
          </w:tcPr>
          <w:p w14:paraId="56301A90">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投标文件份数</w:t>
            </w:r>
          </w:p>
        </w:tc>
        <w:tc>
          <w:tcPr>
            <w:tcW w:w="6781" w:type="dxa"/>
            <w:vAlign w:val="center"/>
          </w:tcPr>
          <w:p w14:paraId="09689F5B">
            <w:pPr>
              <w:keepNext/>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1、投标文件为使用周口市公共资源交易中心提供的电子标书制作工具软件（</w:t>
            </w:r>
            <w:r>
              <w:rPr>
                <w:rFonts w:hint="eastAsia" w:asciiTheme="minorEastAsia" w:hAnsiTheme="minorEastAsia" w:eastAsiaTheme="minorEastAsia"/>
                <w:color w:val="000000"/>
                <w:kern w:val="2"/>
                <w:sz w:val="24"/>
                <w:szCs w:val="24"/>
                <w:highlight w:val="none"/>
                <w:lang w:val="en-US"/>
              </w:rPr>
              <w:t>http://jyzx.zhoukou.gov.cn</w:t>
            </w:r>
            <w:r>
              <w:rPr>
                <w:rFonts w:hint="eastAsia" w:asciiTheme="minorEastAsia" w:hAnsiTheme="minorEastAsia" w:eastAsiaTheme="minorEastAsia"/>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4609D46">
            <w:pPr>
              <w:keepNext/>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2、本项目实行网上远程开标无须到现场提交响应文件，未加密的电子投标文件和纸质文件不再提交。</w:t>
            </w:r>
          </w:p>
        </w:tc>
      </w:tr>
      <w:tr w14:paraId="1827A8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7DBF0E7C">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15</w:t>
            </w:r>
          </w:p>
        </w:tc>
        <w:tc>
          <w:tcPr>
            <w:tcW w:w="1642" w:type="dxa"/>
            <w:tcBorders>
              <w:left w:val="single" w:color="auto" w:sz="4" w:space="0"/>
            </w:tcBorders>
            <w:vAlign w:val="center"/>
          </w:tcPr>
          <w:p w14:paraId="731DEDBF">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投标截止时间</w:t>
            </w:r>
          </w:p>
        </w:tc>
        <w:tc>
          <w:tcPr>
            <w:tcW w:w="6781" w:type="dxa"/>
            <w:vAlign w:val="center"/>
          </w:tcPr>
          <w:p w14:paraId="1713D214">
            <w:pPr>
              <w:keepLines w:val="0"/>
              <w:pageBreakBefore w:val="0"/>
              <w:widowControl w:val="0"/>
              <w:kinsoku/>
              <w:wordWrap/>
              <w:overflowPunct/>
              <w:topLinePunct w:val="0"/>
              <w:autoSpaceDE w:val="0"/>
              <w:autoSpaceDN w:val="0"/>
              <w:bidi w:val="0"/>
              <w:spacing w:line="400" w:lineRule="exact"/>
              <w:rPr>
                <w:rFonts w:hint="default" w:asciiTheme="minorEastAsia" w:hAnsiTheme="minorEastAsia" w:eastAsiaTheme="minorEastAsia"/>
                <w:sz w:val="24"/>
                <w:szCs w:val="24"/>
                <w:highlight w:val="none"/>
                <w:lang w:val="en-US" w:eastAsia="zh-CN"/>
              </w:rPr>
            </w:pPr>
            <w:r>
              <w:rPr>
                <w:rFonts w:asciiTheme="minorEastAsia" w:hAnsiTheme="minorEastAsia" w:eastAsiaTheme="minorEastAsia"/>
                <w:sz w:val="24"/>
                <w:szCs w:val="24"/>
                <w:highlight w:val="none"/>
              </w:rPr>
              <w:t>递交</w:t>
            </w:r>
            <w:r>
              <w:rPr>
                <w:rFonts w:hint="eastAsia" w:asciiTheme="minorEastAsia" w:hAnsiTheme="minorEastAsia" w:eastAsiaTheme="minorEastAsia"/>
                <w:sz w:val="24"/>
                <w:szCs w:val="24"/>
                <w:highlight w:val="none"/>
                <w:lang w:val="en-US"/>
              </w:rPr>
              <w:t>响应</w:t>
            </w:r>
            <w:r>
              <w:rPr>
                <w:rFonts w:asciiTheme="minorEastAsia" w:hAnsiTheme="minorEastAsia" w:eastAsiaTheme="minorEastAsia"/>
                <w:sz w:val="24"/>
                <w:szCs w:val="24"/>
                <w:highlight w:val="none"/>
              </w:rPr>
              <w:t>文件截止时间：</w:t>
            </w:r>
            <w:r>
              <w:rPr>
                <w:rFonts w:hint="eastAsia" w:asciiTheme="minorEastAsia" w:hAnsiTheme="minorEastAsia" w:eastAsiaTheme="minorEastAsia"/>
                <w:color w:val="000000"/>
                <w:sz w:val="24"/>
                <w:szCs w:val="24"/>
                <w:highlight w:val="none"/>
                <w:shd w:val="clear" w:color="auto" w:fill="FFFFFF"/>
              </w:rPr>
              <w:t>******</w:t>
            </w:r>
            <w:r>
              <w:rPr>
                <w:rFonts w:asciiTheme="minorEastAsia" w:hAnsiTheme="minorEastAsia" w:eastAsiaTheme="minorEastAsia"/>
                <w:sz w:val="24"/>
                <w:szCs w:val="24"/>
                <w:highlight w:val="none"/>
              </w:rPr>
              <w:t>年</w:t>
            </w:r>
            <w:r>
              <w:rPr>
                <w:rFonts w:hint="eastAsia" w:asciiTheme="minorEastAsia" w:hAnsiTheme="minorEastAsia" w:eastAsiaTheme="minorEastAsia"/>
                <w:color w:val="000000"/>
                <w:sz w:val="24"/>
                <w:szCs w:val="24"/>
                <w:highlight w:val="none"/>
                <w:shd w:val="clear" w:color="auto" w:fill="FFFFFF"/>
              </w:rPr>
              <w:t>******</w:t>
            </w:r>
            <w:r>
              <w:rPr>
                <w:rFonts w:asciiTheme="minorEastAsia" w:hAnsiTheme="minorEastAsia" w:eastAsiaTheme="minorEastAsia"/>
                <w:sz w:val="24"/>
                <w:szCs w:val="24"/>
                <w:highlight w:val="none"/>
              </w:rPr>
              <w:t>月</w:t>
            </w:r>
            <w:r>
              <w:rPr>
                <w:rFonts w:hint="eastAsia" w:asciiTheme="minorEastAsia" w:hAnsiTheme="minorEastAsia" w:eastAsiaTheme="minorEastAsia"/>
                <w:color w:val="000000"/>
                <w:sz w:val="24"/>
                <w:szCs w:val="24"/>
                <w:highlight w:val="none"/>
                <w:shd w:val="clear" w:color="auto" w:fill="FFFFFF"/>
              </w:rPr>
              <w:t>******</w:t>
            </w:r>
            <w:r>
              <w:rPr>
                <w:rFonts w:asciiTheme="minorEastAsia" w:hAnsiTheme="minorEastAsia" w:eastAsiaTheme="minorEastAsia"/>
                <w:sz w:val="24"/>
                <w:szCs w:val="24"/>
                <w:highlight w:val="none"/>
              </w:rPr>
              <w:t>日</w:t>
            </w:r>
            <w:r>
              <w:rPr>
                <w:rFonts w:hint="eastAsia" w:asciiTheme="minorEastAsia" w:hAnsiTheme="minorEastAsia" w:eastAsiaTheme="minorEastAsia"/>
                <w:sz w:val="24"/>
                <w:szCs w:val="24"/>
                <w:highlight w:val="none"/>
                <w:lang w:val="en-US"/>
              </w:rPr>
              <w:t>10</w:t>
            </w:r>
            <w:r>
              <w:rPr>
                <w:rFonts w:hint="eastAsia" w:asciiTheme="minorEastAsia" w:hAnsiTheme="minorEastAsia" w:eastAsiaTheme="minorEastAsia"/>
                <w:sz w:val="24"/>
                <w:szCs w:val="24"/>
                <w:highlight w:val="none"/>
              </w:rPr>
              <w:t>:</w:t>
            </w:r>
            <w:r>
              <w:rPr>
                <w:rFonts w:hint="eastAsia" w:asciiTheme="minorEastAsia" w:hAnsiTheme="minorEastAsia" w:eastAsiaTheme="minorEastAsia"/>
                <w:sz w:val="24"/>
                <w:szCs w:val="24"/>
                <w:highlight w:val="none"/>
                <w:lang w:val="en-US"/>
              </w:rPr>
              <w:t>0</w:t>
            </w:r>
            <w:r>
              <w:rPr>
                <w:rFonts w:hint="eastAsia" w:asciiTheme="minorEastAsia" w:hAnsiTheme="minorEastAsia" w:eastAsiaTheme="minorEastAsia"/>
                <w:sz w:val="24"/>
                <w:szCs w:val="24"/>
                <w:highlight w:val="none"/>
              </w:rPr>
              <w:t>0时整</w:t>
            </w:r>
            <w:r>
              <w:rPr>
                <w:rFonts w:asciiTheme="minorEastAsia" w:hAnsiTheme="minorEastAsia" w:eastAsiaTheme="minorEastAsia"/>
                <w:sz w:val="24"/>
                <w:szCs w:val="24"/>
                <w:highlight w:val="none"/>
              </w:rPr>
              <w:t>（北京时间）</w:t>
            </w:r>
            <w:r>
              <w:rPr>
                <w:rFonts w:hint="eastAsia" w:asciiTheme="minorEastAsia" w:hAnsiTheme="minorEastAsia" w:eastAsiaTheme="minorEastAsia"/>
                <w:sz w:val="24"/>
                <w:szCs w:val="24"/>
                <w:highlight w:val="none"/>
                <w:lang w:val="en-US" w:eastAsia="zh-CN"/>
              </w:rPr>
              <w:t>详见谈判公告</w:t>
            </w:r>
          </w:p>
        </w:tc>
      </w:tr>
      <w:tr w14:paraId="603F0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0E14A901">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lang w:val="en-US"/>
              </w:rPr>
              <w:t>6</w:t>
            </w:r>
          </w:p>
        </w:tc>
        <w:tc>
          <w:tcPr>
            <w:tcW w:w="1642" w:type="dxa"/>
            <w:tcBorders>
              <w:left w:val="single" w:color="auto" w:sz="4" w:space="0"/>
            </w:tcBorders>
            <w:vAlign w:val="center"/>
          </w:tcPr>
          <w:p w14:paraId="0C986AF8">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开标时间</w:t>
            </w:r>
          </w:p>
          <w:p w14:paraId="4EA73B84">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和地点</w:t>
            </w:r>
          </w:p>
        </w:tc>
        <w:tc>
          <w:tcPr>
            <w:tcW w:w="6781" w:type="dxa"/>
            <w:vAlign w:val="center"/>
          </w:tcPr>
          <w:p w14:paraId="751D45A8">
            <w:pPr>
              <w:keepLines w:val="0"/>
              <w:pageBreakBefore w:val="0"/>
              <w:widowControl w:val="0"/>
              <w:kinsoku/>
              <w:wordWrap/>
              <w:overflowPunct/>
              <w:topLinePunct w:val="0"/>
              <w:autoSpaceDE w:val="0"/>
              <w:autoSpaceDN w:val="0"/>
              <w:bidi w:val="0"/>
              <w:spacing w:line="400" w:lineRule="exact"/>
              <w:jc w:val="left"/>
              <w:rPr>
                <w:sz w:val="24"/>
                <w:szCs w:val="24"/>
                <w:highlight w:val="none"/>
              </w:rPr>
            </w:pPr>
            <w:r>
              <w:rPr>
                <w:rFonts w:hint="eastAsia"/>
                <w:sz w:val="24"/>
                <w:szCs w:val="24"/>
                <w:highlight w:val="none"/>
              </w:rPr>
              <w:t>开标时间：</w:t>
            </w:r>
            <w:r>
              <w:rPr>
                <w:rFonts w:hint="eastAsia" w:asciiTheme="minorEastAsia" w:hAnsiTheme="minorEastAsia" w:eastAsiaTheme="minorEastAsia"/>
                <w:color w:val="000000"/>
                <w:sz w:val="24"/>
                <w:szCs w:val="24"/>
                <w:highlight w:val="none"/>
                <w:shd w:val="clear" w:color="auto" w:fill="FFFFFF"/>
              </w:rPr>
              <w:t>***</w:t>
            </w:r>
            <w:r>
              <w:rPr>
                <w:sz w:val="24"/>
                <w:szCs w:val="24"/>
                <w:highlight w:val="none"/>
              </w:rPr>
              <w:t>年</w:t>
            </w:r>
            <w:r>
              <w:rPr>
                <w:rFonts w:hint="eastAsia" w:asciiTheme="minorEastAsia" w:hAnsiTheme="minorEastAsia" w:eastAsiaTheme="minorEastAsia"/>
                <w:color w:val="000000"/>
                <w:sz w:val="24"/>
                <w:szCs w:val="24"/>
                <w:highlight w:val="none"/>
                <w:shd w:val="clear" w:color="auto" w:fill="FFFFFF"/>
              </w:rPr>
              <w:t>******</w:t>
            </w:r>
            <w:r>
              <w:rPr>
                <w:sz w:val="24"/>
                <w:szCs w:val="24"/>
                <w:highlight w:val="none"/>
              </w:rPr>
              <w:t>月</w:t>
            </w:r>
            <w:r>
              <w:rPr>
                <w:rFonts w:hint="eastAsia" w:asciiTheme="minorEastAsia" w:hAnsiTheme="minorEastAsia" w:eastAsiaTheme="minorEastAsia"/>
                <w:color w:val="000000"/>
                <w:sz w:val="24"/>
                <w:szCs w:val="24"/>
                <w:highlight w:val="none"/>
                <w:shd w:val="clear" w:color="auto" w:fill="FFFFFF"/>
              </w:rPr>
              <w:t>******</w:t>
            </w:r>
            <w:r>
              <w:rPr>
                <w:sz w:val="24"/>
                <w:szCs w:val="24"/>
                <w:highlight w:val="none"/>
              </w:rPr>
              <w:t>日</w:t>
            </w:r>
            <w:r>
              <w:rPr>
                <w:rFonts w:hint="eastAsia"/>
                <w:sz w:val="24"/>
                <w:szCs w:val="24"/>
                <w:highlight w:val="none"/>
                <w:lang w:val="en-US"/>
              </w:rPr>
              <w:t>10</w:t>
            </w:r>
            <w:r>
              <w:rPr>
                <w:rFonts w:hint="eastAsia"/>
                <w:sz w:val="24"/>
                <w:szCs w:val="24"/>
                <w:highlight w:val="none"/>
              </w:rPr>
              <w:t>:</w:t>
            </w:r>
            <w:r>
              <w:rPr>
                <w:rFonts w:hint="eastAsia"/>
                <w:sz w:val="24"/>
                <w:szCs w:val="24"/>
                <w:highlight w:val="none"/>
                <w:lang w:val="en-US"/>
              </w:rPr>
              <w:t>0</w:t>
            </w:r>
            <w:r>
              <w:rPr>
                <w:rFonts w:hint="eastAsia"/>
                <w:sz w:val="24"/>
                <w:szCs w:val="24"/>
                <w:highlight w:val="none"/>
              </w:rPr>
              <w:t>0时整</w:t>
            </w:r>
            <w:r>
              <w:rPr>
                <w:sz w:val="24"/>
                <w:szCs w:val="24"/>
                <w:highlight w:val="none"/>
              </w:rPr>
              <w:t>（北京时间）</w:t>
            </w:r>
            <w:r>
              <w:rPr>
                <w:rFonts w:hint="eastAsia" w:asciiTheme="minorEastAsia" w:hAnsiTheme="minorEastAsia" w:eastAsiaTheme="minorEastAsia"/>
                <w:sz w:val="24"/>
                <w:szCs w:val="24"/>
                <w:highlight w:val="none"/>
                <w:lang w:val="en-US" w:eastAsia="zh-CN"/>
              </w:rPr>
              <w:t>详见谈判公告</w:t>
            </w:r>
          </w:p>
          <w:p w14:paraId="3FDEA409">
            <w:pPr>
              <w:keepLines w:val="0"/>
              <w:pageBreakBefore w:val="0"/>
              <w:widowControl w:val="0"/>
              <w:kinsoku/>
              <w:wordWrap/>
              <w:overflowPunct/>
              <w:topLinePunct w:val="0"/>
              <w:autoSpaceDE w:val="0"/>
              <w:autoSpaceDN w:val="0"/>
              <w:bidi w:val="0"/>
              <w:spacing w:line="400" w:lineRule="exact"/>
              <w:jc w:val="left"/>
              <w:rPr>
                <w:rFonts w:hint="eastAsia"/>
                <w:sz w:val="24"/>
                <w:szCs w:val="24"/>
                <w:highlight w:val="none"/>
                <w:lang w:val="en-US" w:eastAsia="zh-CN"/>
              </w:rPr>
            </w:pPr>
            <w:r>
              <w:rPr>
                <w:rFonts w:hint="eastAsia"/>
                <w:sz w:val="24"/>
                <w:szCs w:val="24"/>
                <w:highlight w:val="none"/>
              </w:rPr>
              <w:t>开标地点：周口市公共资源交易中心</w:t>
            </w:r>
            <w:r>
              <w:rPr>
                <w:rFonts w:hint="eastAsia"/>
                <w:sz w:val="24"/>
                <w:szCs w:val="24"/>
                <w:highlight w:val="none"/>
                <w:lang w:val="en-US" w:eastAsia="zh-CN"/>
              </w:rPr>
              <w:t>网</w:t>
            </w:r>
          </w:p>
          <w:p w14:paraId="36142854">
            <w:pPr>
              <w:keepLines w:val="0"/>
              <w:pageBreakBefore w:val="0"/>
              <w:widowControl w:val="0"/>
              <w:kinsoku/>
              <w:wordWrap/>
              <w:overflowPunct/>
              <w:topLinePunct w:val="0"/>
              <w:autoSpaceDE w:val="0"/>
              <w:autoSpaceDN w:val="0"/>
              <w:bidi w:val="0"/>
              <w:spacing w:line="400" w:lineRule="exact"/>
              <w:jc w:val="left"/>
              <w:rPr>
                <w:rFonts w:hint="eastAsia"/>
                <w:sz w:val="24"/>
                <w:szCs w:val="24"/>
                <w:highlight w:val="none"/>
                <w:lang w:val="en-US" w:eastAsia="zh-CN"/>
              </w:rPr>
            </w:pPr>
            <w:r>
              <w:rPr>
                <w:rFonts w:hint="eastAsia"/>
                <w:sz w:val="24"/>
                <w:szCs w:val="24"/>
                <w:highlight w:val="none"/>
              </w:rPr>
              <w:t>网址：周口市公共资源电子交易服务平台会员系统（网址http://jyzx.zhoukou.gov.cn</w:t>
            </w:r>
            <w:r>
              <w:rPr>
                <w:rFonts w:hint="eastAsia"/>
                <w:sz w:val="24"/>
                <w:szCs w:val="24"/>
                <w:highlight w:val="none"/>
                <w:lang w:eastAsia="zh-CN"/>
              </w:rPr>
              <w:t>）</w:t>
            </w:r>
          </w:p>
          <w:p w14:paraId="586F2EB1">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4"/>
                <w:szCs w:val="24"/>
                <w:highlight w:val="none"/>
                <w:lang w:val="en-US"/>
              </w:rPr>
            </w:pPr>
            <w:r>
              <w:rPr>
                <w:rFonts w:hint="eastAsia"/>
                <w:sz w:val="24"/>
                <w:szCs w:val="24"/>
                <w:highlight w:val="none"/>
              </w:rPr>
              <w:t>（本项目实行网上远程开标无须到现场提交响应文件）</w:t>
            </w:r>
          </w:p>
        </w:tc>
      </w:tr>
      <w:tr w14:paraId="29D2CC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73E2629F">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lang w:val="en-US"/>
              </w:rPr>
              <w:t>7</w:t>
            </w:r>
          </w:p>
        </w:tc>
        <w:tc>
          <w:tcPr>
            <w:tcW w:w="1642" w:type="dxa"/>
            <w:tcBorders>
              <w:left w:val="single" w:color="auto" w:sz="4" w:space="0"/>
            </w:tcBorders>
            <w:vAlign w:val="center"/>
          </w:tcPr>
          <w:p w14:paraId="0556D5C7">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评标委员会的组建</w:t>
            </w:r>
          </w:p>
        </w:tc>
        <w:tc>
          <w:tcPr>
            <w:tcW w:w="6781" w:type="dxa"/>
            <w:vAlign w:val="center"/>
          </w:tcPr>
          <w:p w14:paraId="0CF6C661">
            <w:pPr>
              <w:keepLines w:val="0"/>
              <w:pageBreakBefore w:val="0"/>
              <w:widowControl w:val="0"/>
              <w:kinsoku/>
              <w:wordWrap/>
              <w:overflowPunct/>
              <w:topLinePunct w:val="0"/>
              <w:autoSpaceDE w:val="0"/>
              <w:autoSpaceDN w:val="0"/>
              <w:bidi w:val="0"/>
              <w:spacing w:line="400" w:lineRule="exact"/>
              <w:jc w:val="both"/>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评标委员会构成：</w:t>
            </w:r>
            <w:r>
              <w:rPr>
                <w:rFonts w:hint="eastAsia" w:asciiTheme="minorEastAsia" w:hAnsiTheme="minorEastAsia" w:eastAsiaTheme="minorEastAsia"/>
                <w:color w:val="000000"/>
                <w:sz w:val="24"/>
                <w:szCs w:val="24"/>
                <w:highlight w:val="none"/>
                <w:shd w:val="clear" w:color="auto" w:fill="FFFFFF"/>
                <w:lang w:val="en-US" w:eastAsia="zh-CN"/>
              </w:rPr>
              <w:t>3</w:t>
            </w:r>
            <w:r>
              <w:rPr>
                <w:rFonts w:hint="eastAsia" w:asciiTheme="minorEastAsia" w:hAnsiTheme="minorEastAsia" w:eastAsiaTheme="minorEastAsia"/>
                <w:sz w:val="24"/>
                <w:szCs w:val="24"/>
                <w:highlight w:val="none"/>
              </w:rPr>
              <w:t>人，其中采购人代表</w:t>
            </w:r>
            <w:r>
              <w:rPr>
                <w:rFonts w:hint="eastAsia" w:asciiTheme="minorEastAsia" w:hAnsiTheme="minorEastAsia" w:eastAsiaTheme="minorEastAsia"/>
                <w:color w:val="000000"/>
                <w:sz w:val="24"/>
                <w:szCs w:val="24"/>
                <w:highlight w:val="none"/>
                <w:shd w:val="clear" w:color="auto" w:fill="FFFFFF"/>
                <w:lang w:val="en-US" w:eastAsia="zh-CN"/>
              </w:rPr>
              <w:t>1</w:t>
            </w:r>
            <w:r>
              <w:rPr>
                <w:rFonts w:hint="eastAsia" w:asciiTheme="minorEastAsia" w:hAnsiTheme="minorEastAsia" w:eastAsiaTheme="minorEastAsia"/>
                <w:sz w:val="24"/>
                <w:szCs w:val="24"/>
                <w:highlight w:val="none"/>
              </w:rPr>
              <w:t>人，技术、经济专家</w:t>
            </w:r>
            <w:r>
              <w:rPr>
                <w:rFonts w:hint="eastAsia" w:asciiTheme="minorEastAsia" w:hAnsiTheme="minorEastAsia" w:eastAsiaTheme="minorEastAsia"/>
                <w:color w:val="000000"/>
                <w:sz w:val="24"/>
                <w:szCs w:val="24"/>
                <w:highlight w:val="none"/>
                <w:shd w:val="clear" w:color="auto" w:fill="FFFFFF"/>
                <w:lang w:val="en-US" w:eastAsia="zh-CN"/>
              </w:rPr>
              <w:t>2</w:t>
            </w:r>
            <w:r>
              <w:rPr>
                <w:rFonts w:hint="eastAsia" w:asciiTheme="minorEastAsia" w:hAnsiTheme="minorEastAsia" w:eastAsiaTheme="minorEastAsia"/>
                <w:sz w:val="24"/>
                <w:szCs w:val="24"/>
                <w:highlight w:val="none"/>
              </w:rPr>
              <w:t>人；</w:t>
            </w:r>
          </w:p>
          <w:p w14:paraId="4968A1E1">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评标专家确定方式：在评标前从相关专家库中随机抽取选定。</w:t>
            </w:r>
          </w:p>
        </w:tc>
      </w:tr>
      <w:tr w14:paraId="106B94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37B2DF21">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lang w:val="en-US"/>
              </w:rPr>
              <w:t>8</w:t>
            </w:r>
          </w:p>
        </w:tc>
        <w:tc>
          <w:tcPr>
            <w:tcW w:w="1642" w:type="dxa"/>
            <w:tcBorders>
              <w:left w:val="single" w:color="auto" w:sz="4" w:space="0"/>
            </w:tcBorders>
            <w:vAlign w:val="center"/>
          </w:tcPr>
          <w:p w14:paraId="75E996E8">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是否授权评标委员会确定中标人</w:t>
            </w:r>
          </w:p>
        </w:tc>
        <w:tc>
          <w:tcPr>
            <w:tcW w:w="6781" w:type="dxa"/>
            <w:vAlign w:val="center"/>
          </w:tcPr>
          <w:p w14:paraId="1E468EEE">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rPr>
              <w:t>否，</w:t>
            </w:r>
            <w:r>
              <w:rPr>
                <w:rFonts w:hint="eastAsia" w:asciiTheme="minorEastAsia" w:hAnsiTheme="minorEastAsia" w:eastAsiaTheme="minorEastAsia"/>
                <w:sz w:val="24"/>
                <w:szCs w:val="24"/>
                <w:highlight w:val="none"/>
                <w:lang w:val="en-US"/>
              </w:rPr>
              <w:t>由谈判小组推荐中标候选人，由采购人确定中标人</w:t>
            </w:r>
          </w:p>
        </w:tc>
      </w:tr>
      <w:tr w14:paraId="4AC2A5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7F2CC38A">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19</w:t>
            </w:r>
          </w:p>
        </w:tc>
        <w:tc>
          <w:tcPr>
            <w:tcW w:w="1642" w:type="dxa"/>
            <w:tcBorders>
              <w:left w:val="single" w:color="auto" w:sz="4" w:space="0"/>
            </w:tcBorders>
            <w:vAlign w:val="center"/>
          </w:tcPr>
          <w:p w14:paraId="4183D38D">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代理</w:t>
            </w:r>
            <w:r>
              <w:rPr>
                <w:rFonts w:hint="eastAsia" w:asciiTheme="minorEastAsia" w:hAnsiTheme="minorEastAsia" w:eastAsiaTheme="minorEastAsia"/>
                <w:sz w:val="24"/>
                <w:szCs w:val="24"/>
                <w:highlight w:val="none"/>
              </w:rPr>
              <w:t>服务费</w:t>
            </w:r>
          </w:p>
        </w:tc>
        <w:tc>
          <w:tcPr>
            <w:tcW w:w="6781" w:type="dxa"/>
            <w:vAlign w:val="center"/>
          </w:tcPr>
          <w:p w14:paraId="63BD2CE0">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本项目不收取代理服务费</w:t>
            </w:r>
          </w:p>
        </w:tc>
      </w:tr>
      <w:tr w14:paraId="47C440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2CFBDFE3">
            <w:pPr>
              <w:keepLines w:val="0"/>
              <w:pageBreakBefore w:val="0"/>
              <w:widowControl w:val="0"/>
              <w:kinsoku/>
              <w:wordWrap/>
              <w:overflowPunct/>
              <w:topLinePunct w:val="0"/>
              <w:autoSpaceDE w:val="0"/>
              <w:autoSpaceDN w:val="0"/>
              <w:bidi w:val="0"/>
              <w:spacing w:line="400" w:lineRule="exact"/>
              <w:jc w:val="cente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20</w:t>
            </w:r>
          </w:p>
        </w:tc>
        <w:tc>
          <w:tcPr>
            <w:tcW w:w="1642" w:type="dxa"/>
            <w:tcBorders>
              <w:left w:val="single" w:color="auto" w:sz="4" w:space="0"/>
            </w:tcBorders>
            <w:vAlign w:val="center"/>
          </w:tcPr>
          <w:p w14:paraId="5AAC6E4B">
            <w:pPr>
              <w:keepLines w:val="0"/>
              <w:pageBreakBefore w:val="0"/>
              <w:widowControl w:val="0"/>
              <w:kinsoku/>
              <w:wordWrap/>
              <w:overflowPunct/>
              <w:topLinePunct w:val="0"/>
              <w:autoSpaceDE w:val="0"/>
              <w:autoSpaceDN w:val="0"/>
              <w:bidi w:val="0"/>
              <w:spacing w:line="400" w:lineRule="exact"/>
              <w:ind w:firstLine="14" w:firstLineChars="6"/>
              <w:jc w:val="center"/>
              <w:rPr>
                <w:rFonts w:hint="eastAsia" w:asciiTheme="minorEastAsia" w:hAnsiTheme="minorEastAsia" w:eastAsiaTheme="minorEastAsia"/>
                <w:sz w:val="24"/>
                <w:szCs w:val="24"/>
                <w:highlight w:val="none"/>
                <w:lang w:val="en-US"/>
              </w:rPr>
            </w:pPr>
            <w:r>
              <w:rPr>
                <w:rFonts w:hint="eastAsia" w:ascii="宋体" w:hAnsi="宋体" w:cs="宋体"/>
                <w:b/>
                <w:bCs/>
                <w:color w:val="auto"/>
                <w:sz w:val="24"/>
                <w:szCs w:val="24"/>
                <w:highlight w:val="none"/>
                <w:lang w:val="en-US" w:eastAsia="zh-CN"/>
              </w:rPr>
              <w:t>报价</w:t>
            </w:r>
          </w:p>
        </w:tc>
        <w:tc>
          <w:tcPr>
            <w:tcW w:w="6781" w:type="dxa"/>
            <w:vAlign w:val="center"/>
          </w:tcPr>
          <w:p w14:paraId="14B51BC5">
            <w:pPr>
              <w:keepLines w:val="0"/>
              <w:pageBreakBefore w:val="0"/>
              <w:widowControl w:val="0"/>
              <w:tabs>
                <w:tab w:val="left" w:pos="8640"/>
              </w:tabs>
              <w:kinsoku/>
              <w:wordWrap/>
              <w:overflowPunct/>
              <w:topLinePunct w:val="0"/>
              <w:autoSpaceDE w:val="0"/>
              <w:autoSpaceDN w:val="0"/>
              <w:bidi w:val="0"/>
              <w:spacing w:line="400" w:lineRule="exact"/>
              <w:jc w:val="left"/>
              <w:rPr>
                <w:rFonts w:hint="eastAsia" w:asciiTheme="minorEastAsia" w:hAnsiTheme="minorEastAsia" w:eastAsiaTheme="minorEastAsia"/>
                <w:sz w:val="24"/>
                <w:szCs w:val="24"/>
                <w:highlight w:val="none"/>
                <w:lang w:val="en-US"/>
              </w:rPr>
            </w:pPr>
            <w:r>
              <w:rPr>
                <w:rFonts w:hint="eastAsia" w:cs="宋体"/>
                <w:b/>
                <w:bCs/>
                <w:color w:val="auto"/>
                <w:sz w:val="24"/>
                <w:szCs w:val="24"/>
                <w:highlight w:val="none"/>
                <w:lang w:val="en-US" w:eastAsia="zh-CN"/>
              </w:rPr>
              <w:t>2</w:t>
            </w:r>
            <w:r>
              <w:rPr>
                <w:rFonts w:hint="eastAsia" w:ascii="宋体" w:hAnsi="宋体" w:cs="宋体"/>
                <w:b/>
                <w:bCs/>
                <w:color w:val="auto"/>
                <w:sz w:val="24"/>
                <w:szCs w:val="24"/>
                <w:highlight w:val="none"/>
                <w:lang w:val="en-US" w:eastAsia="zh-CN"/>
              </w:rPr>
              <w:t>次报价</w:t>
            </w:r>
          </w:p>
        </w:tc>
      </w:tr>
      <w:tr w14:paraId="005B42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5F82C93D">
            <w:pPr>
              <w:keepLines w:val="0"/>
              <w:pageBreakBefore w:val="0"/>
              <w:widowControl w:val="0"/>
              <w:kinsoku/>
              <w:wordWrap/>
              <w:overflowPunct/>
              <w:topLinePunct w:val="0"/>
              <w:autoSpaceDE w:val="0"/>
              <w:autoSpaceDN w:val="0"/>
              <w:bidi w:val="0"/>
              <w:spacing w:line="400" w:lineRule="exact"/>
              <w:jc w:val="center"/>
              <w:rPr>
                <w:rFonts w:hint="default"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lang w:val="en-US" w:eastAsia="zh-CN"/>
              </w:rPr>
              <w:t>21</w:t>
            </w:r>
          </w:p>
        </w:tc>
        <w:tc>
          <w:tcPr>
            <w:tcW w:w="1642" w:type="dxa"/>
            <w:tcBorders>
              <w:left w:val="single" w:color="auto" w:sz="4" w:space="0"/>
            </w:tcBorders>
            <w:vAlign w:val="center"/>
          </w:tcPr>
          <w:p w14:paraId="12704603">
            <w:pPr>
              <w:keepLines w:val="0"/>
              <w:pageBreakBefore w:val="0"/>
              <w:widowControl w:val="0"/>
              <w:kinsoku/>
              <w:wordWrap/>
              <w:overflowPunct/>
              <w:topLinePunct w:val="0"/>
              <w:autoSpaceDE w:val="0"/>
              <w:autoSpaceDN w:val="0"/>
              <w:bidi w:val="0"/>
              <w:spacing w:line="400" w:lineRule="exact"/>
              <w:ind w:firstLine="14" w:firstLineChars="6"/>
              <w:jc w:val="center"/>
              <w:rPr>
                <w:rFonts w:hint="default" w:ascii="宋体" w:hAnsi="宋体" w:cs="宋体"/>
                <w:b/>
                <w:bCs/>
                <w:color w:val="auto"/>
                <w:sz w:val="24"/>
                <w:szCs w:val="24"/>
                <w:highlight w:val="none"/>
                <w:lang w:val="en-US" w:eastAsia="zh-CN"/>
              </w:rPr>
            </w:pPr>
            <w:r>
              <w:rPr>
                <w:rFonts w:hint="eastAsia" w:cs="宋体"/>
                <w:b/>
                <w:bCs/>
                <w:color w:val="auto"/>
                <w:sz w:val="24"/>
                <w:szCs w:val="24"/>
                <w:highlight w:val="none"/>
                <w:lang w:val="en-US" w:eastAsia="zh-CN"/>
              </w:rPr>
              <w:t>所属行业</w:t>
            </w:r>
          </w:p>
        </w:tc>
        <w:tc>
          <w:tcPr>
            <w:tcW w:w="6781" w:type="dxa"/>
            <w:vAlign w:val="center"/>
          </w:tcPr>
          <w:p w14:paraId="70BB2402">
            <w:pPr>
              <w:keepLines w:val="0"/>
              <w:pageBreakBefore w:val="0"/>
              <w:widowControl w:val="0"/>
              <w:tabs>
                <w:tab w:val="left" w:pos="8640"/>
              </w:tabs>
              <w:kinsoku/>
              <w:wordWrap/>
              <w:overflowPunct/>
              <w:topLinePunct w:val="0"/>
              <w:autoSpaceDE w:val="0"/>
              <w:autoSpaceDN w:val="0"/>
              <w:bidi w:val="0"/>
              <w:spacing w:line="400" w:lineRule="exact"/>
              <w:jc w:val="left"/>
              <w:rPr>
                <w:rFonts w:hint="default" w:ascii="宋体" w:hAnsi="宋体" w:cs="宋体"/>
                <w:b/>
                <w:bCs/>
                <w:color w:val="auto"/>
                <w:sz w:val="24"/>
                <w:szCs w:val="24"/>
                <w:highlight w:val="none"/>
                <w:lang w:val="en-US" w:eastAsia="zh-CN"/>
              </w:rPr>
            </w:pPr>
            <w:r>
              <w:rPr>
                <w:rFonts w:hint="eastAsia" w:cs="宋体"/>
                <w:b/>
                <w:bCs/>
                <w:color w:val="auto"/>
                <w:sz w:val="24"/>
                <w:szCs w:val="24"/>
                <w:highlight w:val="none"/>
                <w:lang w:val="en-US" w:eastAsia="zh-CN"/>
              </w:rPr>
              <w:t>工业</w:t>
            </w:r>
          </w:p>
        </w:tc>
      </w:tr>
      <w:tr w14:paraId="2AD0B3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117830DB">
            <w:pPr>
              <w:keepLines w:val="0"/>
              <w:pageBreakBefore w:val="0"/>
              <w:widowControl w:val="0"/>
              <w:kinsoku/>
              <w:wordWrap/>
              <w:overflowPunct/>
              <w:topLinePunct w:val="0"/>
              <w:autoSpaceDE w:val="0"/>
              <w:autoSpaceDN w:val="0"/>
              <w:bidi w:val="0"/>
              <w:spacing w:line="400" w:lineRule="exact"/>
              <w:jc w:val="center"/>
              <w:rPr>
                <w:rFonts w:hint="default"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lang w:val="en-US" w:eastAsia="zh-CN"/>
              </w:rPr>
              <w:t>22</w:t>
            </w:r>
          </w:p>
        </w:tc>
        <w:tc>
          <w:tcPr>
            <w:tcW w:w="1642" w:type="dxa"/>
            <w:tcBorders>
              <w:left w:val="single" w:color="auto" w:sz="4" w:space="0"/>
            </w:tcBorders>
            <w:vAlign w:val="center"/>
          </w:tcPr>
          <w:p w14:paraId="18511D21">
            <w:pPr>
              <w:keepLines w:val="0"/>
              <w:pageBreakBefore w:val="0"/>
              <w:widowControl w:val="0"/>
              <w:kinsoku/>
              <w:wordWrap/>
              <w:overflowPunct/>
              <w:topLinePunct w:val="0"/>
              <w:autoSpaceDE w:val="0"/>
              <w:autoSpaceDN w:val="0"/>
              <w:bidi w:val="0"/>
              <w:spacing w:line="400" w:lineRule="exact"/>
              <w:ind w:firstLine="14" w:firstLineChars="6"/>
              <w:jc w:val="center"/>
              <w:rPr>
                <w:rFonts w:hint="default" w:ascii="宋体" w:hAnsi="宋体" w:cs="宋体"/>
                <w:b/>
                <w:bCs/>
                <w:color w:val="auto"/>
                <w:sz w:val="24"/>
                <w:szCs w:val="24"/>
                <w:highlight w:val="none"/>
                <w:lang w:val="en-US" w:eastAsia="zh-CN"/>
              </w:rPr>
            </w:pPr>
            <w:r>
              <w:rPr>
                <w:rFonts w:hint="eastAsia" w:cs="宋体"/>
                <w:b/>
                <w:bCs/>
                <w:color w:val="auto"/>
                <w:sz w:val="24"/>
                <w:szCs w:val="24"/>
                <w:highlight w:val="none"/>
                <w:lang w:val="en-US" w:eastAsia="zh-CN"/>
              </w:rPr>
              <w:t>核心产品</w:t>
            </w:r>
          </w:p>
        </w:tc>
        <w:tc>
          <w:tcPr>
            <w:tcW w:w="6781" w:type="dxa"/>
            <w:vAlign w:val="center"/>
          </w:tcPr>
          <w:p w14:paraId="0BB54452">
            <w:pPr>
              <w:keepLines w:val="0"/>
              <w:pageBreakBefore w:val="0"/>
              <w:widowControl w:val="0"/>
              <w:tabs>
                <w:tab w:val="left" w:pos="8640"/>
              </w:tabs>
              <w:kinsoku/>
              <w:wordWrap/>
              <w:overflowPunct/>
              <w:topLinePunct w:val="0"/>
              <w:autoSpaceDE w:val="0"/>
              <w:autoSpaceDN w:val="0"/>
              <w:bidi w:val="0"/>
              <w:spacing w:line="400" w:lineRule="exact"/>
              <w:jc w:val="left"/>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常态录播设备</w:t>
            </w:r>
          </w:p>
        </w:tc>
      </w:tr>
      <w:tr w14:paraId="304139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24" w:type="dxa"/>
            <w:tcBorders>
              <w:right w:val="single" w:color="auto" w:sz="4" w:space="0"/>
            </w:tcBorders>
            <w:vAlign w:val="center"/>
          </w:tcPr>
          <w:p w14:paraId="1F820264">
            <w:pPr>
              <w:keepLines w:val="0"/>
              <w:pageBreakBefore w:val="0"/>
              <w:widowControl w:val="0"/>
              <w:kinsoku/>
              <w:wordWrap/>
              <w:overflowPunct/>
              <w:topLinePunct w:val="0"/>
              <w:autoSpaceDE w:val="0"/>
              <w:autoSpaceDN w:val="0"/>
              <w:bidi w:val="0"/>
              <w:spacing w:line="400" w:lineRule="exact"/>
              <w:jc w:val="center"/>
              <w:rPr>
                <w:rFonts w:hint="default"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lang w:val="en-US" w:eastAsia="zh-CN"/>
              </w:rPr>
              <w:t>23</w:t>
            </w:r>
          </w:p>
        </w:tc>
        <w:tc>
          <w:tcPr>
            <w:tcW w:w="8423" w:type="dxa"/>
            <w:gridSpan w:val="2"/>
            <w:tcBorders>
              <w:left w:val="single" w:color="auto" w:sz="4" w:space="0"/>
            </w:tcBorders>
            <w:vAlign w:val="center"/>
          </w:tcPr>
          <w:p w14:paraId="29AC23EE">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本项目招标文件最终解释权归采购人所有。</w:t>
            </w:r>
          </w:p>
        </w:tc>
      </w:tr>
    </w:tbl>
    <w:p w14:paraId="69C6F953">
      <w:pPr>
        <w:rPr>
          <w:rFonts w:asciiTheme="minorEastAsia" w:hAnsiTheme="minorEastAsia" w:eastAsiaTheme="minorEastAsia"/>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14:paraId="46133FEF">
      <w:pPr>
        <w:pStyle w:val="6"/>
        <w:keepNext w:val="0"/>
        <w:keepLines w:val="0"/>
        <w:pageBreakBefore w:val="0"/>
        <w:widowControl w:val="0"/>
        <w:numPr>
          <w:ilvl w:val="0"/>
          <w:numId w:val="2"/>
        </w:numPr>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bookmarkStart w:id="42" w:name="第四部分__谈判供应商须知"/>
      <w:bookmarkEnd w:id="42"/>
      <w:bookmarkStart w:id="43" w:name="第三部分__谈判项目要求"/>
      <w:bookmarkEnd w:id="43"/>
      <w:bookmarkStart w:id="44" w:name="_bookmark3"/>
      <w:bookmarkEnd w:id="44"/>
      <w:r>
        <w:rPr>
          <w:rFonts w:hint="eastAsia" w:ascii="宋体" w:hAnsi="宋体" w:eastAsia="宋体" w:cs="宋体"/>
          <w:sz w:val="24"/>
          <w:szCs w:val="24"/>
          <w:highlight w:val="none"/>
        </w:rPr>
        <w:t>说明</w:t>
      </w:r>
    </w:p>
    <w:p w14:paraId="4B21CB1F">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1、适用范围</w:t>
      </w:r>
    </w:p>
    <w:p w14:paraId="6B5A75C0">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92" w:firstLineChars="200"/>
        <w:jc w:val="both"/>
        <w:textAlignment w:val="auto"/>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本采购文件仅适用于本次邀请函中所述的</w:t>
      </w:r>
      <w:r>
        <w:rPr>
          <w:rFonts w:hint="eastAsia" w:ascii="宋体" w:hAnsi="宋体" w:eastAsia="宋体" w:cs="宋体"/>
          <w:spacing w:val="-6"/>
          <w:sz w:val="24"/>
          <w:szCs w:val="24"/>
          <w:highlight w:val="none"/>
        </w:rPr>
        <w:t>项目的</w:t>
      </w:r>
      <w:r>
        <w:rPr>
          <w:rFonts w:hint="eastAsia" w:ascii="宋体" w:hAnsi="宋体" w:eastAsia="宋体" w:cs="宋体"/>
          <w:spacing w:val="3"/>
          <w:sz w:val="24"/>
          <w:szCs w:val="24"/>
          <w:highlight w:val="none"/>
        </w:rPr>
        <w:t>谈判。</w:t>
      </w:r>
    </w:p>
    <w:p w14:paraId="750BB21D">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2、定义</w:t>
      </w:r>
    </w:p>
    <w:p w14:paraId="04DCA300">
      <w:pPr>
        <w:pStyle w:val="30"/>
        <w:keepNext w:val="0"/>
        <w:keepLines w:val="0"/>
        <w:pageBreakBefore w:val="0"/>
        <w:widowControl w:val="0"/>
        <w:numPr>
          <w:ilvl w:val="1"/>
          <w:numId w:val="3"/>
        </w:numPr>
        <w:tabs>
          <w:tab w:val="left" w:pos="826"/>
        </w:tabs>
        <w:kinsoku/>
        <w:wordWrap/>
        <w:overflowPunct/>
        <w:topLinePunct w:val="0"/>
        <w:autoSpaceDE w:val="0"/>
        <w:autoSpaceDN w:val="0"/>
        <w:bidi w:val="0"/>
        <w:adjustRightInd w:val="0"/>
        <w:snapToGrid w:val="0"/>
        <w:spacing w:line="360" w:lineRule="auto"/>
        <w:ind w:left="0" w:firstLine="496" w:firstLineChars="200"/>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谈判组织人——指组织本次谈判的周口市公共资源交易中心政府采购中</w:t>
      </w:r>
      <w:r>
        <w:rPr>
          <w:rFonts w:hint="eastAsia" w:ascii="宋体" w:hAnsi="宋体" w:eastAsia="宋体" w:cs="宋体"/>
          <w:sz w:val="24"/>
          <w:szCs w:val="24"/>
          <w:highlight w:val="none"/>
        </w:rPr>
        <w:t>心。</w:t>
      </w:r>
    </w:p>
    <w:p w14:paraId="296C3AE1">
      <w:pPr>
        <w:pStyle w:val="30"/>
        <w:keepNext w:val="0"/>
        <w:keepLines w:val="0"/>
        <w:pageBreakBefore w:val="0"/>
        <w:widowControl w:val="0"/>
        <w:numPr>
          <w:ilvl w:val="1"/>
          <w:numId w:val="3"/>
        </w:numPr>
        <w:tabs>
          <w:tab w:val="left" w:pos="819"/>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pacing w:val="4"/>
          <w:sz w:val="24"/>
          <w:szCs w:val="24"/>
          <w:highlight w:val="none"/>
        </w:rPr>
      </w:pPr>
      <w:r>
        <w:rPr>
          <w:rFonts w:hint="eastAsia" w:ascii="宋体" w:hAnsi="宋体" w:eastAsia="宋体" w:cs="宋体"/>
          <w:sz w:val="24"/>
          <w:szCs w:val="24"/>
          <w:highlight w:val="none"/>
        </w:rPr>
        <w:t>谈判供应商——</w:t>
      </w:r>
      <w:r>
        <w:rPr>
          <w:rFonts w:hint="eastAsia" w:ascii="宋体" w:hAnsi="宋体" w:eastAsia="宋体" w:cs="宋体"/>
          <w:spacing w:val="4"/>
          <w:sz w:val="24"/>
          <w:szCs w:val="24"/>
          <w:highlight w:val="none"/>
        </w:rPr>
        <w:t>是</w:t>
      </w:r>
      <w:r>
        <w:rPr>
          <w:rFonts w:hint="eastAsia" w:ascii="宋体" w:hAnsi="宋体" w:eastAsia="宋体" w:cs="宋体"/>
          <w:spacing w:val="4"/>
          <w:sz w:val="24"/>
          <w:szCs w:val="24"/>
          <w:highlight w:val="none"/>
          <w:lang w:val="en-US"/>
        </w:rPr>
        <w:t>指</w:t>
      </w:r>
      <w:r>
        <w:rPr>
          <w:rFonts w:hint="eastAsia" w:ascii="宋体" w:hAnsi="宋体" w:eastAsia="宋体" w:cs="宋体"/>
          <w:spacing w:val="4"/>
          <w:sz w:val="24"/>
          <w:szCs w:val="24"/>
          <w:highlight w:val="none"/>
        </w:rPr>
        <w:t>响应</w:t>
      </w:r>
      <w:r>
        <w:rPr>
          <w:rFonts w:hint="eastAsia" w:ascii="宋体" w:hAnsi="宋体" w:eastAsia="宋体" w:cs="宋体"/>
          <w:spacing w:val="4"/>
          <w:sz w:val="24"/>
          <w:szCs w:val="24"/>
          <w:highlight w:val="none"/>
          <w:lang w:val="en-US"/>
        </w:rPr>
        <w:t>谈判</w:t>
      </w:r>
      <w:r>
        <w:rPr>
          <w:rFonts w:hint="eastAsia" w:ascii="宋体" w:hAnsi="宋体" w:eastAsia="宋体" w:cs="宋体"/>
          <w:spacing w:val="4"/>
          <w:sz w:val="24"/>
          <w:szCs w:val="24"/>
          <w:highlight w:val="none"/>
        </w:rPr>
        <w:t>文件、参加</w:t>
      </w:r>
      <w:r>
        <w:rPr>
          <w:rFonts w:hint="eastAsia" w:ascii="宋体" w:hAnsi="宋体" w:eastAsia="宋体" w:cs="宋体"/>
          <w:spacing w:val="4"/>
          <w:sz w:val="24"/>
          <w:szCs w:val="24"/>
          <w:highlight w:val="none"/>
          <w:lang w:val="en-US"/>
        </w:rPr>
        <w:t>谈判</w:t>
      </w:r>
      <w:r>
        <w:rPr>
          <w:rFonts w:hint="eastAsia" w:ascii="宋体" w:hAnsi="宋体" w:eastAsia="宋体" w:cs="宋体"/>
          <w:spacing w:val="4"/>
          <w:sz w:val="24"/>
          <w:szCs w:val="24"/>
          <w:highlight w:val="none"/>
        </w:rPr>
        <w:t>竞争的中华人民共和国境内的法人、其它组织，向谈判组织人提交谈判文件的供应商。</w:t>
      </w:r>
    </w:p>
    <w:p w14:paraId="1E2A7033">
      <w:pPr>
        <w:pStyle w:val="30"/>
        <w:keepNext w:val="0"/>
        <w:keepLines w:val="0"/>
        <w:pageBreakBefore w:val="0"/>
        <w:widowControl w:val="0"/>
        <w:numPr>
          <w:ilvl w:val="1"/>
          <w:numId w:val="3"/>
        </w:numPr>
        <w:tabs>
          <w:tab w:val="left" w:pos="819"/>
        </w:tabs>
        <w:kinsoku/>
        <w:wordWrap/>
        <w:overflowPunct/>
        <w:topLinePunct w:val="0"/>
        <w:autoSpaceDE w:val="0"/>
        <w:autoSpaceDN w:val="0"/>
        <w:bidi w:val="0"/>
        <w:adjustRightInd w:val="0"/>
        <w:snapToGrid w:val="0"/>
        <w:spacing w:line="360" w:lineRule="auto"/>
        <w:ind w:left="0"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采购人——</w:t>
      </w:r>
      <w:r>
        <w:rPr>
          <w:rFonts w:hint="eastAsia" w:ascii="宋体" w:hAnsi="宋体" w:eastAsia="宋体" w:cs="宋体"/>
          <w:spacing w:val="4"/>
          <w:sz w:val="24"/>
          <w:szCs w:val="24"/>
          <w:highlight w:val="none"/>
          <w:lang w:val="en-US" w:eastAsia="zh-CN"/>
        </w:rPr>
        <w:t>周口实验高级中学（郸城一高周口校区）</w:t>
      </w:r>
    </w:p>
    <w:p w14:paraId="0A41A811">
      <w:pPr>
        <w:pStyle w:val="30"/>
        <w:keepNext w:val="0"/>
        <w:keepLines w:val="0"/>
        <w:pageBreakBefore w:val="0"/>
        <w:widowControl w:val="0"/>
        <w:tabs>
          <w:tab w:val="left" w:pos="819"/>
        </w:tabs>
        <w:kinsoku/>
        <w:wordWrap/>
        <w:overflowPunct/>
        <w:topLinePunct w:val="0"/>
        <w:autoSpaceDE w:val="0"/>
        <w:autoSpaceDN w:val="0"/>
        <w:bidi w:val="0"/>
        <w:adjustRightInd w:val="0"/>
        <w:snapToGrid w:val="0"/>
        <w:spacing w:line="360" w:lineRule="auto"/>
        <w:ind w:left="480" w:firstLine="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2.4货物——指谈判供应商按谈判文件规定，须向最终用户提供的货物及其它有</w:t>
      </w:r>
    </w:p>
    <w:p w14:paraId="4C5322F8">
      <w:pPr>
        <w:keepNext w:val="0"/>
        <w:keepLines w:val="0"/>
        <w:pageBreakBefore w:val="0"/>
        <w:widowControl w:val="0"/>
        <w:tabs>
          <w:tab w:val="left" w:pos="819"/>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关技术资料。</w:t>
      </w:r>
    </w:p>
    <w:p w14:paraId="39917E09">
      <w:pPr>
        <w:keepNext w:val="0"/>
        <w:keepLines w:val="0"/>
        <w:pageBreakBefore w:val="0"/>
        <w:widowControl w:val="0"/>
        <w:tabs>
          <w:tab w:val="left" w:pos="826"/>
        </w:tabs>
        <w:kinsoku/>
        <w:wordWrap/>
        <w:overflowPunct/>
        <w:topLinePunct w:val="0"/>
        <w:autoSpaceDE w:val="0"/>
        <w:autoSpaceDN w:val="0"/>
        <w:bidi w:val="0"/>
        <w:adjustRightInd w:val="0"/>
        <w:snapToGrid w:val="0"/>
        <w:spacing w:line="360" w:lineRule="auto"/>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2.5服务——指谈判文件规定谈判供应商须承担的送货、安装、维修和其它类似义务。</w:t>
      </w:r>
    </w:p>
    <w:p w14:paraId="6603BCB9">
      <w:pPr>
        <w:pStyle w:val="30"/>
        <w:keepNext w:val="0"/>
        <w:keepLines w:val="0"/>
        <w:pageBreakBefore w:val="0"/>
        <w:widowControl w:val="0"/>
        <w:tabs>
          <w:tab w:val="left" w:pos="826"/>
        </w:tabs>
        <w:kinsoku/>
        <w:wordWrap/>
        <w:overflowPunct/>
        <w:topLinePunct w:val="0"/>
        <w:autoSpaceDE w:val="0"/>
        <w:autoSpaceDN w:val="0"/>
        <w:bidi w:val="0"/>
        <w:adjustRightInd w:val="0"/>
        <w:snapToGrid w:val="0"/>
        <w:spacing w:line="360" w:lineRule="auto"/>
        <w:ind w:left="0"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rPr>
        <w:t>2.6</w:t>
      </w:r>
      <w:r>
        <w:rPr>
          <w:rFonts w:hint="eastAsia" w:ascii="宋体" w:hAnsi="宋体" w:eastAsia="宋体" w:cs="宋体"/>
          <w:spacing w:val="4"/>
          <w:sz w:val="24"/>
          <w:szCs w:val="24"/>
          <w:highlight w:val="none"/>
        </w:rPr>
        <w:t>偏离——</w:t>
      </w:r>
      <w:r>
        <w:rPr>
          <w:rFonts w:hint="eastAsia" w:ascii="宋体" w:hAnsi="宋体" w:eastAsia="宋体" w:cs="宋体"/>
          <w:spacing w:val="4"/>
          <w:sz w:val="24"/>
          <w:szCs w:val="24"/>
          <w:highlight w:val="none"/>
          <w:lang w:val="en-US"/>
        </w:rPr>
        <w:t>指</w:t>
      </w:r>
      <w:r>
        <w:rPr>
          <w:rFonts w:hint="eastAsia" w:ascii="宋体" w:hAnsi="宋体" w:eastAsia="宋体" w:cs="宋体"/>
          <w:spacing w:val="4"/>
          <w:sz w:val="24"/>
          <w:szCs w:val="24"/>
          <w:highlight w:val="none"/>
        </w:rPr>
        <w:t>响应文件的响应相对于</w:t>
      </w:r>
      <w:r>
        <w:rPr>
          <w:rFonts w:hint="eastAsia" w:ascii="宋体" w:hAnsi="宋体" w:eastAsia="宋体" w:cs="宋体"/>
          <w:spacing w:val="4"/>
          <w:sz w:val="24"/>
          <w:szCs w:val="24"/>
          <w:highlight w:val="none"/>
          <w:lang w:val="en-US"/>
        </w:rPr>
        <w:t>谈判</w:t>
      </w:r>
      <w:r>
        <w:rPr>
          <w:rFonts w:hint="eastAsia" w:ascii="宋体" w:hAnsi="宋体" w:eastAsia="宋体" w:cs="宋体"/>
          <w:spacing w:val="4"/>
          <w:sz w:val="24"/>
          <w:szCs w:val="24"/>
          <w:highlight w:val="none"/>
        </w:rPr>
        <w:t>文件要求的偏差，该偏差优于</w:t>
      </w:r>
      <w:r>
        <w:rPr>
          <w:rFonts w:hint="eastAsia" w:ascii="宋体" w:hAnsi="宋体" w:eastAsia="宋体" w:cs="宋体"/>
          <w:spacing w:val="4"/>
          <w:sz w:val="24"/>
          <w:szCs w:val="24"/>
          <w:highlight w:val="none"/>
          <w:lang w:val="en-US"/>
        </w:rPr>
        <w:t>谈判</w:t>
      </w:r>
      <w:r>
        <w:rPr>
          <w:rFonts w:hint="eastAsia" w:ascii="宋体" w:hAnsi="宋体" w:eastAsia="宋体" w:cs="宋体"/>
          <w:spacing w:val="4"/>
          <w:sz w:val="24"/>
          <w:szCs w:val="24"/>
          <w:highlight w:val="none"/>
        </w:rPr>
        <w:t>文件要求的为正偏离；劣于的，为负偏离。</w:t>
      </w:r>
    </w:p>
    <w:p w14:paraId="0A100238">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3、谈判供应商条件</w:t>
      </w:r>
    </w:p>
    <w:p w14:paraId="1F91D2AC">
      <w:pPr>
        <w:pStyle w:val="30"/>
        <w:keepNext w:val="0"/>
        <w:keepLines w:val="0"/>
        <w:pageBreakBefore w:val="0"/>
        <w:widowControl w:val="0"/>
        <w:numPr>
          <w:ilvl w:val="1"/>
          <w:numId w:val="4"/>
        </w:numPr>
        <w:tabs>
          <w:tab w:val="left" w:pos="819"/>
        </w:tabs>
        <w:kinsoku/>
        <w:wordWrap/>
        <w:overflowPunct/>
        <w:topLinePunct w:val="0"/>
        <w:autoSpaceDE w:val="0"/>
        <w:autoSpaceDN w:val="0"/>
        <w:bidi w:val="0"/>
        <w:adjustRightInd w:val="0"/>
        <w:snapToGrid w:val="0"/>
        <w:spacing w:line="360" w:lineRule="auto"/>
        <w:ind w:left="0" w:firstLine="468" w:firstLineChars="200"/>
        <w:jc w:val="both"/>
        <w:textAlignment w:val="auto"/>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具有独立承担民事责任的能力；具有良好的商业信誉和健全的财务会计制</w:t>
      </w:r>
      <w:r>
        <w:rPr>
          <w:rFonts w:hint="eastAsia" w:ascii="宋体" w:hAnsi="宋体" w:eastAsia="宋体" w:cs="宋体"/>
          <w:sz w:val="24"/>
          <w:szCs w:val="24"/>
          <w:highlight w:val="none"/>
        </w:rPr>
        <w:t>度；具有完成本次谈判项目所必需的设备和专业技术能力；有依法缴纳税收和社会保障资金的良好记录。</w:t>
      </w:r>
    </w:p>
    <w:p w14:paraId="6561D0AD">
      <w:pPr>
        <w:pStyle w:val="30"/>
        <w:keepNext w:val="0"/>
        <w:keepLines w:val="0"/>
        <w:pageBreakBefore w:val="0"/>
        <w:widowControl w:val="0"/>
        <w:numPr>
          <w:ilvl w:val="1"/>
          <w:numId w:val="4"/>
        </w:numPr>
        <w:tabs>
          <w:tab w:val="left" w:pos="819"/>
        </w:tabs>
        <w:kinsoku/>
        <w:wordWrap/>
        <w:overflowPunct/>
        <w:topLinePunct w:val="0"/>
        <w:autoSpaceDE w:val="0"/>
        <w:autoSpaceDN w:val="0"/>
        <w:bidi w:val="0"/>
        <w:adjustRightInd w:val="0"/>
        <w:snapToGrid w:val="0"/>
        <w:spacing w:line="360" w:lineRule="auto"/>
        <w:ind w:left="0" w:firstLine="468" w:firstLineChars="200"/>
        <w:textAlignment w:val="auto"/>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凡符合“谈判项目要求”条件，承认本谈判文件所有内容的供应商均为合</w:t>
      </w:r>
      <w:r>
        <w:rPr>
          <w:rFonts w:hint="eastAsia" w:ascii="宋体" w:hAnsi="宋体" w:eastAsia="宋体" w:cs="宋体"/>
          <w:sz w:val="24"/>
          <w:szCs w:val="24"/>
          <w:highlight w:val="none"/>
        </w:rPr>
        <w:t>格的谈判供应商。</w:t>
      </w:r>
    </w:p>
    <w:p w14:paraId="6A3A854A">
      <w:pPr>
        <w:pStyle w:val="30"/>
        <w:keepNext w:val="0"/>
        <w:keepLines w:val="0"/>
        <w:pageBreakBefore w:val="0"/>
        <w:widowControl w:val="0"/>
        <w:numPr>
          <w:ilvl w:val="1"/>
          <w:numId w:val="4"/>
        </w:numPr>
        <w:tabs>
          <w:tab w:val="left" w:pos="819"/>
        </w:tabs>
        <w:kinsoku/>
        <w:wordWrap/>
        <w:overflowPunct/>
        <w:topLinePunct w:val="0"/>
        <w:autoSpaceDE w:val="0"/>
        <w:autoSpaceDN w:val="0"/>
        <w:bidi w:val="0"/>
        <w:adjustRightInd w:val="0"/>
        <w:snapToGrid w:val="0"/>
        <w:spacing w:line="360" w:lineRule="auto"/>
        <w:ind w:left="0" w:firstLine="468" w:firstLineChars="200"/>
        <w:textAlignment w:val="auto"/>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谈判供应商应遵守中华人民共和国法律、法规和谈判组织人有关谈判的规</w:t>
      </w:r>
      <w:r>
        <w:rPr>
          <w:rFonts w:hint="eastAsia" w:ascii="宋体" w:hAnsi="宋体" w:eastAsia="宋体" w:cs="宋体"/>
          <w:sz w:val="24"/>
          <w:szCs w:val="24"/>
          <w:highlight w:val="none"/>
        </w:rPr>
        <w:t>定。</w:t>
      </w:r>
    </w:p>
    <w:p w14:paraId="7BBDE726">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4、谈判费用</w:t>
      </w:r>
    </w:p>
    <w:p w14:paraId="708C7423">
      <w:pPr>
        <w:pStyle w:val="30"/>
        <w:keepNext w:val="0"/>
        <w:keepLines w:val="0"/>
        <w:pageBreakBefore w:val="0"/>
        <w:widowControl w:val="0"/>
        <w:numPr>
          <w:ilvl w:val="1"/>
          <w:numId w:val="5"/>
        </w:numPr>
        <w:tabs>
          <w:tab w:val="left" w:pos="819"/>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cs="宋体"/>
          <w:sz w:val="24"/>
          <w:highlight w:val="none"/>
        </w:rPr>
        <w:t>无论投标结果如何，投标人需承诺自行承担其编制与递交投标文件所涉及的一切费用</w:t>
      </w:r>
      <w:r>
        <w:rPr>
          <w:rFonts w:hint="eastAsia" w:ascii="宋体" w:hAnsi="宋体" w:eastAsia="宋体" w:cs="宋体"/>
          <w:spacing w:val="-2"/>
          <w:sz w:val="24"/>
          <w:szCs w:val="24"/>
          <w:highlight w:val="none"/>
        </w:rPr>
        <w:t>，谈判组织人在任何</w:t>
      </w:r>
      <w:r>
        <w:rPr>
          <w:rFonts w:hint="eastAsia" w:ascii="宋体" w:hAnsi="宋体" w:eastAsia="宋体" w:cs="宋体"/>
          <w:sz w:val="24"/>
          <w:szCs w:val="24"/>
          <w:highlight w:val="none"/>
        </w:rPr>
        <w:t>情况下均无义务和责任承担上述费用。</w:t>
      </w:r>
    </w:p>
    <w:p w14:paraId="4DEB2E48">
      <w:pPr>
        <w:pStyle w:val="7"/>
        <w:keepNext w:val="0"/>
        <w:keepLines w:val="0"/>
        <w:pageBreakBefore w:val="0"/>
        <w:widowControl w:val="0"/>
        <w:numPr>
          <w:ilvl w:val="1"/>
          <w:numId w:val="5"/>
        </w:numPr>
        <w:tabs>
          <w:tab w:val="left" w:pos="823"/>
        </w:tabs>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本项目免收成交服务费，</w:t>
      </w:r>
      <w:r>
        <w:rPr>
          <w:rFonts w:hint="eastAsia" w:ascii="宋体" w:hAnsi="宋体" w:eastAsia="宋体" w:cs="宋体"/>
          <w:sz w:val="24"/>
          <w:szCs w:val="24"/>
          <w:highlight w:val="none"/>
          <w:lang w:val="en-US"/>
        </w:rPr>
        <w:t>评标费用由采购人自行解决</w:t>
      </w:r>
      <w:r>
        <w:rPr>
          <w:rFonts w:hint="eastAsia" w:ascii="宋体" w:hAnsi="宋体" w:eastAsia="宋体" w:cs="宋体"/>
          <w:sz w:val="24"/>
          <w:szCs w:val="24"/>
          <w:highlight w:val="none"/>
        </w:rPr>
        <w:t>。</w:t>
      </w:r>
    </w:p>
    <w:p w14:paraId="0943B48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sectPr>
          <w:footerReference r:id="rId5" w:type="default"/>
          <w:pgSz w:w="11850" w:h="16790"/>
          <w:pgMar w:top="1600" w:right="1180" w:bottom="920" w:left="1580" w:header="454" w:footer="1247" w:gutter="0"/>
          <w:cols w:space="720" w:num="1"/>
        </w:sectPr>
      </w:pPr>
    </w:p>
    <w:p w14:paraId="47D59694">
      <w:pPr>
        <w:keepNext w:val="0"/>
        <w:keepLines w:val="0"/>
        <w:pageBreakBefore w:val="0"/>
        <w:widowControl w:val="0"/>
        <w:numPr>
          <w:ilvl w:val="0"/>
          <w:numId w:val="2"/>
        </w:numPr>
        <w:kinsoku/>
        <w:wordWrap/>
        <w:overflowPunct/>
        <w:topLinePunct w:val="0"/>
        <w:autoSpaceDE w:val="0"/>
        <w:autoSpaceDN w:val="0"/>
        <w:bidi w:val="0"/>
        <w:adjustRightInd w:val="0"/>
        <w:snapToGrid w:val="0"/>
        <w:spacing w:line="360" w:lineRule="auto"/>
        <w:ind w:firstLine="458" w:firstLineChars="200"/>
        <w:textAlignment w:val="auto"/>
        <w:rPr>
          <w:rFonts w:hint="eastAsia" w:ascii="宋体" w:hAnsi="宋体" w:eastAsia="宋体" w:cs="宋体"/>
          <w:b/>
          <w:w w:val="95"/>
          <w:sz w:val="24"/>
          <w:szCs w:val="24"/>
          <w:highlight w:val="none"/>
        </w:rPr>
      </w:pPr>
      <w:r>
        <w:rPr>
          <w:rFonts w:hint="eastAsia" w:ascii="宋体" w:hAnsi="宋体" w:eastAsia="宋体" w:cs="宋体"/>
          <w:b/>
          <w:w w:val="95"/>
          <w:sz w:val="24"/>
          <w:szCs w:val="24"/>
          <w:highlight w:val="none"/>
        </w:rPr>
        <w:t>谈判文件说明</w:t>
      </w:r>
    </w:p>
    <w:p w14:paraId="5FEB7362">
      <w:pPr>
        <w:keepNext w:val="0"/>
        <w:keepLines w:val="0"/>
        <w:pageBreakBefore w:val="0"/>
        <w:widowControl w:val="0"/>
        <w:kinsoku/>
        <w:wordWrap/>
        <w:overflowPunct/>
        <w:topLinePunct w:val="0"/>
        <w:autoSpaceDE w:val="0"/>
        <w:autoSpaceDN w:val="0"/>
        <w:bidi w:val="0"/>
        <w:adjustRightInd w:val="0"/>
        <w:snapToGrid w:val="0"/>
        <w:spacing w:line="360" w:lineRule="auto"/>
        <w:ind w:left="440" w:leftChars="200"/>
        <w:textAlignment w:val="auto"/>
        <w:rPr>
          <w:rFonts w:hint="eastAsia" w:ascii="宋体" w:hAnsi="宋体" w:eastAsia="宋体" w:cs="宋体"/>
          <w:b/>
          <w:sz w:val="24"/>
          <w:szCs w:val="24"/>
          <w:highlight w:val="none"/>
        </w:rPr>
      </w:pPr>
      <w:r>
        <w:rPr>
          <w:rFonts w:hint="eastAsia" w:ascii="宋体" w:hAnsi="宋体" w:eastAsia="宋体" w:cs="宋体"/>
          <w:b/>
          <w:w w:val="95"/>
          <w:sz w:val="24"/>
          <w:szCs w:val="24"/>
          <w:highlight w:val="none"/>
        </w:rPr>
        <w:t>5、谈判文件的构成：</w:t>
      </w:r>
    </w:p>
    <w:p w14:paraId="1569B2CD">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5.1谈判文件用以阐明所采购</w:t>
      </w:r>
      <w:r>
        <w:rPr>
          <w:rFonts w:hint="eastAsia" w:ascii="宋体" w:hAnsi="宋体" w:eastAsia="宋体" w:cs="宋体"/>
          <w:sz w:val="24"/>
          <w:szCs w:val="24"/>
          <w:highlight w:val="none"/>
          <w:lang w:val="en-US"/>
        </w:rPr>
        <w:t>服务</w:t>
      </w:r>
      <w:r>
        <w:rPr>
          <w:rFonts w:hint="eastAsia" w:ascii="宋体" w:hAnsi="宋体" w:eastAsia="宋体" w:cs="宋体"/>
          <w:sz w:val="24"/>
          <w:szCs w:val="24"/>
          <w:highlight w:val="none"/>
        </w:rPr>
        <w:t>的内容、要求及谈判程序。谈判文件由下述部分组成：</w:t>
      </w:r>
    </w:p>
    <w:p w14:paraId="6AC664E8">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谈判邀请函</w:t>
      </w:r>
    </w:p>
    <w:p w14:paraId="7D00EDEE">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谈判</w:t>
      </w:r>
      <w:r>
        <w:rPr>
          <w:rFonts w:hint="eastAsia" w:ascii="宋体" w:hAnsi="宋体" w:eastAsia="宋体" w:cs="宋体"/>
          <w:sz w:val="24"/>
          <w:szCs w:val="24"/>
          <w:highlight w:val="none"/>
        </w:rPr>
        <w:t>供应商须知；</w:t>
      </w:r>
    </w:p>
    <w:p w14:paraId="7F510C00">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"_bookmark2"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谈判项目要求</w:t>
      </w:r>
      <w:r>
        <w:rPr>
          <w:rFonts w:hint="eastAsia" w:ascii="宋体" w:hAnsi="宋体" w:eastAsia="宋体" w:cs="宋体"/>
          <w:sz w:val="24"/>
          <w:szCs w:val="24"/>
          <w:highlight w:val="none"/>
        </w:rPr>
        <w:fldChar w:fldCharType="end"/>
      </w:r>
    </w:p>
    <w:p w14:paraId="49DB939B">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"_bookmark3"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项目内容及技术要求</w:t>
      </w:r>
      <w:r>
        <w:rPr>
          <w:rFonts w:hint="eastAsia" w:ascii="宋体" w:hAnsi="宋体" w:eastAsia="宋体" w:cs="宋体"/>
          <w:sz w:val="24"/>
          <w:szCs w:val="24"/>
          <w:highlight w:val="none"/>
        </w:rPr>
        <w:fldChar w:fldCharType="end"/>
      </w:r>
    </w:p>
    <w:p w14:paraId="741F5DCF">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"_bookmark4"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谈判响应文件格式</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w:t>
      </w:r>
    </w:p>
    <w:p w14:paraId="3C4EFBEF">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合同条款及格式</w:t>
      </w:r>
    </w:p>
    <w:p w14:paraId="7695F4B1">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6、谈判文件的澄清</w:t>
      </w:r>
    </w:p>
    <w:p w14:paraId="3DDB12B5">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sz w:val="24"/>
          <w:szCs w:val="24"/>
          <w:highlight w:val="none"/>
        </w:rPr>
      </w:pPr>
      <w:r>
        <w:rPr>
          <w:rFonts w:hint="eastAsia" w:cs="宋体"/>
          <w:sz w:val="24"/>
          <w:szCs w:val="24"/>
          <w:highlight w:val="none"/>
          <w:lang w:val="en-US" w:eastAsia="zh-CN"/>
        </w:rPr>
        <w:t>6.1</w:t>
      </w:r>
      <w:r>
        <w:rPr>
          <w:rFonts w:hint="eastAsia" w:ascii="宋体" w:hAnsi="宋体" w:eastAsia="宋体" w:cs="宋体"/>
          <w:sz w:val="24"/>
          <w:szCs w:val="24"/>
          <w:highlight w:val="none"/>
        </w:rPr>
        <w:t>参加谈判的供应商对谈判文件如有需要澄清的疑问，应在谈判截止时间前按谈判邀请函中载明的地址以书面形式通知到</w:t>
      </w:r>
      <w:r>
        <w:rPr>
          <w:rFonts w:hint="eastAsia" w:ascii="宋体" w:hAnsi="宋体" w:eastAsia="宋体" w:cs="宋体"/>
          <w:sz w:val="24"/>
          <w:szCs w:val="24"/>
          <w:highlight w:val="none"/>
          <w:lang w:val="en-US"/>
        </w:rPr>
        <w:t>采购人</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rPr>
        <w:t>采购</w:t>
      </w:r>
      <w:r>
        <w:rPr>
          <w:rFonts w:hint="eastAsia" w:ascii="宋体" w:hAnsi="宋体" w:eastAsia="宋体" w:cs="宋体"/>
          <w:sz w:val="24"/>
          <w:szCs w:val="24"/>
          <w:highlight w:val="none"/>
        </w:rPr>
        <w:t>人将视情况确定采用适当方式予以澄清或以书面形式予以答复，并在其认为必要时，将不标明查询来源的书面答复</w:t>
      </w:r>
      <w:r>
        <w:rPr>
          <w:rFonts w:hint="eastAsia" w:ascii="宋体" w:hAnsi="宋体" w:eastAsia="宋体" w:cs="宋体"/>
          <w:sz w:val="24"/>
          <w:szCs w:val="24"/>
          <w:highlight w:val="none"/>
          <w:lang w:val="en-US"/>
        </w:rPr>
        <w:t>或以网上公告的形式告知</w:t>
      </w:r>
      <w:r>
        <w:rPr>
          <w:rFonts w:hint="eastAsia" w:ascii="宋体" w:hAnsi="宋体" w:eastAsia="宋体" w:cs="宋体"/>
          <w:sz w:val="24"/>
          <w:szCs w:val="24"/>
          <w:highlight w:val="none"/>
        </w:rPr>
        <w:t>谈判文件的所有潜在谈判供应商。</w:t>
      </w:r>
      <w:r>
        <w:rPr>
          <w:rFonts w:hint="eastAsia" w:ascii="宋体" w:hAnsi="宋体" w:eastAsia="宋体" w:cs="宋体"/>
          <w:sz w:val="24"/>
          <w:szCs w:val="24"/>
          <w:highlight w:val="none"/>
          <w:lang w:val="en-US" w:eastAsia="zh-CN"/>
        </w:rPr>
        <w:t>如无疑问须出具确认书，否则视为不响应。</w:t>
      </w:r>
    </w:p>
    <w:p w14:paraId="6D746B4A">
      <w:pPr>
        <w:pStyle w:val="30"/>
        <w:keepNext w:val="0"/>
        <w:keepLines w:val="0"/>
        <w:pageBreakBefore w:val="0"/>
        <w:widowControl w:val="0"/>
        <w:numPr>
          <w:ilvl w:val="0"/>
          <w:numId w:val="0"/>
        </w:numPr>
        <w:tabs>
          <w:tab w:val="left" w:pos="819"/>
        </w:tabs>
        <w:kinsoku/>
        <w:wordWrap/>
        <w:overflowPunct/>
        <w:topLinePunct w:val="0"/>
        <w:autoSpaceDE w:val="0"/>
        <w:autoSpaceDN w:val="0"/>
        <w:bidi w:val="0"/>
        <w:adjustRightInd w:val="0"/>
        <w:snapToGrid w:val="0"/>
        <w:spacing w:line="360" w:lineRule="auto"/>
        <w:ind w:leftChars="200"/>
        <w:textAlignment w:val="auto"/>
        <w:rPr>
          <w:rFonts w:hint="eastAsia" w:ascii="宋体" w:hAnsi="宋体" w:eastAsia="宋体" w:cs="宋体"/>
          <w:sz w:val="24"/>
          <w:szCs w:val="24"/>
          <w:highlight w:val="none"/>
        </w:rPr>
      </w:pPr>
      <w:r>
        <w:rPr>
          <w:rFonts w:hint="eastAsia" w:cs="宋体"/>
          <w:sz w:val="24"/>
          <w:szCs w:val="24"/>
          <w:highlight w:val="none"/>
          <w:lang w:val="en-US" w:eastAsia="zh-CN"/>
        </w:rPr>
        <w:t>6.2</w:t>
      </w:r>
      <w:r>
        <w:rPr>
          <w:rFonts w:hint="eastAsia" w:ascii="宋体" w:hAnsi="宋体" w:eastAsia="宋体" w:cs="宋体"/>
          <w:sz w:val="24"/>
          <w:szCs w:val="24"/>
          <w:highlight w:val="none"/>
        </w:rPr>
        <w:t>谈判组织人将视情况在认为必要时于谈判截止前答疑。</w:t>
      </w:r>
    </w:p>
    <w:p w14:paraId="68EB7592">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7、谈判文件的修改</w:t>
      </w:r>
    </w:p>
    <w:p w14:paraId="3AD011D8">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7.1谈判文件的修改将构成谈判文件的一部分，对所有参加谈判的供应商均有约束力。</w:t>
      </w:r>
    </w:p>
    <w:p w14:paraId="4E861865">
      <w:pPr>
        <w:keepNext w:val="0"/>
        <w:keepLines w:val="0"/>
        <w:pageBreakBefore w:val="0"/>
        <w:widowControl w:val="0"/>
        <w:kinsoku/>
        <w:wordWrap/>
        <w:overflowPunct/>
        <w:topLinePunct w:val="0"/>
        <w:autoSpaceDE w:val="0"/>
        <w:autoSpaceDN w:val="0"/>
        <w:bidi w:val="0"/>
        <w:spacing w:line="360" w:lineRule="auto"/>
        <w:ind w:firstLine="5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7.2</w:t>
      </w:r>
      <w:r>
        <w:rPr>
          <w:rFonts w:hint="eastAsia" w:ascii="宋体" w:hAnsi="宋体" w:eastAsia="宋体" w:cs="宋体"/>
          <w:sz w:val="24"/>
          <w:szCs w:val="24"/>
          <w:highlight w:val="none"/>
        </w:rPr>
        <w:t>采购人</w:t>
      </w:r>
      <w:r>
        <w:rPr>
          <w:rFonts w:hint="eastAsia" w:ascii="宋体" w:hAnsi="宋体" w:eastAsia="宋体" w:cs="宋体"/>
          <w:sz w:val="24"/>
          <w:szCs w:val="24"/>
          <w:highlight w:val="none"/>
          <w:lang w:val="en-US"/>
        </w:rPr>
        <w:t>或采购中心</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val="en-US"/>
        </w:rPr>
        <w:t>谈判</w:t>
      </w:r>
      <w:r>
        <w:rPr>
          <w:rFonts w:hint="eastAsia" w:ascii="宋体" w:hAnsi="宋体" w:eastAsia="宋体" w:cs="宋体"/>
          <w:sz w:val="24"/>
          <w:szCs w:val="24"/>
          <w:highlight w:val="none"/>
        </w:rPr>
        <w:t>文件进行的澄清、更正或更改，将在</w:t>
      </w:r>
      <w:r>
        <w:rPr>
          <w:rFonts w:hint="eastAsia" w:ascii="宋体" w:hAnsi="宋体" w:eastAsia="宋体" w:cs="宋体"/>
          <w:sz w:val="24"/>
          <w:szCs w:val="24"/>
          <w:highlight w:val="none"/>
          <w:lang w:val="en-US"/>
        </w:rPr>
        <w:t>河南省政府采购</w:t>
      </w:r>
      <w:r>
        <w:rPr>
          <w:rFonts w:hint="eastAsia" w:ascii="宋体" w:hAnsi="宋体" w:eastAsia="宋体" w:cs="宋体"/>
          <w:sz w:val="24"/>
          <w:szCs w:val="24"/>
          <w:highlight w:val="none"/>
        </w:rPr>
        <w:t>网站</w:t>
      </w:r>
      <w:r>
        <w:rPr>
          <w:rFonts w:hint="eastAsia" w:ascii="宋体" w:hAnsi="宋体" w:eastAsia="宋体" w:cs="宋体"/>
          <w:sz w:val="24"/>
          <w:szCs w:val="24"/>
          <w:highlight w:val="none"/>
          <w:lang w:val="en-US"/>
        </w:rPr>
        <w:t>及周口市公共资源交易中心网站</w:t>
      </w:r>
      <w:r>
        <w:rPr>
          <w:rFonts w:hint="eastAsia" w:ascii="宋体" w:hAnsi="宋体" w:eastAsia="宋体" w:cs="宋体"/>
          <w:sz w:val="24"/>
          <w:szCs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sz w:val="24"/>
          <w:szCs w:val="24"/>
          <w:highlight w:val="none"/>
          <w:lang w:val="en-US" w:eastAsia="zh-CN"/>
        </w:rPr>
        <w:t>谈判</w:t>
      </w:r>
      <w:r>
        <w:rPr>
          <w:rFonts w:hint="eastAsia" w:ascii="宋体" w:hAnsi="宋体" w:eastAsia="宋体" w:cs="宋体"/>
          <w:sz w:val="24"/>
          <w:szCs w:val="24"/>
          <w:highlight w:val="none"/>
        </w:rPr>
        <w:t>文件进行的澄清，以网上公告的方式通知供应商。澄清或修改的内容可能影响响应文件编制的，采购人、采购代理机构应当在提交响应文件截止时间至少5日前。</w:t>
      </w:r>
    </w:p>
    <w:p w14:paraId="7B36028A">
      <w:pPr>
        <w:keepNext w:val="0"/>
        <w:keepLines w:val="0"/>
        <w:pageBreakBefore w:val="0"/>
        <w:widowControl w:val="0"/>
        <w:kinsoku/>
        <w:wordWrap/>
        <w:overflowPunct/>
        <w:topLinePunct w:val="0"/>
        <w:autoSpaceDE w:val="0"/>
        <w:autoSpaceDN w:val="0"/>
        <w:bidi w:val="0"/>
        <w:spacing w:line="360" w:lineRule="auto"/>
        <w:ind w:firstLine="550"/>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7.3</w:t>
      </w:r>
      <w:r>
        <w:rPr>
          <w:rFonts w:hint="eastAsia" w:ascii="宋体" w:hAnsi="宋体" w:eastAsia="宋体" w:cs="宋体"/>
          <w:sz w:val="24"/>
          <w:szCs w:val="24"/>
          <w:highlight w:val="none"/>
        </w:rPr>
        <w:t>在投标截止时间前，采购人可以视采购具体情况，延长投标截止时间和开标时间，并在</w:t>
      </w:r>
      <w:r>
        <w:rPr>
          <w:rFonts w:hint="eastAsia" w:ascii="宋体" w:hAnsi="宋体" w:eastAsia="宋体" w:cs="宋体"/>
          <w:sz w:val="24"/>
          <w:szCs w:val="24"/>
          <w:highlight w:val="none"/>
          <w:lang w:val="en-US"/>
        </w:rPr>
        <w:t>谈判</w:t>
      </w:r>
      <w:r>
        <w:rPr>
          <w:rFonts w:hint="eastAsia" w:ascii="宋体" w:hAnsi="宋体" w:eastAsia="宋体" w:cs="宋体"/>
          <w:sz w:val="24"/>
          <w:szCs w:val="24"/>
          <w:highlight w:val="none"/>
        </w:rPr>
        <w:t>文件要求提交投标文件的截止时间前，在网站上发布变更公告。在上述情况下，采购人和投标人在投标截止期方面的全部权力、责任和义务，将适用于延长后新的投标截止期。</w:t>
      </w:r>
    </w:p>
    <w:p w14:paraId="0C0C91C1">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C、谈判响应文件的编写</w:t>
      </w:r>
    </w:p>
    <w:p w14:paraId="666A8ADF">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8、要求</w:t>
      </w:r>
    </w:p>
    <w:p w14:paraId="549023E3">
      <w:pPr>
        <w:pStyle w:val="30"/>
        <w:keepNext w:val="0"/>
        <w:keepLines w:val="0"/>
        <w:pageBreakBefore w:val="0"/>
        <w:widowControl w:val="0"/>
        <w:numPr>
          <w:ilvl w:val="1"/>
          <w:numId w:val="6"/>
        </w:numPr>
        <w:tabs>
          <w:tab w:val="left" w:pos="805"/>
        </w:tabs>
        <w:kinsoku/>
        <w:wordWrap/>
        <w:overflowPunct/>
        <w:topLinePunct w:val="0"/>
        <w:autoSpaceDE w:val="0"/>
        <w:autoSpaceDN w:val="0"/>
        <w:bidi w:val="0"/>
        <w:adjustRightInd w:val="0"/>
        <w:snapToGrid w:val="0"/>
        <w:spacing w:line="360" w:lineRule="auto"/>
        <w:ind w:left="0" w:firstLine="468" w:firstLineChars="200"/>
        <w:jc w:val="both"/>
        <w:textAlignment w:val="auto"/>
        <w:rPr>
          <w:rFonts w:hint="eastAsia" w:ascii="宋体" w:hAnsi="宋体" w:eastAsia="宋体" w:cs="宋体"/>
          <w:spacing w:val="-3"/>
          <w:sz w:val="24"/>
          <w:highlight w:val="none"/>
        </w:rPr>
      </w:pPr>
      <w:r>
        <w:rPr>
          <w:rFonts w:hint="eastAsia" w:ascii="宋体" w:hAnsi="宋体" w:eastAsia="宋体" w:cs="宋体"/>
          <w:b w:val="0"/>
          <w:bCs w:val="0"/>
          <w:spacing w:val="-3"/>
          <w:sz w:val="24"/>
          <w:szCs w:val="22"/>
          <w:highlight w:val="none"/>
          <w:lang w:val="zh-CN" w:eastAsia="zh-CN" w:bidi="zh-CN"/>
        </w:rPr>
        <w:t>供应商应仔细阅读、并充分理解竞争性</w:t>
      </w:r>
      <w:r>
        <w:rPr>
          <w:rFonts w:hint="eastAsia" w:cs="宋体"/>
          <w:b w:val="0"/>
          <w:bCs w:val="0"/>
          <w:spacing w:val="-3"/>
          <w:sz w:val="24"/>
          <w:szCs w:val="22"/>
          <w:highlight w:val="none"/>
          <w:lang w:val="zh-CN" w:eastAsia="zh-CN" w:bidi="zh-CN"/>
        </w:rPr>
        <w:t>谈判</w:t>
      </w:r>
      <w:r>
        <w:rPr>
          <w:rFonts w:hint="eastAsia" w:ascii="宋体" w:hAnsi="宋体" w:eastAsia="宋体" w:cs="宋体"/>
          <w:b w:val="0"/>
          <w:bCs w:val="0"/>
          <w:spacing w:val="-3"/>
          <w:sz w:val="24"/>
          <w:szCs w:val="22"/>
          <w:highlight w:val="none"/>
          <w:lang w:val="zh-CN" w:eastAsia="zh-CN" w:bidi="zh-CN"/>
        </w:rPr>
        <w:t>文件的所有内容，按照竞争性</w:t>
      </w:r>
      <w:r>
        <w:rPr>
          <w:rFonts w:hint="eastAsia" w:cs="宋体"/>
          <w:b w:val="0"/>
          <w:bCs w:val="0"/>
          <w:spacing w:val="-3"/>
          <w:sz w:val="24"/>
          <w:szCs w:val="22"/>
          <w:highlight w:val="none"/>
          <w:lang w:val="zh-CN" w:eastAsia="zh-CN" w:bidi="zh-CN"/>
        </w:rPr>
        <w:t>谈判</w:t>
      </w:r>
      <w:r>
        <w:rPr>
          <w:rFonts w:hint="eastAsia" w:ascii="宋体" w:hAnsi="宋体" w:eastAsia="宋体" w:cs="宋体"/>
          <w:b w:val="0"/>
          <w:bCs w:val="0"/>
          <w:spacing w:val="-3"/>
          <w:sz w:val="24"/>
          <w:szCs w:val="22"/>
          <w:highlight w:val="none"/>
          <w:lang w:val="zh-CN" w:eastAsia="zh-CN" w:bidi="zh-CN"/>
        </w:rPr>
        <w:t>文件的要求编制</w:t>
      </w:r>
      <w:r>
        <w:rPr>
          <w:rFonts w:hint="eastAsia" w:ascii="宋体" w:hAnsi="宋体" w:eastAsia="宋体" w:cs="宋体"/>
          <w:spacing w:val="-3"/>
          <w:sz w:val="24"/>
          <w:highlight w:val="none"/>
        </w:rPr>
        <w:t>、提交响应性文件。响应性文件应对竞争性</w:t>
      </w:r>
      <w:r>
        <w:rPr>
          <w:rFonts w:hint="eastAsia" w:ascii="宋体" w:hAnsi="宋体" w:eastAsia="宋体" w:cs="宋体"/>
          <w:spacing w:val="-3"/>
          <w:sz w:val="24"/>
          <w:highlight w:val="none"/>
          <w:lang w:eastAsia="zh-CN"/>
        </w:rPr>
        <w:t>谈判</w:t>
      </w:r>
      <w:r>
        <w:rPr>
          <w:rFonts w:hint="eastAsia" w:ascii="宋体" w:hAnsi="宋体" w:eastAsia="宋体" w:cs="宋体"/>
          <w:spacing w:val="-3"/>
          <w:sz w:val="24"/>
          <w:highlight w:val="none"/>
        </w:rPr>
        <w:t>文件的要求作出实质性响应，并保证所提供的全部资料的真实性、合法性，否则其响应性文件将作为无效处理。</w:t>
      </w:r>
    </w:p>
    <w:p w14:paraId="2012B6A3">
      <w:pPr>
        <w:pStyle w:val="30"/>
        <w:keepNext w:val="0"/>
        <w:keepLines w:val="0"/>
        <w:pageBreakBefore w:val="0"/>
        <w:widowControl w:val="0"/>
        <w:numPr>
          <w:ilvl w:val="1"/>
          <w:numId w:val="6"/>
        </w:numPr>
        <w:tabs>
          <w:tab w:val="left" w:pos="805"/>
        </w:tabs>
        <w:kinsoku/>
        <w:wordWrap/>
        <w:overflowPunct/>
        <w:topLinePunct w:val="0"/>
        <w:autoSpaceDE w:val="0"/>
        <w:autoSpaceDN w:val="0"/>
        <w:bidi w:val="0"/>
        <w:adjustRightInd w:val="0"/>
        <w:snapToGrid w:val="0"/>
        <w:spacing w:line="360" w:lineRule="auto"/>
        <w:ind w:left="0" w:firstLine="468" w:firstLineChars="200"/>
        <w:jc w:val="left"/>
        <w:textAlignment w:val="auto"/>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谈判文件文字：谈判文件均以中文印刷体，中文以外的文字应附以中文译</w:t>
      </w:r>
      <w:r>
        <w:rPr>
          <w:rFonts w:hint="eastAsia" w:ascii="宋体" w:hAnsi="宋体" w:eastAsia="宋体" w:cs="宋体"/>
          <w:sz w:val="24"/>
          <w:szCs w:val="24"/>
          <w:highlight w:val="none"/>
        </w:rPr>
        <w:t>文，中外文不符时，以中文为准。</w:t>
      </w:r>
    </w:p>
    <w:p w14:paraId="226672CF">
      <w:pPr>
        <w:pStyle w:val="30"/>
        <w:keepNext w:val="0"/>
        <w:keepLines w:val="0"/>
        <w:pageBreakBefore w:val="0"/>
        <w:widowControl w:val="0"/>
        <w:tabs>
          <w:tab w:val="left" w:pos="580"/>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lang w:val="en-US"/>
        </w:rPr>
        <w:t>8.3</w:t>
      </w:r>
      <w:r>
        <w:rPr>
          <w:rFonts w:hint="eastAsia" w:ascii="宋体" w:hAnsi="宋体" w:eastAsia="宋体" w:cs="宋体"/>
          <w:spacing w:val="-3"/>
          <w:sz w:val="24"/>
          <w:szCs w:val="24"/>
          <w:highlight w:val="none"/>
        </w:rPr>
        <w:t>谈判文件中计量单位：除在谈判文件的技术规格中另有规定外，计量单位使用中</w:t>
      </w:r>
    </w:p>
    <w:p w14:paraId="11D0044D">
      <w:pPr>
        <w:pStyle w:val="30"/>
        <w:keepNext w:val="0"/>
        <w:keepLines w:val="0"/>
        <w:pageBreakBefore w:val="0"/>
        <w:widowControl w:val="0"/>
        <w:tabs>
          <w:tab w:val="left" w:pos="580"/>
        </w:tabs>
        <w:kinsoku/>
        <w:wordWrap/>
        <w:overflowPunct/>
        <w:topLinePunct w:val="0"/>
        <w:autoSpaceDE w:val="0"/>
        <w:autoSpaceDN w:val="0"/>
        <w:bidi w:val="0"/>
        <w:adjustRightInd w:val="0"/>
        <w:snapToGrid w:val="0"/>
        <w:spacing w:line="360" w:lineRule="auto"/>
        <w:ind w:left="0" w:firstLine="0"/>
        <w:textAlignment w:val="auto"/>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华人民共和国法定计量单位。</w:t>
      </w:r>
    </w:p>
    <w:p w14:paraId="1722DF75">
      <w:pPr>
        <w:pStyle w:val="30"/>
        <w:keepNext w:val="0"/>
        <w:keepLines w:val="0"/>
        <w:pageBreakBefore w:val="0"/>
        <w:widowControl w:val="0"/>
        <w:tabs>
          <w:tab w:val="left" w:pos="710"/>
        </w:tabs>
        <w:kinsoku/>
        <w:wordWrap/>
        <w:overflowPunct/>
        <w:topLinePunct w:val="0"/>
        <w:autoSpaceDE w:val="0"/>
        <w:autoSpaceDN w:val="0"/>
        <w:bidi w:val="0"/>
        <w:adjustRightInd w:val="0"/>
        <w:snapToGrid w:val="0"/>
        <w:spacing w:line="360" w:lineRule="auto"/>
        <w:ind w:left="0" w:firstLine="516" w:firstLineChars="200"/>
        <w:jc w:val="both"/>
        <w:textAlignment w:val="auto"/>
        <w:rPr>
          <w:rFonts w:hint="eastAsia" w:ascii="宋体" w:hAnsi="宋体" w:eastAsia="宋体" w:cs="宋体"/>
          <w:sz w:val="24"/>
          <w:szCs w:val="24"/>
          <w:highlight w:val="none"/>
        </w:rPr>
      </w:pPr>
      <w:r>
        <w:rPr>
          <w:rFonts w:hint="eastAsia" w:ascii="宋体" w:hAnsi="宋体" w:eastAsia="宋体" w:cs="宋体"/>
          <w:spacing w:val="9"/>
          <w:sz w:val="24"/>
          <w:szCs w:val="24"/>
          <w:highlight w:val="none"/>
          <w:lang w:val="en-US"/>
        </w:rPr>
        <w:t>8.4</w:t>
      </w:r>
      <w:r>
        <w:rPr>
          <w:rFonts w:hint="eastAsia" w:ascii="宋体" w:hAnsi="宋体" w:eastAsia="宋体" w:cs="宋体"/>
          <w:spacing w:val="9"/>
          <w:sz w:val="24"/>
          <w:szCs w:val="24"/>
          <w:highlight w:val="none"/>
        </w:rPr>
        <w:t>谈判供应商的谈判响应文件必须加盖谈判供应商公章</w:t>
      </w:r>
      <w:r>
        <w:rPr>
          <w:rFonts w:hint="eastAsia" w:ascii="宋体" w:hAnsi="宋体" w:eastAsia="宋体" w:cs="宋体"/>
          <w:spacing w:val="11"/>
          <w:sz w:val="24"/>
          <w:szCs w:val="24"/>
          <w:highlight w:val="none"/>
        </w:rPr>
        <w:t>（</w:t>
      </w:r>
      <w:r>
        <w:rPr>
          <w:rFonts w:hint="eastAsia" w:ascii="宋体" w:hAnsi="宋体" w:eastAsia="宋体" w:cs="宋体"/>
          <w:spacing w:val="7"/>
          <w:sz w:val="24"/>
          <w:szCs w:val="24"/>
          <w:highlight w:val="none"/>
        </w:rPr>
        <w:t>指投标人的行政章）</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rPr>
        <w:t>采购人</w:t>
      </w:r>
      <w:r>
        <w:rPr>
          <w:rFonts w:hint="eastAsia" w:ascii="宋体" w:hAnsi="宋体" w:eastAsia="宋体" w:cs="宋体"/>
          <w:sz w:val="24"/>
          <w:szCs w:val="24"/>
          <w:highlight w:val="none"/>
        </w:rPr>
        <w:t>不接受加盖其他印鉴（如合同章、投标专用章等印鉴）的谈判文件。</w:t>
      </w:r>
    </w:p>
    <w:p w14:paraId="2A3FD8EC">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9、谈判文件的组成</w:t>
      </w:r>
    </w:p>
    <w:p w14:paraId="7ABC3C1B">
      <w:pPr>
        <w:pStyle w:val="30"/>
        <w:keepNext w:val="0"/>
        <w:keepLines w:val="0"/>
        <w:pageBreakBefore w:val="0"/>
        <w:widowControl w:val="0"/>
        <w:tabs>
          <w:tab w:val="left" w:pos="580"/>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lang w:val="en-US"/>
        </w:rPr>
        <w:t>9.1</w:t>
      </w:r>
      <w:r>
        <w:rPr>
          <w:rFonts w:hint="eastAsia" w:ascii="宋体" w:hAnsi="宋体" w:eastAsia="宋体" w:cs="宋体"/>
          <w:spacing w:val="-3"/>
          <w:sz w:val="24"/>
          <w:szCs w:val="24"/>
          <w:highlight w:val="none"/>
        </w:rPr>
        <w:t>谈判文件应包括下列部分。</w:t>
      </w:r>
    </w:p>
    <w:p w14:paraId="1F8A2D3A">
      <w:pPr>
        <w:pStyle w:val="30"/>
        <w:keepNext w:val="0"/>
        <w:keepLines w:val="0"/>
        <w:pageBreakBefore w:val="0"/>
        <w:widowControl w:val="0"/>
        <w:tabs>
          <w:tab w:val="left" w:pos="580"/>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pacing w:val="-3"/>
          <w:sz w:val="24"/>
          <w:szCs w:val="24"/>
          <w:highlight w:val="none"/>
        </w:rPr>
      </w:pPr>
      <w:bookmarkStart w:id="45" w:name="_Toc31931"/>
      <w:bookmarkStart w:id="46" w:name="_Toc18750"/>
      <w:bookmarkStart w:id="47" w:name="_Toc490667845"/>
      <w:bookmarkStart w:id="48" w:name="_Toc455867785"/>
      <w:bookmarkStart w:id="49" w:name="_Toc466298108"/>
      <w:bookmarkStart w:id="50" w:name="_Toc8768"/>
      <w:bookmarkStart w:id="51" w:name="_Toc779"/>
      <w:bookmarkStart w:id="52" w:name="_Toc22864"/>
      <w:bookmarkStart w:id="53" w:name="_Toc13280"/>
      <w:bookmarkStart w:id="54" w:name="_Toc455080125"/>
      <w:bookmarkStart w:id="55" w:name="_Toc31433"/>
      <w:bookmarkStart w:id="56" w:name="_Toc5953"/>
      <w:r>
        <w:rPr>
          <w:rFonts w:hint="eastAsia" w:ascii="宋体" w:hAnsi="宋体" w:eastAsia="宋体" w:cs="宋体"/>
          <w:spacing w:val="-3"/>
          <w:sz w:val="24"/>
          <w:szCs w:val="24"/>
          <w:highlight w:val="none"/>
        </w:rPr>
        <w:t>详见第</w:t>
      </w:r>
      <w:r>
        <w:rPr>
          <w:rFonts w:hint="eastAsia" w:ascii="宋体" w:hAnsi="宋体" w:eastAsia="宋体" w:cs="宋体"/>
          <w:spacing w:val="-3"/>
          <w:sz w:val="24"/>
          <w:szCs w:val="24"/>
          <w:highlight w:val="none"/>
          <w:lang w:val="en-US"/>
        </w:rPr>
        <w:t>五</w:t>
      </w:r>
      <w:r>
        <w:rPr>
          <w:rFonts w:hint="eastAsia" w:ascii="宋体" w:hAnsi="宋体" w:eastAsia="宋体" w:cs="宋体"/>
          <w:spacing w:val="-3"/>
          <w:sz w:val="24"/>
          <w:szCs w:val="24"/>
          <w:highlight w:val="none"/>
        </w:rPr>
        <w:t>章“响应文件格式”</w:t>
      </w:r>
      <w:bookmarkEnd w:id="45"/>
      <w:bookmarkEnd w:id="46"/>
      <w:bookmarkEnd w:id="47"/>
      <w:bookmarkEnd w:id="48"/>
      <w:bookmarkEnd w:id="49"/>
      <w:bookmarkEnd w:id="50"/>
      <w:bookmarkEnd w:id="51"/>
      <w:bookmarkEnd w:id="52"/>
      <w:bookmarkEnd w:id="53"/>
      <w:bookmarkEnd w:id="54"/>
      <w:bookmarkEnd w:id="55"/>
      <w:r>
        <w:rPr>
          <w:rFonts w:hint="eastAsia" w:ascii="宋体" w:hAnsi="宋体" w:eastAsia="宋体" w:cs="宋体"/>
          <w:spacing w:val="-3"/>
          <w:sz w:val="24"/>
          <w:szCs w:val="24"/>
          <w:highlight w:val="none"/>
        </w:rPr>
        <w:t>。</w:t>
      </w:r>
      <w:bookmarkEnd w:id="56"/>
    </w:p>
    <w:p w14:paraId="3626763A">
      <w:pPr>
        <w:pStyle w:val="30"/>
        <w:keepNext w:val="0"/>
        <w:keepLines w:val="0"/>
        <w:pageBreakBefore w:val="0"/>
        <w:widowControl w:val="0"/>
        <w:tabs>
          <w:tab w:val="left" w:pos="580"/>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lang w:val="en-US"/>
        </w:rPr>
        <w:t>9.2</w:t>
      </w:r>
      <w:r>
        <w:rPr>
          <w:rFonts w:hint="eastAsia" w:ascii="宋体" w:hAnsi="宋体" w:eastAsia="宋体" w:cs="宋体"/>
          <w:spacing w:val="-3"/>
          <w:sz w:val="24"/>
          <w:szCs w:val="24"/>
          <w:highlight w:val="none"/>
        </w:rPr>
        <w:t>资格证明文件包括:</w:t>
      </w:r>
    </w:p>
    <w:p w14:paraId="790DA735">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加盖单位公章的营业执照复印件。</w:t>
      </w:r>
    </w:p>
    <w:p w14:paraId="43A5672C">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法人授权委托书。</w:t>
      </w:r>
    </w:p>
    <w:p w14:paraId="1C8C3E93">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授权代表身份证复印件。</w:t>
      </w:r>
    </w:p>
    <w:p w14:paraId="3FFD71E9">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其他有关证明复印件。</w:t>
      </w:r>
    </w:p>
    <w:p w14:paraId="4AF7A6B9">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10、谈判文件格式</w:t>
      </w:r>
    </w:p>
    <w:p w14:paraId="5490EE5D">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10.1谈判人应按谈判文件中第五部分谈判文件格式填写，谈判供应商认为需加以说明的其它内容可列备注栏。不按谈判文件内容填写或填写不完整视为无效响应。</w:t>
      </w:r>
    </w:p>
    <w:p w14:paraId="5D968AF1">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11、谈判报价</w:t>
      </w:r>
    </w:p>
    <w:p w14:paraId="234E08B6">
      <w:pPr>
        <w:pStyle w:val="30"/>
        <w:keepNext w:val="0"/>
        <w:keepLines w:val="0"/>
        <w:pageBreakBefore w:val="0"/>
        <w:widowControl w:val="0"/>
        <w:numPr>
          <w:ilvl w:val="1"/>
          <w:numId w:val="7"/>
        </w:numPr>
        <w:tabs>
          <w:tab w:val="left" w:pos="939"/>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谈判报价应按照</w:t>
      </w:r>
      <w:r>
        <w:rPr>
          <w:rFonts w:hint="eastAsia" w:ascii="宋体" w:hAnsi="宋体" w:eastAsia="宋体" w:cs="宋体"/>
          <w:sz w:val="24"/>
          <w:szCs w:val="24"/>
          <w:highlight w:val="none"/>
          <w:lang w:val="en-US"/>
        </w:rPr>
        <w:t>谈判</w:t>
      </w:r>
      <w:r>
        <w:rPr>
          <w:rFonts w:hint="eastAsia" w:ascii="宋体" w:hAnsi="宋体" w:eastAsia="宋体" w:cs="宋体"/>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sz w:val="24"/>
          <w:szCs w:val="24"/>
          <w:highlight w:val="none"/>
          <w:lang w:val="en-US"/>
        </w:rPr>
        <w:t>投标报价应为</w:t>
      </w:r>
      <w:r>
        <w:rPr>
          <w:rFonts w:hint="eastAsia" w:ascii="宋体" w:hAnsi="宋体" w:eastAsia="宋体" w:cs="宋体"/>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73E0EDFB">
      <w:pPr>
        <w:pStyle w:val="30"/>
        <w:keepNext w:val="0"/>
        <w:keepLines w:val="0"/>
        <w:pageBreakBefore w:val="0"/>
        <w:widowControl w:val="0"/>
        <w:numPr>
          <w:ilvl w:val="1"/>
          <w:numId w:val="7"/>
        </w:numPr>
        <w:tabs>
          <w:tab w:val="left" w:pos="941"/>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谈判供应商应填写谈判价格一览表，如果分项报价与单价不符，则以单价为准；其它表格与谈判报价一览表不符，以谈判报价一览表为准；小写与大写不符，以大写为准；</w:t>
      </w:r>
    </w:p>
    <w:p w14:paraId="655744D9">
      <w:pPr>
        <w:pStyle w:val="30"/>
        <w:keepNext w:val="0"/>
        <w:keepLines w:val="0"/>
        <w:pageBreakBefore w:val="0"/>
        <w:widowControl w:val="0"/>
        <w:numPr>
          <w:ilvl w:val="1"/>
          <w:numId w:val="7"/>
        </w:numPr>
        <w:tabs>
          <w:tab w:val="left" w:pos="941"/>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谈判报价执行政府采购政策，被认定为小微企业最终报价按扣除</w:t>
      </w:r>
      <w:r>
        <w:rPr>
          <w:rFonts w:hint="eastAsia" w:cs="宋体"/>
          <w:sz w:val="24"/>
          <w:szCs w:val="24"/>
          <w:highlight w:val="none"/>
          <w:lang w:val="en-US" w:eastAsia="zh-CN"/>
        </w:rPr>
        <w:t>20</w:t>
      </w:r>
      <w:r>
        <w:rPr>
          <w:rFonts w:hint="eastAsia" w:ascii="宋体" w:hAnsi="宋体" w:eastAsia="宋体" w:cs="宋体"/>
          <w:sz w:val="24"/>
          <w:szCs w:val="24"/>
          <w:highlight w:val="none"/>
        </w:rPr>
        <w:t>%作为评审报价。</w:t>
      </w:r>
    </w:p>
    <w:p w14:paraId="6284ACFB">
      <w:pPr>
        <w:pStyle w:val="30"/>
        <w:keepNext w:val="0"/>
        <w:keepLines w:val="0"/>
        <w:pageBreakBefore w:val="0"/>
        <w:widowControl w:val="0"/>
        <w:numPr>
          <w:ilvl w:val="1"/>
          <w:numId w:val="7"/>
        </w:numPr>
        <w:tabs>
          <w:tab w:val="left" w:pos="941"/>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小微企业认定：投标人提供小微企业声明函。</w:t>
      </w:r>
    </w:p>
    <w:p w14:paraId="41848A13">
      <w:pPr>
        <w:pStyle w:val="30"/>
        <w:keepNext w:val="0"/>
        <w:keepLines w:val="0"/>
        <w:pageBreakBefore w:val="0"/>
        <w:widowControl w:val="0"/>
        <w:numPr>
          <w:ilvl w:val="1"/>
          <w:numId w:val="7"/>
        </w:numPr>
        <w:tabs>
          <w:tab w:val="left" w:pos="941"/>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网上报价</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见周口市公共资源交易中心</w:t>
      </w:r>
      <w:r>
        <w:rPr>
          <w:rFonts w:hint="eastAsia" w:ascii="宋体" w:hAnsi="宋体" w:eastAsia="宋体" w:cs="宋体"/>
          <w:color w:val="000000" w:themeColor="text1"/>
          <w:sz w:val="24"/>
          <w:szCs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szCs w:val="24"/>
          <w:highlight w:val="none"/>
          <w14:textFill>
            <w14:solidFill>
              <w14:schemeClr w14:val="tx1"/>
            </w14:solidFill>
          </w14:textFill>
        </w:rPr>
        <w:t>《投标单位-电子投标文件视频制作手册》</w:t>
      </w:r>
      <w:r>
        <w:rPr>
          <w:rFonts w:hint="eastAsia" w:ascii="宋体" w:hAnsi="宋体" w:eastAsia="宋体" w:cs="宋体"/>
          <w:color w:val="000000" w:themeColor="text1"/>
          <w:sz w:val="24"/>
          <w:szCs w:val="24"/>
          <w:highlight w:val="none"/>
          <w:lang w:val="en-US" w:eastAsia="zh-CN"/>
          <w14:textFill>
            <w14:solidFill>
              <w14:schemeClr w14:val="tx1"/>
            </w14:solidFill>
          </w14:textFill>
        </w:rPr>
        <w:t>中的《周口市公共资源交易系统政府采购供应商操作手册》相关规定。</w:t>
      </w:r>
    </w:p>
    <w:p w14:paraId="4E7CDA52">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12、谈判供应商资格证明文件</w:t>
      </w:r>
    </w:p>
    <w:p w14:paraId="27B66C37">
      <w:pPr>
        <w:pStyle w:val="30"/>
        <w:keepNext w:val="0"/>
        <w:keepLines w:val="0"/>
        <w:pageBreakBefore w:val="0"/>
        <w:widowControl w:val="0"/>
        <w:numPr>
          <w:ilvl w:val="1"/>
          <w:numId w:val="8"/>
        </w:numPr>
        <w:tabs>
          <w:tab w:val="left" w:pos="934"/>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谈判供应商资格证明文件，证明谈判供应商是合格的，且一旦其响应被接受，谈判供应商有能力履行合同。</w:t>
      </w:r>
    </w:p>
    <w:p w14:paraId="5007F8C9">
      <w:pPr>
        <w:pStyle w:val="30"/>
        <w:keepNext w:val="0"/>
        <w:keepLines w:val="0"/>
        <w:pageBreakBefore w:val="0"/>
        <w:widowControl w:val="0"/>
        <w:numPr>
          <w:ilvl w:val="1"/>
          <w:numId w:val="8"/>
        </w:numPr>
        <w:tabs>
          <w:tab w:val="left" w:pos="934"/>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及谈判供应商认为需加以说明的其它内容。</w:t>
      </w:r>
    </w:p>
    <w:p w14:paraId="14587986">
      <w:pPr>
        <w:pStyle w:val="30"/>
        <w:keepNext w:val="0"/>
        <w:keepLines w:val="0"/>
        <w:pageBreakBefore w:val="0"/>
        <w:widowControl w:val="0"/>
        <w:numPr>
          <w:ilvl w:val="1"/>
          <w:numId w:val="8"/>
        </w:numPr>
        <w:tabs>
          <w:tab w:val="left" w:pos="932"/>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w:t>
      </w:r>
      <w:r>
        <w:rPr>
          <w:rFonts w:hint="eastAsia" w:ascii="宋体" w:hAnsi="宋体" w:eastAsia="宋体" w:cs="宋体"/>
          <w:sz w:val="24"/>
          <w:szCs w:val="24"/>
          <w:highlight w:val="none"/>
          <w:lang w:val="en-US"/>
        </w:rPr>
        <w:t>应</w:t>
      </w:r>
      <w:r>
        <w:rPr>
          <w:rFonts w:hint="eastAsia" w:ascii="宋体" w:hAnsi="宋体" w:eastAsia="宋体" w:cs="宋体"/>
          <w:sz w:val="24"/>
          <w:szCs w:val="24"/>
          <w:highlight w:val="none"/>
        </w:rPr>
        <w:t>有履行合同所需的财务、技术、施工能力。</w:t>
      </w:r>
    </w:p>
    <w:p w14:paraId="2C3C5397">
      <w:pPr>
        <w:pStyle w:val="30"/>
        <w:keepNext w:val="0"/>
        <w:keepLines w:val="0"/>
        <w:pageBreakBefore w:val="0"/>
        <w:widowControl w:val="0"/>
        <w:numPr>
          <w:ilvl w:val="1"/>
          <w:numId w:val="8"/>
        </w:numPr>
        <w:tabs>
          <w:tab w:val="left" w:pos="934"/>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谈判供应商有能力履行谈判文件中合同条款和</w:t>
      </w:r>
      <w:r>
        <w:rPr>
          <w:rFonts w:hint="eastAsia" w:ascii="宋体" w:hAnsi="宋体" w:eastAsia="宋体" w:cs="宋体"/>
          <w:sz w:val="24"/>
          <w:szCs w:val="24"/>
          <w:highlight w:val="none"/>
          <w:lang w:val="en-US"/>
        </w:rPr>
        <w:t>采购</w:t>
      </w:r>
      <w:r>
        <w:rPr>
          <w:rFonts w:hint="eastAsia" w:ascii="宋体" w:hAnsi="宋体" w:eastAsia="宋体" w:cs="宋体"/>
          <w:sz w:val="24"/>
          <w:szCs w:val="24"/>
          <w:highlight w:val="none"/>
        </w:rPr>
        <w:t>要求规定的由谈判供应商履行的服务义务。</w:t>
      </w:r>
    </w:p>
    <w:p w14:paraId="57C3727E">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13、谈判保证金</w:t>
      </w:r>
    </w:p>
    <w:p w14:paraId="3B5D4F90">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b w:val="0"/>
          <w:bCs w:val="0"/>
          <w:sz w:val="24"/>
          <w:szCs w:val="24"/>
          <w:highlight w:val="none"/>
          <w:lang w:val="en-US"/>
        </w:rPr>
      </w:pPr>
      <w:r>
        <w:rPr>
          <w:rFonts w:hint="eastAsia" w:ascii="宋体" w:hAnsi="宋体" w:eastAsia="宋体" w:cs="宋体"/>
          <w:b w:val="0"/>
          <w:bCs w:val="0"/>
          <w:sz w:val="24"/>
          <w:szCs w:val="24"/>
          <w:highlight w:val="none"/>
          <w:lang w:val="en-US"/>
        </w:rPr>
        <w:t>不需要缴纳谈判保证金</w:t>
      </w:r>
    </w:p>
    <w:p w14:paraId="7C38514D">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14、投标有效期</w:t>
      </w:r>
    </w:p>
    <w:p w14:paraId="335DF8F2">
      <w:pPr>
        <w:pStyle w:val="30"/>
        <w:keepNext w:val="0"/>
        <w:keepLines w:val="0"/>
        <w:pageBreakBefore w:val="0"/>
        <w:widowControl w:val="0"/>
        <w:numPr>
          <w:ilvl w:val="1"/>
          <w:numId w:val="9"/>
        </w:numPr>
        <w:tabs>
          <w:tab w:val="left" w:pos="941"/>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谈判响应文件有效期为自谈判之日起60天内，成交的谈判文件其有效期应延续至合同执行结束，有效期短于这个规定期限的谈判供应商将被拒绝。</w:t>
      </w:r>
    </w:p>
    <w:p w14:paraId="0B1C2443">
      <w:pPr>
        <w:pStyle w:val="30"/>
        <w:keepNext w:val="0"/>
        <w:keepLines w:val="0"/>
        <w:pageBreakBefore w:val="0"/>
        <w:widowControl w:val="0"/>
        <w:numPr>
          <w:ilvl w:val="1"/>
          <w:numId w:val="9"/>
        </w:numPr>
        <w:tabs>
          <w:tab w:val="left" w:pos="941"/>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特殊情况下，</w:t>
      </w:r>
      <w:r>
        <w:rPr>
          <w:rFonts w:hint="eastAsia" w:ascii="宋体" w:hAnsi="宋体" w:eastAsia="宋体" w:cs="宋体"/>
          <w:sz w:val="24"/>
          <w:szCs w:val="24"/>
          <w:highlight w:val="none"/>
          <w:lang w:val="en-US"/>
        </w:rPr>
        <w:t>采购人</w:t>
      </w:r>
      <w:r>
        <w:rPr>
          <w:rFonts w:hint="eastAsia" w:ascii="宋体" w:hAnsi="宋体" w:eastAsia="宋体" w:cs="宋体"/>
          <w:sz w:val="24"/>
          <w:szCs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F516F8A">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15、谈判响应文件的签署及规定</w:t>
      </w:r>
    </w:p>
    <w:p w14:paraId="4209B888">
      <w:pPr>
        <w:pStyle w:val="30"/>
        <w:keepNext w:val="0"/>
        <w:keepLines w:val="0"/>
        <w:pageBreakBefore w:val="0"/>
        <w:widowControl w:val="0"/>
        <w:numPr>
          <w:ilvl w:val="1"/>
          <w:numId w:val="10"/>
        </w:numPr>
        <w:tabs>
          <w:tab w:val="left" w:pos="941"/>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谈判响应文件中不应有加行、涂抹或改写。如有修改错漏处，必须由谈判供应商法定代表人或其委托代理人签字并加盖公章。</w:t>
      </w:r>
    </w:p>
    <w:p w14:paraId="1B384D7E">
      <w:pPr>
        <w:pStyle w:val="30"/>
        <w:keepNext w:val="0"/>
        <w:keepLines w:val="0"/>
        <w:pageBreakBefore w:val="0"/>
        <w:widowControl w:val="0"/>
        <w:numPr>
          <w:ilvl w:val="1"/>
          <w:numId w:val="10"/>
        </w:numPr>
        <w:tabs>
          <w:tab w:val="left" w:pos="939"/>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电报、电话、传真、电子邮件形式的投标概不接受。</w:t>
      </w:r>
    </w:p>
    <w:p w14:paraId="612205C1">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rPr>
        <w:t>15.3按照谈判文件规定签署、签章（</w:t>
      </w:r>
      <w:r>
        <w:rPr>
          <w:rFonts w:hint="eastAsia" w:ascii="宋体" w:hAnsi="宋体" w:eastAsia="宋体" w:cs="宋体"/>
          <w:bCs/>
          <w:sz w:val="24"/>
          <w:szCs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sz w:val="24"/>
          <w:szCs w:val="24"/>
          <w:highlight w:val="none"/>
          <w:lang w:val="en-US"/>
        </w:rPr>
        <w:t>谈判文件所有要求授权代表签字的位置，</w:t>
      </w:r>
      <w:r>
        <w:rPr>
          <w:rFonts w:hint="eastAsia" w:ascii="宋体" w:hAnsi="宋体" w:eastAsia="宋体" w:cs="宋体"/>
          <w:bCs/>
          <w:sz w:val="24"/>
          <w:szCs w:val="24"/>
          <w:highlight w:val="none"/>
        </w:rPr>
        <w:t>授权代表的</w:t>
      </w:r>
      <w:r>
        <w:rPr>
          <w:rFonts w:hint="eastAsia" w:ascii="宋体" w:hAnsi="宋体" w:eastAsia="宋体" w:cs="宋体"/>
          <w:bCs/>
          <w:sz w:val="24"/>
          <w:szCs w:val="24"/>
          <w:highlight w:val="none"/>
          <w:lang w:val="en-US"/>
        </w:rPr>
        <w:t>签字手写或机打均可</w:t>
      </w:r>
      <w:r>
        <w:rPr>
          <w:rFonts w:hint="eastAsia" w:ascii="宋体" w:hAnsi="宋体" w:eastAsia="宋体" w:cs="宋体"/>
          <w:bCs/>
          <w:sz w:val="24"/>
          <w:szCs w:val="24"/>
          <w:highlight w:val="none"/>
        </w:rPr>
        <w:t>）；</w:t>
      </w:r>
    </w:p>
    <w:p w14:paraId="3A645380">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D、谈判响应文件的递交</w:t>
      </w:r>
    </w:p>
    <w:p w14:paraId="4D90B7FD">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94" w:firstLineChars="200"/>
        <w:jc w:val="both"/>
        <w:textAlignment w:val="auto"/>
        <w:rPr>
          <w:rFonts w:hint="eastAsia" w:ascii="宋体" w:hAnsi="宋体" w:eastAsia="宋体" w:cs="宋体"/>
          <w:sz w:val="24"/>
          <w:szCs w:val="24"/>
          <w:highlight w:val="none"/>
          <w:lang w:val="en-US"/>
        </w:rPr>
      </w:pPr>
      <w:r>
        <w:rPr>
          <w:rFonts w:hint="eastAsia" w:ascii="宋体" w:hAnsi="宋体" w:eastAsia="宋体" w:cs="宋体"/>
          <w:b/>
          <w:spacing w:val="3"/>
          <w:sz w:val="24"/>
          <w:szCs w:val="24"/>
          <w:highlight w:val="none"/>
        </w:rPr>
        <w:t>16</w:t>
      </w:r>
      <w:r>
        <w:rPr>
          <w:rFonts w:hint="eastAsia" w:ascii="宋体" w:hAnsi="宋体" w:eastAsia="宋体" w:cs="宋体"/>
          <w:b/>
          <w:spacing w:val="4"/>
          <w:sz w:val="24"/>
          <w:szCs w:val="24"/>
          <w:highlight w:val="none"/>
        </w:rPr>
        <w:t>、</w:t>
      </w:r>
      <w:r>
        <w:rPr>
          <w:rFonts w:hint="eastAsia" w:ascii="宋体" w:hAnsi="宋体" w:eastAsia="宋体" w:cs="宋体"/>
          <w:color w:val="000000" w:themeColor="text1"/>
          <w:sz w:val="24"/>
          <w:szCs w:val="24"/>
          <w:highlight w:val="none"/>
          <w14:textFill>
            <w14:solidFill>
              <w14:schemeClr w14:val="tx1"/>
            </w14:solidFill>
          </w14:textFill>
        </w:rPr>
        <w:t>加密的电子投标文件的递交</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见周口市公共资源交易中心</w:t>
      </w:r>
      <w:r>
        <w:rPr>
          <w:rFonts w:hint="eastAsia" w:ascii="宋体" w:hAnsi="宋体" w:eastAsia="宋体" w:cs="宋体"/>
          <w:color w:val="000000" w:themeColor="text1"/>
          <w:sz w:val="24"/>
          <w:szCs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szCs w:val="24"/>
          <w:highlight w:val="none"/>
          <w14:textFill>
            <w14:solidFill>
              <w14:schemeClr w14:val="tx1"/>
            </w14:solidFill>
          </w14:textFill>
        </w:rPr>
        <w:t>《投标单位-电子投标文件视频制作手册》</w:t>
      </w:r>
      <w:r>
        <w:rPr>
          <w:rFonts w:hint="eastAsia" w:ascii="宋体" w:hAnsi="宋体" w:eastAsia="宋体" w:cs="宋体"/>
          <w:color w:val="000000" w:themeColor="text1"/>
          <w:sz w:val="24"/>
          <w:szCs w:val="24"/>
          <w:highlight w:val="none"/>
          <w:lang w:val="en-US" w:eastAsia="zh-CN"/>
          <w14:textFill>
            <w14:solidFill>
              <w14:schemeClr w14:val="tx1"/>
            </w14:solidFill>
          </w14:textFill>
        </w:rPr>
        <w:t>中的《周口市公共资源交易系统政府采购供应商操作手册》</w:t>
      </w:r>
      <w:r>
        <w:rPr>
          <w:rFonts w:hint="eastAsia" w:ascii="宋体" w:hAnsi="宋体" w:eastAsia="宋体" w:cs="宋体"/>
          <w:sz w:val="24"/>
          <w:szCs w:val="24"/>
          <w:highlight w:val="none"/>
          <w:lang w:val="en-US" w:eastAsia="zh-CN"/>
        </w:rPr>
        <w:t>相关规定</w:t>
      </w:r>
      <w:r>
        <w:rPr>
          <w:rFonts w:hint="eastAsia" w:ascii="宋体" w:hAnsi="宋体" w:eastAsia="宋体" w:cs="宋体"/>
          <w:sz w:val="24"/>
          <w:szCs w:val="24"/>
          <w:highlight w:val="none"/>
        </w:rPr>
        <w:t>。如未在招标文件规定的投标时间截止前上传网上</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文件，投标无效。</w:t>
      </w:r>
    </w:p>
    <w:p w14:paraId="486052C8">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本项目施行网上远程开标无须到现场提交响应文件（未加密的电子投标文件和纸质文件均不再提交）</w:t>
      </w:r>
    </w:p>
    <w:p w14:paraId="02A12714">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17、递交谈判响应文件的截止时间</w:t>
      </w:r>
    </w:p>
    <w:p w14:paraId="68C7561B">
      <w:pPr>
        <w:pStyle w:val="30"/>
        <w:keepNext w:val="0"/>
        <w:keepLines w:val="0"/>
        <w:pageBreakBefore w:val="0"/>
        <w:widowControl w:val="0"/>
        <w:numPr>
          <w:ilvl w:val="1"/>
          <w:numId w:val="11"/>
        </w:numPr>
        <w:tabs>
          <w:tab w:val="left" w:pos="941"/>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谈判响应文件须按谈判邀请函中规定的</w:t>
      </w:r>
      <w:r>
        <w:rPr>
          <w:rFonts w:hint="eastAsia" w:ascii="宋体" w:hAnsi="宋体" w:eastAsia="宋体" w:cs="宋体"/>
          <w:sz w:val="24"/>
          <w:szCs w:val="24"/>
          <w:highlight w:val="none"/>
          <w:lang w:val="en-US"/>
        </w:rPr>
        <w:t>在</w:t>
      </w:r>
      <w:r>
        <w:rPr>
          <w:rFonts w:hint="eastAsia" w:ascii="宋体" w:hAnsi="宋体" w:eastAsia="宋体" w:cs="宋体"/>
          <w:sz w:val="24"/>
          <w:szCs w:val="24"/>
          <w:highlight w:val="none"/>
        </w:rPr>
        <w:t>谈判截止时间之前</w:t>
      </w:r>
      <w:r>
        <w:rPr>
          <w:rFonts w:hint="eastAsia" w:ascii="宋体" w:hAnsi="宋体" w:eastAsia="宋体" w:cs="宋体"/>
          <w:sz w:val="24"/>
          <w:szCs w:val="24"/>
          <w:highlight w:val="none"/>
          <w:lang w:val="en-US"/>
        </w:rPr>
        <w:t>成功上传到指定位置</w:t>
      </w:r>
      <w:r>
        <w:rPr>
          <w:rFonts w:hint="eastAsia" w:ascii="宋体" w:hAnsi="宋体" w:eastAsia="宋体" w:cs="宋体"/>
          <w:sz w:val="24"/>
          <w:szCs w:val="24"/>
          <w:highlight w:val="none"/>
        </w:rPr>
        <w:t>。</w:t>
      </w:r>
    </w:p>
    <w:p w14:paraId="5E6523B9">
      <w:pPr>
        <w:pStyle w:val="30"/>
        <w:keepNext w:val="0"/>
        <w:keepLines w:val="0"/>
        <w:pageBreakBefore w:val="0"/>
        <w:widowControl w:val="0"/>
        <w:numPr>
          <w:ilvl w:val="1"/>
          <w:numId w:val="11"/>
        </w:numPr>
        <w:tabs>
          <w:tab w:val="left" w:pos="941"/>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采购人</w:t>
      </w:r>
      <w:r>
        <w:rPr>
          <w:rFonts w:hint="eastAsia" w:ascii="宋体" w:hAnsi="宋体" w:eastAsia="宋体" w:cs="宋体"/>
          <w:sz w:val="24"/>
          <w:szCs w:val="24"/>
          <w:highlight w:val="none"/>
        </w:rPr>
        <w:t>推迟谈判截止时间时，应以</w:t>
      </w:r>
      <w:r>
        <w:rPr>
          <w:rFonts w:hint="eastAsia" w:ascii="宋体" w:hAnsi="宋体" w:eastAsia="宋体" w:cs="宋体"/>
          <w:sz w:val="24"/>
          <w:szCs w:val="24"/>
          <w:highlight w:val="none"/>
          <w:lang w:val="en-US"/>
        </w:rPr>
        <w:t>网上</w:t>
      </w:r>
      <w:r>
        <w:rPr>
          <w:rFonts w:hint="eastAsia" w:ascii="宋体" w:hAnsi="宋体" w:eastAsia="宋体" w:cs="宋体"/>
          <w:sz w:val="24"/>
          <w:szCs w:val="24"/>
          <w:highlight w:val="none"/>
        </w:rPr>
        <w:t>公告的形式，通知所有潜在的谈判供应商，在这种情况下，谈判组织人和谈判供应商的权利和义务将受到新的截止期的约束。</w:t>
      </w:r>
    </w:p>
    <w:p w14:paraId="38B6AACE">
      <w:pPr>
        <w:pStyle w:val="30"/>
        <w:keepNext w:val="0"/>
        <w:keepLines w:val="0"/>
        <w:pageBreakBefore w:val="0"/>
        <w:widowControl w:val="0"/>
        <w:numPr>
          <w:ilvl w:val="1"/>
          <w:numId w:val="11"/>
        </w:numPr>
        <w:tabs>
          <w:tab w:val="left" w:pos="941"/>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在谈判截止时间前，谈判供应商可以补充、修改或撤回已递交的谈判响应文件。补充、修改的内容为谈判响应文件的组成部分。上述补充或修改若涉及谈判报价，将视为有选择性报价。</w:t>
      </w:r>
    </w:p>
    <w:p w14:paraId="1FF7BEC6">
      <w:pPr>
        <w:pStyle w:val="30"/>
        <w:keepNext w:val="0"/>
        <w:keepLines w:val="0"/>
        <w:pageBreakBefore w:val="0"/>
        <w:widowControl w:val="0"/>
        <w:numPr>
          <w:ilvl w:val="1"/>
          <w:numId w:val="11"/>
        </w:numPr>
        <w:tabs>
          <w:tab w:val="left" w:pos="941"/>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补充、修改后的谈判响应文件须</w:t>
      </w:r>
      <w:r>
        <w:rPr>
          <w:rFonts w:hint="eastAsia" w:ascii="宋体" w:hAnsi="宋体" w:eastAsia="宋体" w:cs="宋体"/>
          <w:sz w:val="24"/>
          <w:szCs w:val="24"/>
          <w:highlight w:val="none"/>
        </w:rPr>
        <w:t>在投标截止时间前</w:t>
      </w:r>
      <w:r>
        <w:rPr>
          <w:rFonts w:hint="eastAsia" w:ascii="宋体" w:hAnsi="宋体" w:eastAsia="宋体" w:cs="宋体"/>
          <w:sz w:val="24"/>
          <w:szCs w:val="24"/>
          <w:highlight w:val="none"/>
          <w:lang w:val="en-US"/>
        </w:rPr>
        <w:t>再</w:t>
      </w:r>
      <w:r>
        <w:rPr>
          <w:rFonts w:hint="eastAsia" w:ascii="宋体" w:hAnsi="宋体" w:eastAsia="宋体" w:cs="宋体"/>
          <w:sz w:val="24"/>
          <w:szCs w:val="24"/>
          <w:highlight w:val="none"/>
        </w:rPr>
        <w:t>次成功上传</w:t>
      </w:r>
      <w:r>
        <w:rPr>
          <w:rFonts w:hint="eastAsia" w:ascii="宋体" w:hAnsi="宋体" w:eastAsia="宋体" w:cs="宋体"/>
          <w:sz w:val="24"/>
          <w:szCs w:val="24"/>
          <w:highlight w:val="none"/>
          <w:lang w:val="en-US"/>
        </w:rPr>
        <w:t>到网上指定位置</w:t>
      </w:r>
    </w:p>
    <w:p w14:paraId="4C64F95C">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18、迟交的谈判响应文件</w:t>
      </w:r>
    </w:p>
    <w:p w14:paraId="1999BF60">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18.1在</w:t>
      </w:r>
      <w:r>
        <w:rPr>
          <w:rFonts w:hint="eastAsia" w:ascii="宋体" w:hAnsi="宋体" w:eastAsia="宋体" w:cs="宋体"/>
          <w:sz w:val="24"/>
          <w:szCs w:val="24"/>
          <w:highlight w:val="none"/>
          <w:lang w:val="en-US"/>
        </w:rPr>
        <w:t>谈判</w:t>
      </w:r>
      <w:r>
        <w:rPr>
          <w:rFonts w:hint="eastAsia" w:ascii="宋体" w:hAnsi="宋体" w:eastAsia="宋体" w:cs="宋体"/>
          <w:sz w:val="24"/>
          <w:szCs w:val="24"/>
          <w:highlight w:val="none"/>
        </w:rPr>
        <w:t>文件要求提交</w:t>
      </w:r>
      <w:r>
        <w:rPr>
          <w:rFonts w:hint="eastAsia" w:ascii="宋体" w:hAnsi="宋体" w:eastAsia="宋体" w:cs="宋体"/>
          <w:sz w:val="24"/>
          <w:szCs w:val="24"/>
          <w:highlight w:val="none"/>
          <w:lang w:val="en-US"/>
        </w:rPr>
        <w:t>响应</w:t>
      </w:r>
      <w:r>
        <w:rPr>
          <w:rFonts w:hint="eastAsia" w:ascii="宋体" w:hAnsi="宋体" w:eastAsia="宋体" w:cs="宋体"/>
          <w:sz w:val="24"/>
          <w:szCs w:val="24"/>
          <w:highlight w:val="none"/>
        </w:rPr>
        <w:t>文件的截止时间之后制作上传的投标文件为无效投标文件，</w:t>
      </w:r>
      <w:r>
        <w:rPr>
          <w:rFonts w:hint="eastAsia" w:ascii="宋体" w:hAnsi="宋体" w:eastAsia="宋体" w:cs="宋体"/>
          <w:bCs/>
          <w:sz w:val="24"/>
          <w:szCs w:val="24"/>
          <w:highlight w:val="none"/>
        </w:rPr>
        <w:t>采购人</w:t>
      </w:r>
      <w:r>
        <w:rPr>
          <w:rFonts w:hint="eastAsia" w:ascii="宋体" w:hAnsi="宋体" w:eastAsia="宋体" w:cs="宋体"/>
          <w:bCs/>
          <w:sz w:val="24"/>
          <w:szCs w:val="24"/>
          <w:highlight w:val="none"/>
          <w:lang w:val="en-US"/>
        </w:rPr>
        <w:t>和网上开评标系统</w:t>
      </w:r>
      <w:r>
        <w:rPr>
          <w:rFonts w:hint="eastAsia" w:ascii="宋体" w:hAnsi="宋体" w:eastAsia="宋体" w:cs="宋体"/>
          <w:sz w:val="24"/>
          <w:szCs w:val="24"/>
          <w:highlight w:val="none"/>
        </w:rPr>
        <w:t>将拒绝接收。</w:t>
      </w:r>
    </w:p>
    <w:p w14:paraId="72DFE2A5">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E、开始和谈判</w:t>
      </w:r>
    </w:p>
    <w:p w14:paraId="5BE3E102">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19、开始</w:t>
      </w:r>
    </w:p>
    <w:p w14:paraId="327AD859">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19.1</w:t>
      </w:r>
      <w:r>
        <w:rPr>
          <w:rFonts w:hint="eastAsia" w:ascii="宋体" w:hAnsi="宋体" w:eastAsia="宋体" w:cs="宋体"/>
          <w:sz w:val="24"/>
          <w:szCs w:val="24"/>
          <w:highlight w:val="none"/>
        </w:rPr>
        <w:t>本项目施行网上远程开标</w:t>
      </w:r>
      <w:r>
        <w:rPr>
          <w:rFonts w:hint="eastAsia" w:ascii="宋体" w:hAnsi="宋体" w:eastAsia="宋体" w:cs="宋体"/>
          <w:sz w:val="24"/>
          <w:szCs w:val="24"/>
          <w:highlight w:val="none"/>
          <w:lang w:val="en-US"/>
        </w:rPr>
        <w:t>并依法</w:t>
      </w:r>
      <w:r>
        <w:rPr>
          <w:rFonts w:hint="eastAsia" w:ascii="宋体" w:hAnsi="宋体" w:eastAsia="宋体" w:cs="宋体"/>
          <w:sz w:val="24"/>
          <w:szCs w:val="24"/>
          <w:highlight w:val="none"/>
        </w:rPr>
        <w:t>按照相关程序进行开标。</w:t>
      </w:r>
    </w:p>
    <w:p w14:paraId="6E90EB35">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19.2</w:t>
      </w:r>
      <w:r>
        <w:rPr>
          <w:rFonts w:hint="eastAsia" w:ascii="宋体" w:hAnsi="宋体" w:eastAsia="宋体" w:cs="宋体"/>
          <w:sz w:val="24"/>
          <w:szCs w:val="24"/>
          <w:highlight w:val="none"/>
        </w:rPr>
        <w:t>请各投标人在开标规定时间内进行网上远程响应文件解密，远程响应文件解密程序见“周口市公共资</w:t>
      </w:r>
      <w:r>
        <w:rPr>
          <w:rFonts w:hint="eastAsia" w:ascii="宋体" w:hAnsi="宋体" w:eastAsia="宋体" w:cs="宋体"/>
          <w:spacing w:val="-4"/>
          <w:sz w:val="24"/>
          <w:szCs w:val="24"/>
          <w:highlight w:val="none"/>
        </w:rPr>
        <w:t>源电子交易服务平台</w:t>
      </w:r>
      <w:r>
        <w:rPr>
          <w:rFonts w:hint="eastAsia" w:ascii="宋体" w:hAnsi="宋体" w:eastAsia="宋体" w:cs="宋体"/>
          <w:sz w:val="24"/>
          <w:szCs w:val="24"/>
          <w:highlight w:val="none"/>
        </w:rPr>
        <w:t>（</w:t>
      </w:r>
      <w:r>
        <w:rPr>
          <w:rFonts w:hint="eastAsia" w:ascii="宋体" w:hAnsi="宋体" w:eastAsia="宋体" w:cs="宋体"/>
          <w:spacing w:val="-20"/>
          <w:sz w:val="24"/>
          <w:szCs w:val="24"/>
          <w:highlight w:val="none"/>
        </w:rPr>
        <w:t xml:space="preserve">网址 </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"http://jyzx.zhoukou.gov.cn/"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）下载</w:t>
      </w:r>
      <w:r>
        <w:rPr>
          <w:rFonts w:hint="eastAsia" w:ascii="宋体" w:hAnsi="宋体" w:eastAsia="宋体" w:cs="宋体"/>
          <w:spacing w:val="-8"/>
          <w:sz w:val="24"/>
          <w:szCs w:val="24"/>
          <w:highlight w:val="none"/>
        </w:rPr>
        <w:t>中心</w:t>
      </w:r>
      <w:r>
        <w:rPr>
          <w:rFonts w:hint="eastAsia" w:ascii="宋体" w:hAnsi="宋体" w:eastAsia="宋体" w:cs="宋体"/>
          <w:spacing w:val="3"/>
          <w:sz w:val="24"/>
          <w:szCs w:val="24"/>
          <w:highlight w:val="none"/>
        </w:rPr>
        <w:t>（</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"http://www.zkggzyjy.gov.cn/TPFront/infodetail/?infoid=47eea74d-b982-411d-875f-1b63772b7810&amp;amp;categoryNum=010"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远程在线解</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"http://www.zkggzyjy.gov.cn/TPFront/infodetail/?infoid=47eea74d-b982-411d-875f-1b63772b7810&amp;amp;categoryNum=010"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密操作手册</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）”。在规定时间内（</w:t>
      </w:r>
      <w:r>
        <w:rPr>
          <w:rFonts w:hint="eastAsia" w:ascii="宋体" w:hAnsi="宋体" w:eastAsia="宋体" w:cs="宋体"/>
          <w:sz w:val="24"/>
          <w:szCs w:val="24"/>
          <w:highlight w:val="none"/>
          <w:lang w:val="en-US"/>
        </w:rPr>
        <w:t>半个小时</w:t>
      </w:r>
      <w:r>
        <w:rPr>
          <w:rFonts w:hint="eastAsia" w:ascii="宋体" w:hAnsi="宋体" w:eastAsia="宋体" w:cs="宋体"/>
          <w:sz w:val="24"/>
          <w:szCs w:val="24"/>
          <w:highlight w:val="none"/>
        </w:rPr>
        <w:t>）不进行解密的视为不提交响应文件。</w:t>
      </w:r>
    </w:p>
    <w:p w14:paraId="2A28971E">
      <w:pPr>
        <w:keepNext w:val="0"/>
        <w:keepLines w:val="0"/>
        <w:pageBreakBefore w:val="0"/>
        <w:widowControl w:val="0"/>
        <w:kinsoku/>
        <w:wordWrap/>
        <w:overflowPunct/>
        <w:topLinePunct w:val="0"/>
        <w:autoSpaceDE w:val="0"/>
        <w:autoSpaceDN w:val="0"/>
        <w:bidi w:val="0"/>
        <w:spacing w:line="360" w:lineRule="auto"/>
        <w:ind w:firstLine="549"/>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19.3采购中心</w:t>
      </w:r>
      <w:r>
        <w:rPr>
          <w:rFonts w:hint="eastAsia" w:ascii="宋体" w:hAnsi="宋体" w:eastAsia="宋体" w:cs="宋体"/>
          <w:sz w:val="24"/>
          <w:szCs w:val="24"/>
          <w:highlight w:val="none"/>
        </w:rPr>
        <w:t>项目负责人在</w:t>
      </w:r>
      <w:r>
        <w:rPr>
          <w:rFonts w:hint="eastAsia" w:ascii="宋体" w:hAnsi="宋体" w:eastAsia="宋体" w:cs="宋体"/>
          <w:sz w:val="24"/>
          <w:szCs w:val="24"/>
          <w:highlight w:val="none"/>
          <w:lang w:val="en-US"/>
        </w:rPr>
        <w:t>采购人和财政监督</w:t>
      </w:r>
      <w:r>
        <w:rPr>
          <w:rFonts w:hint="eastAsia" w:ascii="宋体" w:hAnsi="宋体" w:eastAsia="宋体" w:cs="宋体"/>
          <w:sz w:val="24"/>
          <w:szCs w:val="24"/>
          <w:highlight w:val="none"/>
        </w:rPr>
        <w:t>下解密所有投标文件。</w:t>
      </w:r>
      <w:r>
        <w:rPr>
          <w:rFonts w:hint="eastAsia" w:ascii="宋体" w:hAnsi="宋体" w:eastAsia="宋体" w:cs="宋体"/>
          <w:sz w:val="24"/>
          <w:szCs w:val="24"/>
          <w:highlight w:val="none"/>
          <w:lang w:val="en-US"/>
        </w:rPr>
        <w:t>并</w:t>
      </w:r>
      <w:r>
        <w:rPr>
          <w:rFonts w:hint="eastAsia" w:ascii="宋体" w:hAnsi="宋体" w:eastAsia="宋体" w:cs="宋体"/>
          <w:sz w:val="24"/>
          <w:szCs w:val="24"/>
          <w:highlight w:val="none"/>
        </w:rPr>
        <w:t>通过网上开标系统公布投标人名称、投标价格，以及采购中心认为合适的其它详细内容。</w:t>
      </w:r>
    </w:p>
    <w:p w14:paraId="364C3F16">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58" w:firstLineChars="200"/>
        <w:textAlignment w:val="auto"/>
        <w:rPr>
          <w:rFonts w:hint="eastAsia" w:ascii="宋体" w:hAnsi="宋体" w:eastAsia="宋体" w:cs="宋体"/>
          <w:sz w:val="24"/>
          <w:szCs w:val="24"/>
          <w:highlight w:val="none"/>
        </w:rPr>
      </w:pPr>
      <w:r>
        <w:rPr>
          <w:rFonts w:hint="eastAsia" w:ascii="宋体" w:hAnsi="宋体" w:eastAsia="宋体" w:cs="宋体"/>
          <w:w w:val="95"/>
          <w:sz w:val="24"/>
          <w:szCs w:val="24"/>
          <w:highlight w:val="none"/>
        </w:rPr>
        <w:t>20、谈判小组</w:t>
      </w:r>
    </w:p>
    <w:p w14:paraId="4162F210">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20.1</w:t>
      </w:r>
      <w:r>
        <w:rPr>
          <w:rFonts w:hint="eastAsia" w:ascii="宋体" w:hAnsi="宋体" w:eastAsia="宋体" w:cs="宋体"/>
          <w:sz w:val="24"/>
          <w:szCs w:val="24"/>
          <w:highlight w:val="none"/>
          <w:lang w:val="en-US"/>
        </w:rPr>
        <w:t>采购人</w:t>
      </w:r>
      <w:r>
        <w:rPr>
          <w:rFonts w:hint="eastAsia" w:ascii="宋体" w:hAnsi="宋体" w:eastAsia="宋体" w:cs="宋体"/>
          <w:sz w:val="24"/>
          <w:szCs w:val="24"/>
          <w:highlight w:val="none"/>
        </w:rPr>
        <w:t>将根据所采购工程的特点组建谈判小组，其成员由采购方代</w:t>
      </w:r>
      <w:r>
        <w:rPr>
          <w:rFonts w:hint="eastAsia" w:ascii="宋体" w:hAnsi="宋体" w:eastAsia="宋体" w:cs="宋体"/>
          <w:spacing w:val="-5"/>
          <w:sz w:val="24"/>
          <w:szCs w:val="24"/>
          <w:highlight w:val="none"/>
        </w:rPr>
        <w:t>表和技术、经济等方面的专家组成。谈判小组对谈判响应文件进行审查、质疑、</w:t>
      </w:r>
      <w:r>
        <w:rPr>
          <w:rFonts w:hint="eastAsia" w:ascii="宋体" w:hAnsi="宋体" w:eastAsia="宋体" w:cs="宋体"/>
          <w:sz w:val="24"/>
          <w:szCs w:val="24"/>
          <w:highlight w:val="none"/>
        </w:rPr>
        <w:t>评估和比较。</w:t>
      </w:r>
    </w:p>
    <w:p w14:paraId="6B5F63E8">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21、谈判响应文件的审查</w:t>
      </w:r>
    </w:p>
    <w:p w14:paraId="5663974C">
      <w:pPr>
        <w:pStyle w:val="30"/>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谈判开始后，谈判组织人将组织审查谈判响应文件是否完整，是否有计</w:t>
      </w:r>
      <w:r>
        <w:rPr>
          <w:rFonts w:hint="eastAsia" w:ascii="宋体" w:hAnsi="宋体" w:eastAsia="宋体" w:cs="宋体"/>
          <w:spacing w:val="-1"/>
          <w:sz w:val="24"/>
          <w:szCs w:val="24"/>
          <w:highlight w:val="none"/>
        </w:rPr>
        <w:t>算错误，文件是否已恰当地签署。不按谈判文件规定要求的响应为无效响应，</w:t>
      </w:r>
      <w:r>
        <w:rPr>
          <w:rFonts w:hint="eastAsia" w:ascii="宋体" w:hAnsi="宋体" w:eastAsia="宋体" w:cs="宋体"/>
          <w:sz w:val="24"/>
          <w:szCs w:val="24"/>
          <w:highlight w:val="none"/>
        </w:rPr>
        <w:t>不同供应商在同一台计算上制作的响应文件，视为无效投标。</w:t>
      </w:r>
    </w:p>
    <w:p w14:paraId="031502B6">
      <w:pPr>
        <w:pStyle w:val="30"/>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360" w:lineRule="auto"/>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在对谈判响应文件进行详细评估之前，谈判小组将依据谈判供应商提供</w:t>
      </w:r>
      <w:r>
        <w:rPr>
          <w:rFonts w:hint="eastAsia" w:ascii="宋体" w:hAnsi="宋体" w:eastAsia="宋体" w:cs="宋体"/>
          <w:spacing w:val="-3"/>
          <w:sz w:val="24"/>
          <w:szCs w:val="24"/>
          <w:highlight w:val="none"/>
        </w:rPr>
        <w:t>的证明文件进行资格审查。如果确定谈判供应商不符合谈判文件对资格的要求，</w:t>
      </w:r>
      <w:r>
        <w:rPr>
          <w:rFonts w:hint="eastAsia" w:ascii="宋体" w:hAnsi="宋体" w:eastAsia="宋体" w:cs="宋体"/>
          <w:sz w:val="24"/>
          <w:szCs w:val="24"/>
          <w:highlight w:val="none"/>
        </w:rPr>
        <w:t>其谈判将被拒绝。</w:t>
      </w:r>
    </w:p>
    <w:p w14:paraId="6DA5AF8B">
      <w:pPr>
        <w:pStyle w:val="30"/>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6410200">
      <w:pPr>
        <w:pStyle w:val="30"/>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360" w:lineRule="auto"/>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谈判小组判断谈判文件的响应性仅基于谈判响应文件本身内容而不靠外部证据。</w:t>
      </w:r>
    </w:p>
    <w:p w14:paraId="5798077C">
      <w:pPr>
        <w:pStyle w:val="30"/>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360" w:lineRule="auto"/>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谈判小组将拒绝被确定为非实质性响应的谈判供应商，谈判供应商不能通过修正或撤消不符之处而使其成为实质性响应的谈判供应商。</w:t>
      </w:r>
    </w:p>
    <w:p w14:paraId="71D7E3D4">
      <w:pPr>
        <w:pStyle w:val="30"/>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360" w:lineRule="auto"/>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谈判小组允许修改谈判响应中不构成重大偏离的、微小的、非正规、不一致或不规则的地方。</w:t>
      </w:r>
    </w:p>
    <w:p w14:paraId="3A7D51D7">
      <w:pPr>
        <w:pStyle w:val="30"/>
        <w:keepNext w:val="0"/>
        <w:keepLines w:val="0"/>
        <w:pageBreakBefore w:val="0"/>
        <w:widowControl w:val="0"/>
        <w:tabs>
          <w:tab w:val="left" w:pos="819"/>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rPr>
        <w:t>21.7</w:t>
      </w:r>
      <w:r>
        <w:rPr>
          <w:rFonts w:hint="eastAsia" w:ascii="宋体" w:hAnsi="宋体" w:eastAsia="宋体" w:cs="宋体"/>
          <w:b/>
          <w:bCs/>
          <w:sz w:val="24"/>
          <w:szCs w:val="24"/>
          <w:highlight w:val="none"/>
        </w:rPr>
        <w:t>无效投标</w:t>
      </w:r>
    </w:p>
    <w:p w14:paraId="12C200D3">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遇到下列情况之一时,投标人的投标将被视为无效投标:</w:t>
      </w:r>
    </w:p>
    <w:p w14:paraId="1E503D22">
      <w:pPr>
        <w:pStyle w:val="30"/>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21.7.1</w:t>
      </w:r>
      <w:r>
        <w:rPr>
          <w:rFonts w:hint="eastAsia" w:ascii="宋体" w:hAnsi="宋体" w:eastAsia="宋体" w:cs="宋体"/>
          <w:sz w:val="24"/>
          <w:szCs w:val="24"/>
          <w:highlight w:val="none"/>
        </w:rPr>
        <w:t>投标文件无投标人公章和法人或者法人委托人的印章或签字的；</w:t>
      </w:r>
    </w:p>
    <w:p w14:paraId="7C5E3D6A">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21.7.2</w:t>
      </w:r>
      <w:r>
        <w:rPr>
          <w:rFonts w:hint="eastAsia" w:ascii="宋体" w:hAnsi="宋体" w:eastAsia="宋体" w:cs="宋体"/>
          <w:sz w:val="24"/>
          <w:szCs w:val="24"/>
          <w:highlight w:val="none"/>
        </w:rPr>
        <w:t>投标文件未按照招标文件规定的格式填写，或者填写的内容不全，或者涂改</w:t>
      </w:r>
    </w:p>
    <w:p w14:paraId="0275C51A">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firstLine="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处未加盖投标人公章及法人或法人授权的代理人的印章或签字的。</w:t>
      </w:r>
    </w:p>
    <w:p w14:paraId="3CF29EF5">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firstLine="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w:t>
      </w:r>
      <w:r>
        <w:rPr>
          <w:rFonts w:hint="eastAsia" w:ascii="宋体" w:hAnsi="宋体" w:eastAsia="宋体" w:cs="宋体"/>
          <w:sz w:val="24"/>
          <w:szCs w:val="24"/>
          <w:highlight w:val="none"/>
          <w:lang w:val="en-US"/>
        </w:rPr>
        <w:t>.7.3</w:t>
      </w:r>
      <w:r>
        <w:rPr>
          <w:rFonts w:ascii="Calibri" w:hAnsi="Calibri" w:cs="Calibri"/>
          <w:sz w:val="24"/>
          <w:highlight w:val="none"/>
        </w:rPr>
        <w:t>未提供经会计师事务所或审计机构审计的财务会计报表，包括资产负债表、现金流量表、利润表、和财务情况说明书的</w:t>
      </w:r>
      <w:r>
        <w:rPr>
          <w:rFonts w:hint="eastAsia" w:ascii="Calibri" w:hAnsi="Calibri" w:cs="Calibri"/>
          <w:sz w:val="24"/>
          <w:highlight w:val="none"/>
        </w:rPr>
        <w:t>或针对本项目所开具的资信证明的</w:t>
      </w:r>
      <w:r>
        <w:rPr>
          <w:rFonts w:hint="eastAsia" w:asciiTheme="minorEastAsia" w:hAnsiTheme="minorEastAsia" w:eastAsiaTheme="minorEastAsia"/>
          <w:sz w:val="24"/>
          <w:szCs w:val="24"/>
          <w:highlight w:val="none"/>
        </w:rPr>
        <w:t>；</w:t>
      </w:r>
    </w:p>
    <w:p w14:paraId="51A6A90C">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21.7.4</w:t>
      </w:r>
      <w:r>
        <w:rPr>
          <w:rFonts w:hint="eastAsia" w:ascii="宋体" w:hAnsi="宋体" w:eastAsia="宋体" w:cs="宋体"/>
          <w:sz w:val="24"/>
          <w:szCs w:val="24"/>
          <w:highlight w:val="none"/>
        </w:rPr>
        <w:t>投标人资格条件不符合国家有关规定和招标文件要求的，或者拒不按照要求</w:t>
      </w:r>
    </w:p>
    <w:p w14:paraId="69919FF5">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firstLine="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对投标文件进行澄清、说明或者补正的；</w:t>
      </w:r>
    </w:p>
    <w:p w14:paraId="38B2375E">
      <w:pPr>
        <w:pStyle w:val="30"/>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21.7.5</w:t>
      </w:r>
      <w:r>
        <w:rPr>
          <w:rFonts w:hint="eastAsia" w:ascii="宋体" w:hAnsi="宋体" w:eastAsia="宋体" w:cs="宋体"/>
          <w:sz w:val="24"/>
          <w:szCs w:val="24"/>
          <w:highlight w:val="none"/>
        </w:rPr>
        <w:t>投标文件附有招标人不能接受的条件的；</w:t>
      </w:r>
    </w:p>
    <w:p w14:paraId="1AB67F5F">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21.7.6</w:t>
      </w:r>
      <w:r>
        <w:rPr>
          <w:rFonts w:hint="eastAsia" w:ascii="宋体" w:hAnsi="宋体" w:eastAsia="宋体" w:cs="宋体"/>
          <w:sz w:val="24"/>
          <w:szCs w:val="24"/>
          <w:highlight w:val="none"/>
        </w:rPr>
        <w:t>投标人以他人名义投标、串通投标、以行贿手段谋取中标或者以弄虚作假等</w:t>
      </w:r>
    </w:p>
    <w:p w14:paraId="6EFA2F33">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firstLine="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方式投标的；</w:t>
      </w:r>
    </w:p>
    <w:p w14:paraId="46C3077D">
      <w:pPr>
        <w:pStyle w:val="30"/>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21.7.7</w:t>
      </w:r>
      <w:r>
        <w:rPr>
          <w:rFonts w:hint="eastAsia" w:ascii="宋体" w:hAnsi="宋体" w:eastAsia="宋体" w:cs="宋体"/>
          <w:sz w:val="24"/>
          <w:szCs w:val="24"/>
          <w:highlight w:val="none"/>
        </w:rPr>
        <w:t>经核实两个或两个以上投标人的投标文件有雷同或有抄袭行为的；</w:t>
      </w:r>
    </w:p>
    <w:p w14:paraId="5537B3F2">
      <w:pPr>
        <w:pStyle w:val="30"/>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21.7.8</w:t>
      </w:r>
      <w:r>
        <w:rPr>
          <w:rFonts w:hint="eastAsia" w:ascii="宋体" w:hAnsi="宋体" w:eastAsia="宋体" w:cs="宋体"/>
          <w:sz w:val="24"/>
          <w:szCs w:val="24"/>
          <w:highlight w:val="none"/>
        </w:rPr>
        <w:t>投标人出现技术</w:t>
      </w:r>
      <w:r>
        <w:rPr>
          <w:rFonts w:hint="eastAsia" w:ascii="宋体" w:hAnsi="宋体" w:eastAsia="宋体" w:cs="宋体"/>
          <w:sz w:val="24"/>
          <w:szCs w:val="24"/>
          <w:highlight w:val="none"/>
          <w:lang w:val="en-US"/>
        </w:rPr>
        <w:t>和</w:t>
      </w:r>
      <w:r>
        <w:rPr>
          <w:rFonts w:hint="eastAsia" w:ascii="宋体" w:hAnsi="宋体" w:eastAsia="宋体" w:cs="宋体"/>
          <w:sz w:val="24"/>
          <w:szCs w:val="24"/>
          <w:highlight w:val="none"/>
        </w:rPr>
        <w:t>参数不符合采购要求的及不响应</w:t>
      </w:r>
      <w:r>
        <w:rPr>
          <w:rFonts w:hint="eastAsia" w:ascii="宋体" w:hAnsi="宋体" w:eastAsia="宋体" w:cs="宋体"/>
          <w:sz w:val="24"/>
          <w:szCs w:val="24"/>
          <w:highlight w:val="none"/>
          <w:lang w:val="en-US"/>
        </w:rPr>
        <w:t>谈判</w:t>
      </w:r>
      <w:r>
        <w:rPr>
          <w:rFonts w:hint="eastAsia" w:ascii="宋体" w:hAnsi="宋体" w:eastAsia="宋体" w:cs="宋体"/>
          <w:sz w:val="24"/>
          <w:szCs w:val="24"/>
          <w:highlight w:val="none"/>
        </w:rPr>
        <w:t>文件的；</w:t>
      </w:r>
    </w:p>
    <w:p w14:paraId="2375A04A">
      <w:pPr>
        <w:pStyle w:val="30"/>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21.7.9</w:t>
      </w:r>
      <w:r>
        <w:rPr>
          <w:rFonts w:hint="eastAsia" w:ascii="宋体" w:hAnsi="宋体" w:eastAsia="宋体" w:cs="宋体"/>
          <w:sz w:val="24"/>
          <w:szCs w:val="24"/>
          <w:highlight w:val="none"/>
        </w:rPr>
        <w:t>违反《中华人民共和国政府采购法》等法律的投标；</w:t>
      </w:r>
    </w:p>
    <w:p w14:paraId="32E41361">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color w:val="000000" w:themeColor="text1"/>
          <w:sz w:val="24"/>
          <w:szCs w:val="24"/>
          <w:highlight w:val="none"/>
          <w14:textFill>
            <w14:solidFill>
              <w14:schemeClr w14:val="tx1"/>
            </w14:solidFill>
          </w14:textFill>
        </w:rPr>
        <w:t>不同供应商的电子投标（响应）文件上传计算机的网卡 MAC 地址、CPU 序列号和硬盘序列号等硬件信息相同的;</w:t>
      </w:r>
    </w:p>
    <w:p w14:paraId="6FCD9919">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szCs w:val="24"/>
          <w:highlight w:val="none"/>
          <w:lang w:val="en-US" w:eastAsia="zh-CN"/>
          <w14:textFill>
            <w14:solidFill>
              <w14:schemeClr w14:val="tx1"/>
            </w14:solidFill>
          </w14:textFill>
        </w:rPr>
        <w:t>11</w:t>
      </w:r>
      <w:r>
        <w:rPr>
          <w:rFonts w:hint="eastAsia" w:ascii="宋体" w:hAnsi="宋体" w:eastAsia="宋体" w:cs="宋体"/>
          <w:color w:val="000000" w:themeColor="text1"/>
          <w:sz w:val="24"/>
          <w:szCs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复印、</w:t>
      </w:r>
      <w:r>
        <w:rPr>
          <w:rFonts w:hint="eastAsia" w:ascii="宋体" w:hAnsi="宋体" w:eastAsia="宋体" w:cs="宋体"/>
          <w:color w:val="000000" w:themeColor="text1"/>
          <w:sz w:val="24"/>
          <w:szCs w:val="24"/>
          <w:highlight w:val="none"/>
          <w14:textFill>
            <w14:solidFill>
              <w14:schemeClr w14:val="tx1"/>
            </w14:solidFill>
          </w14:textFill>
        </w:rPr>
        <w:t>加密或者上传</w:t>
      </w:r>
      <w:r>
        <w:rPr>
          <w:rFonts w:hint="eastAsia" w:ascii="宋体" w:hAnsi="宋体" w:eastAsia="宋体" w:cs="宋体"/>
          <w:color w:val="000000" w:themeColor="text1"/>
          <w:sz w:val="24"/>
          <w:szCs w:val="24"/>
          <w:highlight w:val="none"/>
          <w:lang w:val="en-US" w:eastAsia="zh-CN"/>
          <w14:textFill>
            <w14:solidFill>
              <w14:schemeClr w14:val="tx1"/>
            </w14:solidFill>
          </w14:textFill>
        </w:rPr>
        <w:t>的</w:t>
      </w:r>
      <w:r>
        <w:rPr>
          <w:rFonts w:hint="eastAsia" w:ascii="宋体" w:hAnsi="宋体" w:eastAsia="宋体" w:cs="宋体"/>
          <w:color w:val="000000" w:themeColor="text1"/>
          <w:sz w:val="24"/>
          <w:szCs w:val="24"/>
          <w:highlight w:val="none"/>
          <w14:textFill>
            <w14:solidFill>
              <w14:schemeClr w14:val="tx1"/>
            </w14:solidFill>
          </w14:textFill>
        </w:rPr>
        <w:t>；</w:t>
      </w:r>
    </w:p>
    <w:p w14:paraId="33CCDB80">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szCs w:val="24"/>
          <w:highlight w:val="none"/>
          <w:lang w:val="en-US" w:eastAsia="zh-CN"/>
          <w14:textFill>
            <w14:solidFill>
              <w14:schemeClr w14:val="tx1"/>
            </w14:solidFill>
          </w14:textFill>
        </w:rPr>
        <w:t>12</w:t>
      </w:r>
      <w:r>
        <w:rPr>
          <w:rFonts w:hint="eastAsia" w:ascii="宋体" w:hAnsi="宋体" w:eastAsia="宋体" w:cs="宋体"/>
          <w:color w:val="000000" w:themeColor="text1"/>
          <w:sz w:val="24"/>
          <w:szCs w:val="24"/>
          <w:highlight w:val="none"/>
          <w14:textFill>
            <w14:solidFill>
              <w14:schemeClr w14:val="tx1"/>
            </w14:solidFill>
          </w14:textFill>
        </w:rPr>
        <w:t>不同供应商的投标（响应）文件由同一人送达或者分发，或者不同供应商联系人为同一人或不同联系人的联系电话一致的；</w:t>
      </w:r>
    </w:p>
    <w:p w14:paraId="6B5C16D4">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szCs w:val="24"/>
          <w:highlight w:val="none"/>
          <w:lang w:val="en-US" w:eastAsia="zh-CN"/>
          <w14:textFill>
            <w14:solidFill>
              <w14:schemeClr w14:val="tx1"/>
            </w14:solidFill>
          </w14:textFill>
        </w:rPr>
        <w:t>13</w:t>
      </w:r>
      <w:r>
        <w:rPr>
          <w:rFonts w:hint="eastAsia" w:ascii="宋体" w:hAnsi="宋体" w:eastAsia="宋体" w:cs="宋体"/>
          <w:color w:val="000000" w:themeColor="text1"/>
          <w:sz w:val="24"/>
          <w:szCs w:val="24"/>
          <w:highlight w:val="none"/>
          <w14:textFill>
            <w14:solidFill>
              <w14:schemeClr w14:val="tx1"/>
            </w14:solidFill>
          </w14:textFill>
        </w:rPr>
        <w:t>不同供应商的投标（响应）文件的内容存在两处以上细节错误一致；</w:t>
      </w:r>
    </w:p>
    <w:p w14:paraId="28B3CBA5">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szCs w:val="24"/>
          <w:highlight w:val="none"/>
          <w:lang w:val="en-US" w:eastAsia="zh-CN"/>
          <w14:textFill>
            <w14:solidFill>
              <w14:schemeClr w14:val="tx1"/>
            </w14:solidFill>
          </w14:textFill>
        </w:rPr>
        <w:t>14</w:t>
      </w:r>
      <w:r>
        <w:rPr>
          <w:rFonts w:hint="eastAsia" w:ascii="宋体" w:hAnsi="宋体" w:eastAsia="宋体" w:cs="宋体"/>
          <w:color w:val="000000" w:themeColor="text1"/>
          <w:sz w:val="24"/>
          <w:szCs w:val="24"/>
          <w:highlight w:val="none"/>
          <w14:textFill>
            <w14:solidFill>
              <w14:schemeClr w14:val="tx1"/>
            </w14:solidFill>
          </w14:textFill>
        </w:rPr>
        <w:t>不同供应商的法定代表人、委托代理人、项目经理、项目负责人等由同一个单位缴纳社会保险或者领取报酬的；</w:t>
      </w:r>
    </w:p>
    <w:p w14:paraId="21A1428F">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szCs w:val="24"/>
          <w:highlight w:val="none"/>
          <w:lang w:val="en-US" w:eastAsia="zh-CN"/>
          <w14:textFill>
            <w14:solidFill>
              <w14:schemeClr w14:val="tx1"/>
            </w14:solidFill>
          </w14:textFill>
        </w:rPr>
        <w:t>15</w:t>
      </w:r>
      <w:r>
        <w:rPr>
          <w:rFonts w:hint="eastAsia" w:ascii="宋体" w:hAnsi="宋体" w:eastAsia="宋体" w:cs="宋体"/>
          <w:sz w:val="24"/>
          <w:highlight w:val="none"/>
        </w:rPr>
        <w:t>供应商</w:t>
      </w:r>
      <w:r>
        <w:rPr>
          <w:rFonts w:hint="eastAsia" w:ascii="宋体" w:hAnsi="宋体" w:eastAsia="宋体" w:cs="宋体"/>
          <w:sz w:val="24"/>
          <w:highlight w:val="none"/>
          <w:lang w:val="en-US" w:eastAsia="zh-CN"/>
        </w:rPr>
        <w:t>未提供</w:t>
      </w:r>
      <w:r>
        <w:rPr>
          <w:rFonts w:hint="eastAsia" w:ascii="宋体" w:hAnsi="宋体" w:eastAsia="宋体" w:cs="宋体"/>
          <w:sz w:val="24"/>
          <w:highlight w:val="none"/>
        </w:rPr>
        <w:t>自觉抵制政府采购领域商业贿赂行为承诺书</w:t>
      </w:r>
      <w:r>
        <w:rPr>
          <w:rFonts w:hint="eastAsia" w:ascii="宋体" w:hAnsi="宋体" w:eastAsia="宋体" w:cs="宋体"/>
          <w:sz w:val="24"/>
          <w:highlight w:val="none"/>
          <w:lang w:val="en-US" w:eastAsia="zh-CN"/>
        </w:rPr>
        <w:t>的</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4DE705F4">
      <w:pPr>
        <w:pStyle w:val="30"/>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21.7.1</w:t>
      </w:r>
      <w:r>
        <w:rPr>
          <w:rFonts w:hint="eastAsia" w:ascii="宋体" w:hAnsi="宋体" w:eastAsia="宋体" w:cs="宋体"/>
          <w:sz w:val="24"/>
          <w:szCs w:val="24"/>
          <w:highlight w:val="none"/>
          <w:lang w:val="en-US" w:eastAsia="zh-CN"/>
        </w:rPr>
        <w:t>6</w:t>
      </w:r>
      <w:r>
        <w:rPr>
          <w:rFonts w:hint="eastAsia" w:ascii="宋体" w:hAnsi="宋体" w:eastAsia="宋体" w:cs="宋体"/>
          <w:sz w:val="24"/>
          <w:highlight w:val="none"/>
          <w:lang w:val="en-US"/>
        </w:rPr>
        <w:t>供应商</w:t>
      </w:r>
      <w:r>
        <w:rPr>
          <w:rFonts w:hint="eastAsia" w:ascii="宋体" w:hAnsi="宋体" w:eastAsia="宋体" w:cs="宋体"/>
          <w:sz w:val="24"/>
          <w:highlight w:val="none"/>
          <w:lang w:val="en-US" w:eastAsia="zh-CN"/>
        </w:rPr>
        <w:t>未在</w:t>
      </w:r>
      <w:r>
        <w:rPr>
          <w:rFonts w:hint="eastAsia" w:ascii="宋体" w:hAnsi="宋体" w:eastAsia="宋体" w:cs="宋体"/>
          <w:sz w:val="24"/>
          <w:highlight w:val="none"/>
          <w:lang w:val="en-US"/>
        </w:rPr>
        <w:t>响应</w:t>
      </w:r>
      <w:r>
        <w:rPr>
          <w:rFonts w:hint="eastAsia" w:ascii="宋体" w:hAnsi="宋体" w:eastAsia="宋体" w:cs="宋体"/>
          <w:sz w:val="24"/>
          <w:highlight w:val="none"/>
        </w:rPr>
        <w:t>文件中承诺未被纳入本地黑名单且未存在不诚信记录</w:t>
      </w:r>
      <w:r>
        <w:rPr>
          <w:rFonts w:hint="eastAsia" w:ascii="宋体" w:hAnsi="宋体" w:eastAsia="宋体" w:cs="宋体"/>
          <w:sz w:val="24"/>
          <w:highlight w:val="none"/>
          <w:lang w:val="en-US" w:eastAsia="zh-CN"/>
        </w:rPr>
        <w:t>的</w:t>
      </w:r>
      <w:r>
        <w:rPr>
          <w:rFonts w:hint="eastAsia" w:ascii="宋体" w:hAnsi="宋体" w:eastAsia="宋体" w:cs="宋体"/>
          <w:sz w:val="24"/>
          <w:szCs w:val="24"/>
          <w:highlight w:val="none"/>
        </w:rPr>
        <w:t>；</w:t>
      </w:r>
    </w:p>
    <w:p w14:paraId="1B61E09A">
      <w:pPr>
        <w:pStyle w:val="30"/>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21.7.1</w:t>
      </w:r>
      <w:r>
        <w:rPr>
          <w:rFonts w:hint="eastAsia" w:ascii="宋体" w:hAnsi="宋体" w:eastAsia="宋体" w:cs="宋体"/>
          <w:sz w:val="24"/>
          <w:szCs w:val="24"/>
          <w:highlight w:val="none"/>
          <w:lang w:val="en-US" w:eastAsia="zh-CN"/>
        </w:rPr>
        <w:t>7</w:t>
      </w:r>
      <w:r>
        <w:rPr>
          <w:rFonts w:hint="eastAsia" w:ascii="宋体" w:hAnsi="宋体" w:eastAsia="宋体" w:cs="宋体"/>
          <w:color w:val="auto"/>
          <w:spacing w:val="0"/>
          <w:position w:val="0"/>
          <w:sz w:val="24"/>
          <w:highlight w:val="none"/>
          <w:shd w:val="clear" w:fill="auto"/>
        </w:rPr>
        <w:t>供应商</w:t>
      </w:r>
      <w:r>
        <w:rPr>
          <w:rFonts w:hint="eastAsia" w:ascii="宋体" w:hAnsi="宋体" w:eastAsia="宋体" w:cs="宋体"/>
          <w:color w:val="auto"/>
          <w:spacing w:val="0"/>
          <w:position w:val="0"/>
          <w:sz w:val="24"/>
          <w:highlight w:val="none"/>
          <w:shd w:val="clear" w:fill="auto"/>
          <w:lang w:val="en-US" w:eastAsia="zh-CN"/>
        </w:rPr>
        <w:t>对</w:t>
      </w:r>
      <w:r>
        <w:rPr>
          <w:rFonts w:hint="eastAsia" w:ascii="宋体" w:hAnsi="宋体" w:eastAsia="宋体" w:cs="宋体"/>
          <w:color w:val="auto"/>
          <w:spacing w:val="0"/>
          <w:position w:val="0"/>
          <w:sz w:val="24"/>
          <w:highlight w:val="none"/>
          <w:shd w:val="clear" w:fill="auto"/>
        </w:rPr>
        <w:t>投标质量无承诺的</w:t>
      </w:r>
      <w:r>
        <w:rPr>
          <w:rFonts w:hint="eastAsia" w:ascii="宋体" w:hAnsi="宋体" w:eastAsia="宋体" w:cs="宋体"/>
          <w:color w:val="auto"/>
          <w:sz w:val="24"/>
          <w:szCs w:val="24"/>
          <w:highlight w:val="none"/>
        </w:rPr>
        <w:t>；</w:t>
      </w:r>
    </w:p>
    <w:p w14:paraId="5F16E83A">
      <w:pPr>
        <w:pStyle w:val="30"/>
        <w:keepNext w:val="0"/>
        <w:keepLines w:val="0"/>
        <w:pageBreakBefore w:val="0"/>
        <w:widowControl w:val="0"/>
        <w:tabs>
          <w:tab w:val="left" w:pos="1155"/>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21.7.1</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具备合格投标人资格的公司不能将其资格授予下属公司使用参与投标</w:t>
      </w:r>
      <w:r>
        <w:rPr>
          <w:rFonts w:hint="eastAsia" w:ascii="宋体" w:hAnsi="宋体" w:eastAsia="宋体" w:cs="宋体"/>
          <w:sz w:val="24"/>
          <w:szCs w:val="24"/>
          <w:highlight w:val="none"/>
          <w:lang w:val="en-US"/>
        </w:rPr>
        <w:t>的；</w:t>
      </w:r>
    </w:p>
    <w:p w14:paraId="54B4E209">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22、谈判文响应件的澄清</w:t>
      </w:r>
    </w:p>
    <w:p w14:paraId="7F903631">
      <w:pPr>
        <w:pStyle w:val="30"/>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945ED11">
      <w:pPr>
        <w:pStyle w:val="30"/>
        <w:keepNext w:val="0"/>
        <w:keepLines w:val="0"/>
        <w:pageBreakBefore w:val="0"/>
        <w:widowControl w:val="0"/>
        <w:numPr>
          <w:ilvl w:val="1"/>
          <w:numId w:val="13"/>
        </w:numPr>
        <w:tabs>
          <w:tab w:val="left" w:pos="939"/>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重要澄清的答复应是书面的，并由法定代表人或其委托代理人签字。</w:t>
      </w:r>
    </w:p>
    <w:p w14:paraId="174F423D">
      <w:pPr>
        <w:pStyle w:val="30"/>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谈判供应商的澄清文件是其谈判响应文件的组成部分，并取代谈判响应文件中被澄清的部分。</w:t>
      </w:r>
    </w:p>
    <w:p w14:paraId="24807503">
      <w:pPr>
        <w:pStyle w:val="30"/>
        <w:keepNext w:val="0"/>
        <w:keepLines w:val="0"/>
        <w:pageBreakBefore w:val="0"/>
        <w:widowControl w:val="0"/>
        <w:numPr>
          <w:ilvl w:val="1"/>
          <w:numId w:val="13"/>
        </w:numPr>
        <w:tabs>
          <w:tab w:val="left" w:pos="939"/>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谈判响应文件的澄清不得对谈判响应内容进行实质性修改。</w:t>
      </w:r>
    </w:p>
    <w:p w14:paraId="52671C21">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23、谈判原则和方法</w:t>
      </w:r>
    </w:p>
    <w:p w14:paraId="049BC728">
      <w:pPr>
        <w:pStyle w:val="30"/>
        <w:keepNext w:val="0"/>
        <w:keepLines w:val="0"/>
        <w:pageBreakBefore w:val="0"/>
        <w:widowControl w:val="0"/>
        <w:numPr>
          <w:ilvl w:val="1"/>
          <w:numId w:val="14"/>
        </w:numPr>
        <w:tabs>
          <w:tab w:val="left" w:pos="440"/>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坚持公平、公正的原则。</w:t>
      </w:r>
    </w:p>
    <w:p w14:paraId="72D8499A">
      <w:pPr>
        <w:pStyle w:val="30"/>
        <w:keepNext w:val="0"/>
        <w:keepLines w:val="0"/>
        <w:pageBreakBefore w:val="0"/>
        <w:widowControl w:val="0"/>
        <w:numPr>
          <w:ilvl w:val="1"/>
          <w:numId w:val="14"/>
        </w:numPr>
        <w:tabs>
          <w:tab w:val="left" w:pos="440"/>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谈判工作在谈判小组内独立进行，遵照谈判原则，按照谈判程序及方法公正、平等地对待所有谈判响应人。</w:t>
      </w:r>
    </w:p>
    <w:p w14:paraId="76DC4084">
      <w:pPr>
        <w:pStyle w:val="7"/>
        <w:keepNext w:val="0"/>
        <w:keepLines w:val="0"/>
        <w:pageBreakBefore w:val="0"/>
        <w:widowControl w:val="0"/>
        <w:tabs>
          <w:tab w:val="left" w:pos="944"/>
        </w:tabs>
        <w:kinsoku/>
        <w:wordWrap/>
        <w:overflowPunct/>
        <w:topLinePunct w:val="0"/>
        <w:autoSpaceDE w:val="0"/>
        <w:autoSpaceDN w:val="0"/>
        <w:bidi w:val="0"/>
        <w:adjustRightInd w:val="0"/>
        <w:snapToGrid w:val="0"/>
        <w:spacing w:line="360" w:lineRule="auto"/>
        <w:ind w:left="440" w:left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rPr>
        <w:t>23.3</w:t>
      </w:r>
      <w:r>
        <w:rPr>
          <w:rFonts w:hint="eastAsia" w:ascii="宋体" w:hAnsi="宋体" w:eastAsia="宋体" w:cs="宋体"/>
          <w:b w:val="0"/>
          <w:bCs w:val="0"/>
          <w:sz w:val="24"/>
          <w:szCs w:val="24"/>
          <w:highlight w:val="none"/>
        </w:rPr>
        <w:t>谈判方法</w:t>
      </w:r>
    </w:p>
    <w:p w14:paraId="05C55281">
      <w:pPr>
        <w:pStyle w:val="30"/>
        <w:keepNext w:val="0"/>
        <w:keepLines w:val="0"/>
        <w:pageBreakBefore w:val="0"/>
        <w:widowControl w:val="0"/>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采用最低价评审法。响应文件满足谈判文件全部实质性要求的且报价最低的谈判供</w:t>
      </w:r>
    </w:p>
    <w:p w14:paraId="47B94C79">
      <w:pPr>
        <w:pStyle w:val="30"/>
        <w:keepNext w:val="0"/>
        <w:keepLines w:val="0"/>
        <w:pageBreakBefore w:val="0"/>
        <w:widowControl w:val="0"/>
        <w:kinsoku/>
        <w:wordWrap/>
        <w:overflowPunct/>
        <w:topLinePunct w:val="0"/>
        <w:autoSpaceDE w:val="0"/>
        <w:autoSpaceDN w:val="0"/>
        <w:bidi w:val="0"/>
        <w:adjustRightInd w:val="0"/>
        <w:snapToGrid w:val="0"/>
        <w:spacing w:line="360" w:lineRule="auto"/>
        <w:ind w:left="0" w:firstLine="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应商为中标人。</w:t>
      </w:r>
    </w:p>
    <w:p w14:paraId="00F0C03E">
      <w:pPr>
        <w:pStyle w:val="30"/>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谈判小组将分别与响应文件均能满足谈判文件实质性要求的供应商进行谈判，开标结束后请供应商在报名系统中等待二轮或多轮报价（</w:t>
      </w:r>
      <w:r>
        <w:rPr>
          <w:rFonts w:hint="eastAsia" w:ascii="宋体" w:hAnsi="宋体" w:eastAsia="宋体" w:cs="宋体"/>
          <w:sz w:val="24"/>
          <w:szCs w:val="24"/>
          <w:highlight w:val="none"/>
          <w:lang w:val="en-US"/>
        </w:rPr>
        <w:t>谈判响应函上为第一轮报价</w:t>
      </w:r>
      <w:r>
        <w:rPr>
          <w:rFonts w:hint="eastAsia" w:ascii="宋体" w:hAnsi="宋体" w:eastAsia="宋体" w:cs="宋体"/>
          <w:sz w:val="24"/>
          <w:szCs w:val="24"/>
          <w:highlight w:val="none"/>
        </w:rPr>
        <w:t>）；每</w:t>
      </w:r>
      <w:r>
        <w:rPr>
          <w:rFonts w:hint="eastAsia" w:ascii="宋体" w:hAnsi="宋体" w:eastAsia="宋体" w:cs="宋体"/>
          <w:sz w:val="24"/>
          <w:szCs w:val="24"/>
          <w:highlight w:val="none"/>
          <w:lang w:val="en-US"/>
        </w:rPr>
        <w:t>轮</w:t>
      </w:r>
      <w:r>
        <w:rPr>
          <w:rFonts w:hint="eastAsia" w:ascii="宋体" w:hAnsi="宋体" w:eastAsia="宋体" w:cs="宋体"/>
          <w:sz w:val="24"/>
          <w:szCs w:val="24"/>
          <w:highlight w:val="none"/>
        </w:rPr>
        <w:t>的报价由供应商自定，谈判小组不作限制，但每次的报价不得高于上次报价（可以等于或小于）；供应商最终报价最低者为成交供应商。</w:t>
      </w:r>
    </w:p>
    <w:p w14:paraId="54FAA09A">
      <w:pPr>
        <w:pStyle w:val="30"/>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23.3.1审查供应商资质；</w:t>
      </w:r>
    </w:p>
    <w:p w14:paraId="78C1CCA8">
      <w:pPr>
        <w:pStyle w:val="30"/>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23.3.2审查供应商对货物技术参数、质保及售后等要求的响应情况；</w:t>
      </w:r>
    </w:p>
    <w:p w14:paraId="5FFD04E3">
      <w:pPr>
        <w:pStyle w:val="30"/>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23.3.3比较供应商的报价；</w:t>
      </w:r>
    </w:p>
    <w:p w14:paraId="20C3627A">
      <w:pPr>
        <w:pStyle w:val="30"/>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23.3.4对其它内容进行分析比较</w:t>
      </w:r>
    </w:p>
    <w:p w14:paraId="71631402">
      <w:pPr>
        <w:pStyle w:val="30"/>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通过资格性审查和符合性审查的供应商须在谈判小组设定的时间内使用本单位CA证书在网上进行二次报价。</w:t>
      </w:r>
    </w:p>
    <w:p w14:paraId="453FB66B">
      <w:pPr>
        <w:pStyle w:val="30"/>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注：开标后请供应商在计算前等待报价。</w:t>
      </w:r>
    </w:p>
    <w:p w14:paraId="30FC8A46">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24、保密及其它注意事项</w:t>
      </w:r>
    </w:p>
    <w:p w14:paraId="4E75B8C3">
      <w:pPr>
        <w:pStyle w:val="30"/>
        <w:keepNext w:val="0"/>
        <w:keepLines w:val="0"/>
        <w:pageBreakBefore w:val="0"/>
        <w:widowControl w:val="0"/>
        <w:numPr>
          <w:ilvl w:val="1"/>
          <w:numId w:val="15"/>
        </w:numPr>
        <w:tabs>
          <w:tab w:val="left" w:pos="941"/>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1976AA9">
      <w:pPr>
        <w:pStyle w:val="30"/>
        <w:keepNext w:val="0"/>
        <w:keepLines w:val="0"/>
        <w:pageBreakBefore w:val="0"/>
        <w:widowControl w:val="0"/>
        <w:numPr>
          <w:ilvl w:val="1"/>
          <w:numId w:val="15"/>
        </w:numPr>
        <w:tabs>
          <w:tab w:val="left" w:pos="941"/>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对上述作出书面承诺并附在响应文件中，否则视为不响应竞争性</w:t>
      </w:r>
      <w:r>
        <w:rPr>
          <w:rFonts w:hint="eastAsia" w:ascii="宋体" w:hAnsi="宋体" w:eastAsia="宋体" w:cs="宋体"/>
          <w:sz w:val="24"/>
          <w:szCs w:val="24"/>
          <w:highlight w:val="none"/>
          <w:lang w:eastAsia="zh-CN"/>
        </w:rPr>
        <w:t>谈判</w:t>
      </w:r>
      <w:r>
        <w:rPr>
          <w:rFonts w:hint="eastAsia" w:ascii="宋体" w:hAnsi="宋体" w:eastAsia="宋体" w:cs="宋体"/>
          <w:sz w:val="24"/>
          <w:szCs w:val="24"/>
          <w:highlight w:val="none"/>
        </w:rPr>
        <w:t>文件的要求。</w:t>
      </w:r>
    </w:p>
    <w:p w14:paraId="76BA3011">
      <w:pPr>
        <w:pStyle w:val="30"/>
        <w:keepNext w:val="0"/>
        <w:keepLines w:val="0"/>
        <w:pageBreakBefore w:val="0"/>
        <w:widowControl w:val="0"/>
        <w:numPr>
          <w:ilvl w:val="1"/>
          <w:numId w:val="15"/>
        </w:numPr>
        <w:tabs>
          <w:tab w:val="left" w:pos="941"/>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为保证谈判的公正性，谈判后直至授予成交供应商合同，谈判小组成员不得与谈判供应商私下交换意见。对上述作出书面承诺并附在响应文件中，否则视为不响应竞争性</w:t>
      </w:r>
      <w:r>
        <w:rPr>
          <w:rFonts w:hint="eastAsia" w:ascii="宋体" w:hAnsi="宋体" w:eastAsia="宋体" w:cs="宋体"/>
          <w:sz w:val="24"/>
          <w:szCs w:val="24"/>
          <w:highlight w:val="none"/>
          <w:lang w:eastAsia="zh-CN"/>
        </w:rPr>
        <w:t>谈判</w:t>
      </w:r>
      <w:r>
        <w:rPr>
          <w:rFonts w:hint="eastAsia" w:ascii="宋体" w:hAnsi="宋体" w:eastAsia="宋体" w:cs="宋体"/>
          <w:sz w:val="24"/>
          <w:szCs w:val="24"/>
          <w:highlight w:val="none"/>
        </w:rPr>
        <w:t>文件的要求。</w:t>
      </w:r>
    </w:p>
    <w:p w14:paraId="1AE02EB5">
      <w:pPr>
        <w:pStyle w:val="30"/>
        <w:keepNext w:val="0"/>
        <w:keepLines w:val="0"/>
        <w:pageBreakBefore w:val="0"/>
        <w:widowControl w:val="0"/>
        <w:numPr>
          <w:ilvl w:val="1"/>
          <w:numId w:val="15"/>
        </w:numPr>
        <w:tabs>
          <w:tab w:val="left" w:pos="932"/>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在谈判过程中，如有谈判供应商联合故意抬高报价或其他不正当行为， 谈判组织人有权终止谈判。</w:t>
      </w:r>
    </w:p>
    <w:p w14:paraId="48E13046">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firstLine="458" w:firstLineChars="200"/>
        <w:textAlignment w:val="auto"/>
        <w:rPr>
          <w:rFonts w:hint="eastAsia" w:ascii="宋体" w:hAnsi="宋体" w:eastAsia="宋体" w:cs="宋体"/>
          <w:sz w:val="24"/>
          <w:szCs w:val="24"/>
          <w:highlight w:val="none"/>
        </w:rPr>
      </w:pPr>
      <w:r>
        <w:rPr>
          <w:rFonts w:hint="eastAsia" w:ascii="宋体" w:hAnsi="宋体" w:eastAsia="宋体" w:cs="宋体"/>
          <w:w w:val="95"/>
          <w:sz w:val="24"/>
          <w:szCs w:val="24"/>
          <w:highlight w:val="none"/>
        </w:rPr>
        <w:t>F、授予合同</w:t>
      </w:r>
    </w:p>
    <w:p w14:paraId="22083781">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25、成交原则</w:t>
      </w:r>
    </w:p>
    <w:p w14:paraId="48E0C4E8">
      <w:pPr>
        <w:pStyle w:val="30"/>
        <w:keepNext w:val="0"/>
        <w:keepLines w:val="0"/>
        <w:pageBreakBefore w:val="0"/>
        <w:widowControl w:val="0"/>
        <w:numPr>
          <w:ilvl w:val="1"/>
          <w:numId w:val="16"/>
        </w:numPr>
        <w:tabs>
          <w:tab w:val="left" w:pos="939"/>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严格按照谈判文件的要求和条件进行谈判，择优确定成交供应商。</w:t>
      </w:r>
    </w:p>
    <w:p w14:paraId="6CAC4C5E">
      <w:pPr>
        <w:pStyle w:val="30"/>
        <w:keepNext w:val="0"/>
        <w:keepLines w:val="0"/>
        <w:pageBreakBefore w:val="0"/>
        <w:widowControl w:val="0"/>
        <w:numPr>
          <w:ilvl w:val="1"/>
          <w:numId w:val="16"/>
        </w:numPr>
        <w:tabs>
          <w:tab w:val="left" w:pos="934"/>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本次谈判，合同将授予符合谈判文件要求，能提供最佳服务、综合评价最优且报价最低的谈判供应商。</w:t>
      </w:r>
    </w:p>
    <w:p w14:paraId="2ED27A73">
      <w:pPr>
        <w:pStyle w:val="7"/>
        <w:keepNext w:val="0"/>
        <w:keepLines w:val="0"/>
        <w:pageBreakBefore w:val="0"/>
        <w:widowControl w:val="0"/>
        <w:numPr>
          <w:ilvl w:val="0"/>
          <w:numId w:val="17"/>
        </w:numPr>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成交通知</w:t>
      </w:r>
    </w:p>
    <w:p w14:paraId="2F2CCF47">
      <w:pPr>
        <w:pStyle w:val="30"/>
        <w:keepNext w:val="0"/>
        <w:keepLines w:val="0"/>
        <w:pageBreakBefore w:val="0"/>
        <w:widowControl w:val="0"/>
        <w:numPr>
          <w:ilvl w:val="0"/>
          <w:numId w:val="0"/>
        </w:numPr>
        <w:tabs>
          <w:tab w:val="left" w:pos="939"/>
        </w:tabs>
        <w:kinsoku/>
        <w:wordWrap/>
        <w:overflowPunct/>
        <w:topLinePunct w:val="0"/>
        <w:autoSpaceDE w:val="0"/>
        <w:autoSpaceDN w:val="0"/>
        <w:bidi w:val="0"/>
        <w:adjustRightInd w:val="0"/>
        <w:snapToGrid w:val="0"/>
        <w:spacing w:line="360" w:lineRule="auto"/>
        <w:ind w:leftChars="200" w:firstLine="240" w:firstLineChars="1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成交供应商确定后，</w:t>
      </w:r>
      <w:r>
        <w:rPr>
          <w:rFonts w:hint="eastAsia" w:ascii="宋体" w:hAnsi="宋体" w:eastAsia="宋体" w:cs="宋体"/>
          <w:sz w:val="24"/>
          <w:szCs w:val="24"/>
          <w:highlight w:val="none"/>
          <w:lang w:val="en-US"/>
        </w:rPr>
        <w:t>采购中心</w:t>
      </w:r>
      <w:r>
        <w:rPr>
          <w:rFonts w:hint="eastAsia" w:ascii="宋体" w:hAnsi="宋体" w:eastAsia="宋体" w:cs="宋体"/>
          <w:sz w:val="24"/>
          <w:szCs w:val="24"/>
          <w:highlight w:val="none"/>
        </w:rPr>
        <w:t>将</w:t>
      </w:r>
      <w:r>
        <w:rPr>
          <w:rFonts w:hint="eastAsia" w:ascii="宋体" w:hAnsi="宋体" w:eastAsia="宋体" w:cs="宋体"/>
          <w:sz w:val="24"/>
          <w:szCs w:val="24"/>
          <w:highlight w:val="none"/>
          <w:lang w:val="en-US"/>
        </w:rPr>
        <w:t>成交</w:t>
      </w:r>
      <w:r>
        <w:rPr>
          <w:rFonts w:hint="eastAsia" w:ascii="宋体" w:hAnsi="宋体" w:eastAsia="宋体" w:cs="宋体"/>
          <w:sz w:val="24"/>
          <w:szCs w:val="24"/>
          <w:highlight w:val="none"/>
        </w:rPr>
        <w:t>结果在河南省政府采购网进行公</w:t>
      </w:r>
      <w:r>
        <w:rPr>
          <w:rFonts w:hint="eastAsia" w:ascii="宋体" w:hAnsi="宋体" w:eastAsia="宋体" w:cs="宋体"/>
          <w:sz w:val="24"/>
          <w:szCs w:val="24"/>
          <w:highlight w:val="none"/>
          <w:lang w:val="en-US" w:eastAsia="zh-CN"/>
        </w:rPr>
        <w:t>告</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在发出成交公告后请采购人、中标人登录</w:t>
      </w:r>
      <w:r>
        <w:rPr>
          <w:rFonts w:hint="eastAsia" w:ascii="宋体" w:hAnsi="宋体" w:eastAsia="宋体" w:cs="宋体"/>
          <w:sz w:val="24"/>
          <w:szCs w:val="24"/>
          <w:highlight w:val="none"/>
        </w:rPr>
        <w:t>周口市公共资源交易</w:t>
      </w:r>
      <w:r>
        <w:rPr>
          <w:rFonts w:hint="eastAsia" w:ascii="宋体" w:hAnsi="宋体" w:eastAsia="宋体" w:cs="宋体"/>
          <w:sz w:val="24"/>
          <w:szCs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自行下载成交</w:t>
      </w:r>
      <w:r>
        <w:rPr>
          <w:rFonts w:hint="eastAsia" w:ascii="宋体" w:hAnsi="宋体" w:eastAsia="宋体" w:cs="宋体"/>
          <w:sz w:val="24"/>
          <w:szCs w:val="24"/>
          <w:highlight w:val="none"/>
        </w:rPr>
        <w:t>通知书。</w:t>
      </w:r>
    </w:p>
    <w:p w14:paraId="5F51D98C">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27、质疑处理</w:t>
      </w:r>
    </w:p>
    <w:p w14:paraId="4BDC9E12">
      <w:pPr>
        <w:pStyle w:val="30"/>
        <w:keepNext w:val="0"/>
        <w:keepLines w:val="0"/>
        <w:pageBreakBefore w:val="0"/>
        <w:widowControl w:val="0"/>
        <w:numPr>
          <w:ilvl w:val="1"/>
          <w:numId w:val="18"/>
        </w:numPr>
        <w:tabs>
          <w:tab w:val="left" w:pos="941"/>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sz w:val="24"/>
          <w:szCs w:val="24"/>
          <w:highlight w:val="none"/>
          <w:lang w:val="en-US"/>
        </w:rPr>
        <w:t>等</w:t>
      </w:r>
      <w:r>
        <w:rPr>
          <w:rFonts w:hint="eastAsia" w:ascii="宋体" w:hAnsi="宋体" w:eastAsia="宋体" w:cs="宋体"/>
          <w:sz w:val="24"/>
          <w:szCs w:val="24"/>
          <w:highlight w:val="none"/>
        </w:rPr>
        <w:t>相关法律、法规的规定程序向采购人进行质疑，但须对质疑内容的真实性承担责任。</w:t>
      </w:r>
    </w:p>
    <w:p w14:paraId="2B702763">
      <w:pPr>
        <w:pStyle w:val="30"/>
        <w:keepNext w:val="0"/>
        <w:keepLines w:val="0"/>
        <w:pageBreakBefore w:val="0"/>
        <w:widowControl w:val="0"/>
        <w:numPr>
          <w:ilvl w:val="1"/>
          <w:numId w:val="18"/>
        </w:numPr>
        <w:tabs>
          <w:tab w:val="left" w:pos="941"/>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6271A58A">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28、签订合同</w:t>
      </w:r>
    </w:p>
    <w:p w14:paraId="4D3DA55A">
      <w:pPr>
        <w:pStyle w:val="30"/>
        <w:keepNext w:val="0"/>
        <w:keepLines w:val="0"/>
        <w:pageBreakBefore w:val="0"/>
        <w:widowControl w:val="0"/>
        <w:numPr>
          <w:ilvl w:val="1"/>
          <w:numId w:val="19"/>
        </w:numPr>
        <w:tabs>
          <w:tab w:val="left" w:pos="941"/>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成交供应商应按照成交通知规定的时间、地点与采购人签订成交合同，否则给采购人造成损失的，谈判供应商还应承担赔偿责任。</w:t>
      </w:r>
    </w:p>
    <w:p w14:paraId="178F707B">
      <w:pPr>
        <w:pStyle w:val="30"/>
        <w:keepNext w:val="0"/>
        <w:keepLines w:val="0"/>
        <w:pageBreakBefore w:val="0"/>
        <w:widowControl w:val="0"/>
        <w:numPr>
          <w:ilvl w:val="1"/>
          <w:numId w:val="19"/>
        </w:numPr>
        <w:tabs>
          <w:tab w:val="left" w:pos="941"/>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履约保证金</w:t>
      </w:r>
      <w:r>
        <w:rPr>
          <w:rFonts w:hint="eastAsia" w:ascii="宋体" w:hAnsi="宋体" w:eastAsia="宋体" w:cs="宋体"/>
          <w:sz w:val="24"/>
          <w:szCs w:val="24"/>
          <w:highlight w:val="none"/>
          <w:lang w:val="en-US"/>
        </w:rPr>
        <w:t>原则上不再缴纳</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rPr>
        <w:t>具体项目由采购人和成交供应商在签订合同时约定（</w:t>
      </w:r>
      <w:r>
        <w:rPr>
          <w:rFonts w:hint="eastAsia" w:ascii="宋体" w:hAnsi="宋体" w:eastAsia="宋体" w:cs="宋体"/>
          <w:sz w:val="24"/>
          <w:szCs w:val="24"/>
          <w:highlight w:val="none"/>
        </w:rPr>
        <w:t>履约完成后履约保证金</w:t>
      </w:r>
      <w:r>
        <w:rPr>
          <w:rFonts w:hint="eastAsia" w:ascii="宋体" w:hAnsi="宋体" w:eastAsia="宋体" w:cs="宋体"/>
          <w:sz w:val="24"/>
          <w:szCs w:val="24"/>
          <w:highlight w:val="none"/>
          <w:lang w:val="en-US"/>
        </w:rPr>
        <w:t>将</w:t>
      </w:r>
      <w:r>
        <w:rPr>
          <w:rFonts w:hint="eastAsia" w:ascii="宋体" w:hAnsi="宋体" w:eastAsia="宋体" w:cs="宋体"/>
          <w:sz w:val="24"/>
          <w:szCs w:val="24"/>
          <w:highlight w:val="none"/>
        </w:rPr>
        <w:t>无息退还</w:t>
      </w:r>
      <w:r>
        <w:rPr>
          <w:rFonts w:hint="eastAsia" w:ascii="宋体" w:hAnsi="宋体" w:eastAsia="宋体" w:cs="宋体"/>
          <w:sz w:val="24"/>
          <w:szCs w:val="24"/>
          <w:highlight w:val="none"/>
          <w:lang w:val="en-US"/>
        </w:rPr>
        <w:t>）</w:t>
      </w:r>
      <w:r>
        <w:rPr>
          <w:rFonts w:hint="eastAsia" w:ascii="宋体" w:hAnsi="宋体" w:eastAsia="宋体" w:cs="宋体"/>
          <w:sz w:val="24"/>
          <w:szCs w:val="24"/>
          <w:highlight w:val="none"/>
        </w:rPr>
        <w:t>。</w:t>
      </w:r>
    </w:p>
    <w:p w14:paraId="6FE92E4A">
      <w:pPr>
        <w:pStyle w:val="30"/>
        <w:keepNext w:val="0"/>
        <w:keepLines w:val="0"/>
        <w:pageBreakBefore w:val="0"/>
        <w:widowControl w:val="0"/>
        <w:numPr>
          <w:ilvl w:val="1"/>
          <w:numId w:val="19"/>
        </w:numPr>
        <w:tabs>
          <w:tab w:val="left" w:pos="941"/>
        </w:tabs>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rPr>
        <w:t>谈判组织人签发的成交通知书、谈判文件、成交供应商的谈判响</w:t>
      </w:r>
      <w:r>
        <w:rPr>
          <w:rFonts w:hint="eastAsia" w:ascii="宋体" w:hAnsi="宋体" w:eastAsia="宋体" w:cs="宋体"/>
          <w:sz w:val="24"/>
          <w:szCs w:val="24"/>
          <w:highlight w:val="none"/>
          <w:lang w:val="en-US"/>
        </w:rPr>
        <w:t>应文件</w:t>
      </w:r>
      <w:bookmarkStart w:id="57" w:name="_bookmark4"/>
      <w:bookmarkEnd w:id="57"/>
      <w:r>
        <w:rPr>
          <w:rFonts w:hint="eastAsia" w:ascii="宋体" w:hAnsi="宋体" w:eastAsia="宋体" w:cs="宋体"/>
          <w:sz w:val="24"/>
          <w:szCs w:val="24"/>
          <w:highlight w:val="none"/>
          <w:lang w:val="en-US"/>
        </w:rPr>
        <w:t>及其澄清文件等，均为签定合同的依据。</w:t>
      </w:r>
    </w:p>
    <w:p w14:paraId="231BCDE3">
      <w:pPr>
        <w:pStyle w:val="30"/>
        <w:keepNext w:val="0"/>
        <w:keepLines w:val="0"/>
        <w:pageBreakBefore w:val="0"/>
        <w:widowControl w:val="0"/>
        <w:numPr>
          <w:ilvl w:val="1"/>
          <w:numId w:val="19"/>
        </w:numPr>
        <w:tabs>
          <w:tab w:val="left" w:pos="941"/>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签订合同后，成交供应商不得将本项目及其他相关服务进行转包，并附不转包承诺。未经采购人同意，成交供应商不得采用分包的形式履行合同。否则采购人有权终止合同。转包或分包造成采购人损失的，成交供应商还应承担相应赔偿责任。</w:t>
      </w:r>
    </w:p>
    <w:p w14:paraId="0791717E">
      <w:pPr>
        <w:pStyle w:val="30"/>
        <w:keepNext w:val="0"/>
        <w:keepLines w:val="0"/>
        <w:pageBreakBefore w:val="0"/>
        <w:widowControl w:val="0"/>
        <w:numPr>
          <w:ilvl w:val="1"/>
          <w:numId w:val="19"/>
        </w:numPr>
        <w:tabs>
          <w:tab w:val="left" w:pos="941"/>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如最终用户或成交供应商拒签合同，则按违约处理。</w:t>
      </w:r>
      <w:r>
        <w:rPr>
          <w:rFonts w:hint="eastAsia" w:ascii="宋体" w:hAnsi="宋体" w:eastAsia="宋体" w:cs="宋体"/>
          <w:sz w:val="24"/>
          <w:szCs w:val="24"/>
          <w:highlight w:val="none"/>
          <w:lang w:val="en-US"/>
        </w:rPr>
        <w:t>采购</w:t>
      </w:r>
      <w:r>
        <w:rPr>
          <w:rFonts w:hint="eastAsia" w:ascii="宋体" w:hAnsi="宋体" w:eastAsia="宋体" w:cs="宋体"/>
          <w:sz w:val="24"/>
          <w:szCs w:val="24"/>
          <w:highlight w:val="none"/>
        </w:rPr>
        <w:t>人对违约方收取成交金额</w:t>
      </w:r>
      <w:r>
        <w:rPr>
          <w:rFonts w:hint="eastAsia" w:ascii="宋体" w:hAnsi="宋体" w:eastAsia="宋体" w:cs="宋体"/>
          <w:spacing w:val="2"/>
          <w:sz w:val="24"/>
          <w:szCs w:val="24"/>
          <w:highlight w:val="none"/>
          <w:lang w:val="en-US"/>
        </w:rPr>
        <w:t>一定数额</w:t>
      </w:r>
      <w:r>
        <w:rPr>
          <w:rFonts w:hint="eastAsia" w:ascii="宋体" w:hAnsi="宋体" w:eastAsia="宋体" w:cs="宋体"/>
          <w:sz w:val="24"/>
          <w:szCs w:val="24"/>
          <w:highlight w:val="none"/>
        </w:rPr>
        <w:t>的违约金（</w:t>
      </w:r>
      <w:r>
        <w:rPr>
          <w:rFonts w:hint="eastAsia" w:ascii="宋体" w:hAnsi="宋体" w:eastAsia="宋体" w:cs="宋体"/>
          <w:sz w:val="24"/>
          <w:szCs w:val="24"/>
          <w:highlight w:val="none"/>
          <w:lang w:val="en-US"/>
        </w:rPr>
        <w:t>不超过成交金额的2%</w:t>
      </w:r>
      <w:r>
        <w:rPr>
          <w:rFonts w:hint="eastAsia" w:ascii="宋体" w:hAnsi="宋体" w:eastAsia="宋体" w:cs="宋体"/>
          <w:sz w:val="24"/>
          <w:szCs w:val="24"/>
          <w:highlight w:val="none"/>
        </w:rPr>
        <w:t>）。</w:t>
      </w:r>
    </w:p>
    <w:p w14:paraId="5CE7439B">
      <w:pPr>
        <w:pStyle w:val="30"/>
        <w:keepNext w:val="0"/>
        <w:keepLines w:val="0"/>
        <w:pageBreakBefore w:val="0"/>
        <w:widowControl w:val="0"/>
        <w:numPr>
          <w:ilvl w:val="1"/>
          <w:numId w:val="19"/>
        </w:numPr>
        <w:tabs>
          <w:tab w:val="left" w:pos="941"/>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如成交供应商拒签合同，</w:t>
      </w:r>
      <w:r>
        <w:rPr>
          <w:rFonts w:hint="eastAsia" w:ascii="宋体" w:hAnsi="宋体" w:eastAsia="宋体" w:cs="宋体"/>
          <w:sz w:val="24"/>
          <w:szCs w:val="24"/>
          <w:highlight w:val="none"/>
          <w:lang w:val="en-US"/>
        </w:rPr>
        <w:t>采购人</w:t>
      </w:r>
      <w:r>
        <w:rPr>
          <w:rFonts w:hint="eastAsia" w:ascii="宋体" w:hAnsi="宋体" w:eastAsia="宋体" w:cs="宋体"/>
          <w:sz w:val="24"/>
          <w:szCs w:val="24"/>
          <w:highlight w:val="none"/>
        </w:rPr>
        <w:t>可</w:t>
      </w:r>
      <w:r>
        <w:rPr>
          <w:rFonts w:hint="eastAsia" w:ascii="宋体" w:hAnsi="宋体" w:eastAsia="宋体" w:cs="宋体"/>
          <w:sz w:val="24"/>
          <w:szCs w:val="24"/>
          <w:highlight w:val="none"/>
          <w:lang w:val="en-US"/>
        </w:rPr>
        <w:t>依次递补下一名</w:t>
      </w:r>
      <w:r>
        <w:rPr>
          <w:rFonts w:hint="eastAsia" w:ascii="宋体" w:hAnsi="宋体" w:eastAsia="宋体" w:cs="宋体"/>
          <w:sz w:val="24"/>
          <w:szCs w:val="24"/>
          <w:highlight w:val="none"/>
        </w:rPr>
        <w:t>成交</w:t>
      </w:r>
      <w:r>
        <w:rPr>
          <w:rFonts w:hint="eastAsia" w:ascii="宋体" w:hAnsi="宋体" w:eastAsia="宋体" w:cs="宋体"/>
          <w:sz w:val="24"/>
          <w:szCs w:val="24"/>
          <w:highlight w:val="none"/>
          <w:lang w:val="en-US"/>
        </w:rPr>
        <w:t>候选人或依法进行二次邀请谈判</w:t>
      </w:r>
      <w:r>
        <w:rPr>
          <w:rFonts w:hint="eastAsia" w:ascii="宋体" w:hAnsi="宋体" w:eastAsia="宋体" w:cs="宋体"/>
          <w:sz w:val="24"/>
          <w:szCs w:val="24"/>
          <w:highlight w:val="none"/>
        </w:rPr>
        <w:t>。</w:t>
      </w:r>
    </w:p>
    <w:p w14:paraId="2BA32E0A">
      <w:pPr>
        <w:pStyle w:val="30"/>
        <w:keepNext w:val="0"/>
        <w:keepLines w:val="0"/>
        <w:pageBreakBefore w:val="0"/>
        <w:widowControl w:val="0"/>
        <w:numPr>
          <w:ilvl w:val="0"/>
          <w:numId w:val="0"/>
        </w:numPr>
        <w:tabs>
          <w:tab w:val="left" w:pos="941"/>
        </w:tabs>
        <w:kinsoku/>
        <w:wordWrap/>
        <w:overflowPunct/>
        <w:topLinePunct w:val="0"/>
        <w:autoSpaceDE w:val="0"/>
        <w:autoSpaceDN w:val="0"/>
        <w:bidi w:val="0"/>
        <w:adjustRightInd w:val="0"/>
        <w:snapToGrid w:val="0"/>
        <w:spacing w:line="360" w:lineRule="auto"/>
        <w:ind w:left="0" w:leftChars="0" w:firstLine="439" w:firstLineChars="183"/>
        <w:jc w:val="both"/>
        <w:textAlignment w:val="auto"/>
        <w:rPr>
          <w:rFonts w:hint="eastAsia" w:ascii="宋体" w:hAnsi="宋体" w:eastAsia="宋体" w:cs="宋体"/>
          <w:sz w:val="24"/>
          <w:szCs w:val="24"/>
          <w:highlight w:val="none"/>
        </w:rPr>
      </w:pPr>
      <w:r>
        <w:rPr>
          <w:rFonts w:hint="eastAsia" w:asciiTheme="minorEastAsia" w:hAnsiTheme="minorEastAsia" w:eastAsiaTheme="minorEastAsia"/>
          <w:sz w:val="24"/>
          <w:szCs w:val="24"/>
          <w:highlight w:val="none"/>
          <w:lang w:val="en-US" w:eastAsia="zh-CN"/>
        </w:rPr>
        <w:t>28.7</w:t>
      </w:r>
      <w:r>
        <w:rPr>
          <w:rFonts w:hint="eastAsia" w:ascii="宋体" w:hAnsi="宋体" w:eastAsia="宋体" w:cs="宋体"/>
          <w:sz w:val="24"/>
          <w:szCs w:val="24"/>
          <w:highlight w:val="none"/>
          <w:lang w:val="en-US"/>
        </w:rPr>
        <w:t>供应商就按照谈判文件要求的供货期签订合同，并对供货期做出单独承诺，否则视为不响应。</w:t>
      </w:r>
    </w:p>
    <w:p w14:paraId="2F13BF4F">
      <w:pPr>
        <w:pStyle w:val="30"/>
        <w:keepNext w:val="0"/>
        <w:keepLines w:val="0"/>
        <w:pageBreakBefore w:val="0"/>
        <w:widowControl w:val="0"/>
        <w:tabs>
          <w:tab w:val="left" w:pos="941"/>
        </w:tabs>
        <w:kinsoku/>
        <w:wordWrap/>
        <w:overflowPunct/>
        <w:topLinePunct w:val="0"/>
        <w:autoSpaceDE w:val="0"/>
        <w:autoSpaceDN w:val="0"/>
        <w:bidi w:val="0"/>
        <w:adjustRightInd w:val="0"/>
        <w:snapToGrid w:val="0"/>
        <w:spacing w:line="360" w:lineRule="auto"/>
        <w:ind w:left="480" w:firstLine="0"/>
        <w:jc w:val="both"/>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29.技术响应说明</w:t>
      </w:r>
    </w:p>
    <w:p w14:paraId="25E454FF">
      <w:pPr>
        <w:keepNext w:val="0"/>
        <w:keepLines w:val="0"/>
        <w:pageBreakBefore w:val="0"/>
        <w:widowControl w:val="0"/>
        <w:tabs>
          <w:tab w:val="left" w:pos="941"/>
        </w:tabs>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142D90FC">
      <w:pPr>
        <w:keepNext w:val="0"/>
        <w:keepLines w:val="0"/>
        <w:pageBreakBefore w:val="0"/>
        <w:widowControl w:val="0"/>
        <w:kinsoku/>
        <w:wordWrap/>
        <w:overflowPunct/>
        <w:topLinePunct w:val="0"/>
        <w:autoSpaceDE w:val="0"/>
        <w:autoSpaceDN w:val="0"/>
        <w:bidi w:val="0"/>
        <w:spacing w:line="360" w:lineRule="auto"/>
        <w:ind w:firstLine="549"/>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30未尽事宜</w:t>
      </w:r>
    </w:p>
    <w:p w14:paraId="0A7E1C08">
      <w:pPr>
        <w:keepNext w:val="0"/>
        <w:keepLines w:val="0"/>
        <w:pageBreakBefore w:val="0"/>
        <w:widowControl w:val="0"/>
        <w:kinsoku/>
        <w:wordWrap/>
        <w:overflowPunct/>
        <w:topLinePunct w:val="0"/>
        <w:autoSpaceDE w:val="0"/>
        <w:autoSpaceDN w:val="0"/>
        <w:bidi w:val="0"/>
        <w:spacing w:line="360" w:lineRule="auto"/>
        <w:ind w:firstLine="549"/>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30.1</w:t>
      </w:r>
      <w:r>
        <w:rPr>
          <w:rFonts w:hint="eastAsia" w:ascii="宋体" w:hAnsi="宋体" w:eastAsia="宋体" w:cs="宋体"/>
          <w:sz w:val="24"/>
          <w:szCs w:val="24"/>
          <w:highlight w:val="none"/>
        </w:rPr>
        <w:t>按《中华人民共和国政府采购法》、</w:t>
      </w:r>
      <w:r>
        <w:rPr>
          <w:rFonts w:hint="eastAsia" w:ascii="宋体" w:hAnsi="宋体" w:eastAsia="宋体" w:cs="宋体"/>
          <w:sz w:val="24"/>
          <w:szCs w:val="24"/>
          <w:highlight w:val="none"/>
          <w:lang w:val="en-US"/>
        </w:rPr>
        <w:t>《政府采购非招标采购方式管理办法》及其他有关法律法规的规定执行。</w:t>
      </w:r>
    </w:p>
    <w:p w14:paraId="4A956422">
      <w:pPr>
        <w:keepNext w:val="0"/>
        <w:keepLines w:val="0"/>
        <w:pageBreakBefore w:val="0"/>
        <w:widowControl w:val="0"/>
        <w:kinsoku/>
        <w:wordWrap/>
        <w:overflowPunct/>
        <w:topLinePunct w:val="0"/>
        <w:autoSpaceDE w:val="0"/>
        <w:autoSpaceDN w:val="0"/>
        <w:bidi w:val="0"/>
        <w:spacing w:line="360" w:lineRule="auto"/>
        <w:ind w:firstLine="549"/>
        <w:textAlignment w:val="auto"/>
        <w:rPr>
          <w:rFonts w:hint="eastAsia" w:ascii="宋体" w:hAnsi="宋体" w:eastAsia="宋体" w:cs="宋体"/>
          <w:bCs/>
          <w:sz w:val="24"/>
          <w:szCs w:val="24"/>
          <w:highlight w:val="none"/>
        </w:rPr>
      </w:pPr>
      <w:r>
        <w:rPr>
          <w:rFonts w:hint="eastAsia" w:ascii="宋体" w:hAnsi="宋体" w:eastAsia="宋体" w:cs="宋体"/>
          <w:b/>
          <w:sz w:val="24"/>
          <w:szCs w:val="24"/>
          <w:highlight w:val="none"/>
          <w:lang w:val="en-US"/>
        </w:rPr>
        <w:t>31</w:t>
      </w:r>
      <w:r>
        <w:rPr>
          <w:rFonts w:hint="eastAsia" w:ascii="宋体" w:hAnsi="宋体" w:eastAsia="宋体" w:cs="宋体"/>
          <w:b/>
          <w:sz w:val="24"/>
          <w:szCs w:val="24"/>
          <w:highlight w:val="none"/>
        </w:rPr>
        <w:t>.解释权</w:t>
      </w:r>
    </w:p>
    <w:p w14:paraId="0A5A4442">
      <w:pPr>
        <w:pStyle w:val="18"/>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本</w:t>
      </w:r>
      <w:r>
        <w:rPr>
          <w:rFonts w:hint="eastAsia" w:ascii="宋体" w:hAnsi="宋体" w:eastAsia="宋体" w:cs="宋体"/>
          <w:bCs/>
          <w:sz w:val="24"/>
          <w:szCs w:val="24"/>
          <w:highlight w:val="none"/>
          <w:lang w:val="en-US"/>
        </w:rPr>
        <w:t>谈判</w:t>
      </w:r>
      <w:r>
        <w:rPr>
          <w:rFonts w:hint="eastAsia" w:ascii="宋体" w:hAnsi="宋体" w:eastAsia="宋体" w:cs="宋体"/>
          <w:bCs/>
          <w:sz w:val="24"/>
          <w:szCs w:val="24"/>
          <w:highlight w:val="none"/>
        </w:rPr>
        <w:t>文件的解释权属于</w:t>
      </w:r>
      <w:r>
        <w:rPr>
          <w:rFonts w:hint="eastAsia" w:ascii="宋体" w:hAnsi="宋体" w:eastAsia="宋体" w:cs="宋体"/>
          <w:bCs/>
          <w:sz w:val="24"/>
          <w:szCs w:val="24"/>
          <w:highlight w:val="none"/>
          <w:lang w:val="en-US"/>
        </w:rPr>
        <w:t>采购人</w:t>
      </w:r>
      <w:r>
        <w:rPr>
          <w:rFonts w:hint="eastAsia" w:ascii="宋体" w:hAnsi="宋体" w:eastAsia="宋体" w:cs="宋体"/>
          <w:bCs/>
          <w:sz w:val="24"/>
          <w:szCs w:val="24"/>
          <w:highlight w:val="none"/>
        </w:rPr>
        <w:t>。</w:t>
      </w:r>
    </w:p>
    <w:p w14:paraId="1920EDF1">
      <w:pPr>
        <w:pStyle w:val="5"/>
        <w:keepNext w:val="0"/>
        <w:keepLines w:val="0"/>
        <w:pageBreakBefore w:val="0"/>
        <w:widowControl w:val="0"/>
        <w:tabs>
          <w:tab w:val="left" w:pos="1607"/>
        </w:tabs>
        <w:kinsoku/>
        <w:wordWrap/>
        <w:overflowPunct/>
        <w:topLinePunct w:val="0"/>
        <w:autoSpaceDE w:val="0"/>
        <w:autoSpaceDN w:val="0"/>
        <w:bidi w:val="0"/>
        <w:spacing w:before="0" w:line="360" w:lineRule="auto"/>
        <w:textAlignment w:val="auto"/>
        <w:rPr>
          <w:rFonts w:hint="eastAsia" w:ascii="宋体" w:hAnsi="宋体" w:eastAsia="宋体" w:cs="宋体"/>
          <w:sz w:val="24"/>
          <w:szCs w:val="24"/>
          <w:highlight w:val="none"/>
        </w:rPr>
      </w:pPr>
    </w:p>
    <w:p w14:paraId="3E307EE5">
      <w:pPr>
        <w:jc w:val="both"/>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7A77ECF8">
      <w:pPr>
        <w:pStyle w:val="5"/>
        <w:keepNext w:val="0"/>
        <w:keepLines w:val="0"/>
        <w:pageBreakBefore w:val="0"/>
        <w:widowControl w:val="0"/>
        <w:tabs>
          <w:tab w:val="left" w:pos="1607"/>
        </w:tabs>
        <w:kinsoku/>
        <w:wordWrap/>
        <w:overflowPunct/>
        <w:topLinePunct w:val="0"/>
        <w:autoSpaceDE w:val="0"/>
        <w:autoSpaceDN w:val="0"/>
        <w:bidi w:val="0"/>
        <w:spacing w:before="0" w:line="360" w:lineRule="auto"/>
        <w:textAlignment w:val="auto"/>
        <w:rPr>
          <w:rFonts w:hint="eastAsia" w:cs="宋体" w:asciiTheme="minorEastAsia" w:hAnsiTheme="minorEastAsia" w:eastAsiaTheme="minorEastAsia"/>
          <w:b/>
          <w:bCs/>
          <w:sz w:val="32"/>
          <w:szCs w:val="32"/>
          <w:highlight w:val="none"/>
          <w:lang w:val="zh-CN" w:eastAsia="zh-CN" w:bidi="zh-CN"/>
        </w:rPr>
      </w:pPr>
      <w:r>
        <w:rPr>
          <w:rFonts w:hint="eastAsia" w:cs="宋体" w:asciiTheme="minorEastAsia" w:hAnsiTheme="minorEastAsia" w:eastAsiaTheme="minorEastAsia"/>
          <w:b/>
          <w:bCs/>
          <w:sz w:val="32"/>
          <w:szCs w:val="32"/>
          <w:highlight w:val="none"/>
          <w:lang w:val="zh-CN" w:eastAsia="zh-CN" w:bidi="zh-CN"/>
        </w:rPr>
        <w:t>第三部分</w:t>
      </w:r>
      <w:r>
        <w:rPr>
          <w:rFonts w:hint="eastAsia" w:cs="宋体" w:asciiTheme="minorEastAsia" w:hAnsiTheme="minorEastAsia" w:eastAsiaTheme="minorEastAsia"/>
          <w:b/>
          <w:bCs/>
          <w:sz w:val="32"/>
          <w:szCs w:val="32"/>
          <w:highlight w:val="none"/>
          <w:lang w:val="zh-CN" w:eastAsia="zh-CN" w:bidi="zh-CN"/>
        </w:rPr>
        <w:tab/>
      </w:r>
      <w:r>
        <w:rPr>
          <w:rFonts w:hint="eastAsia" w:cs="宋体" w:asciiTheme="minorEastAsia" w:hAnsiTheme="minorEastAsia" w:eastAsiaTheme="minorEastAsia"/>
          <w:b/>
          <w:bCs/>
          <w:sz w:val="32"/>
          <w:szCs w:val="32"/>
          <w:highlight w:val="none"/>
          <w:lang w:val="zh-CN" w:eastAsia="zh-CN" w:bidi="zh-CN"/>
        </w:rPr>
        <w:t>谈判项目要求</w:t>
      </w:r>
    </w:p>
    <w:p w14:paraId="06ABC77B">
      <w:pPr>
        <w:pStyle w:val="9"/>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b/>
          <w:sz w:val="24"/>
          <w:szCs w:val="24"/>
          <w:highlight w:val="none"/>
        </w:rPr>
      </w:pPr>
    </w:p>
    <w:p w14:paraId="7C443AD5">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26" w:firstLineChars="200"/>
        <w:jc w:val="both"/>
        <w:textAlignment w:val="auto"/>
        <w:rPr>
          <w:rFonts w:hint="eastAsia" w:ascii="宋体" w:hAnsi="宋体" w:eastAsia="宋体" w:cs="宋体"/>
          <w:b/>
          <w:spacing w:val="-14"/>
          <w:sz w:val="24"/>
          <w:szCs w:val="24"/>
          <w:highlight w:val="none"/>
        </w:rPr>
      </w:pPr>
      <w:r>
        <w:rPr>
          <w:rFonts w:hint="eastAsia" w:ascii="宋体" w:hAnsi="宋体" w:eastAsia="宋体" w:cs="宋体"/>
          <w:b/>
          <w:spacing w:val="-14"/>
          <w:sz w:val="24"/>
          <w:szCs w:val="24"/>
          <w:highlight w:val="none"/>
        </w:rPr>
        <w:t>一、供应商资格要求：（见部一部分）</w:t>
      </w:r>
    </w:p>
    <w:p w14:paraId="02235F43">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24" w:firstLineChars="200"/>
        <w:textAlignment w:val="auto"/>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二、</w:t>
      </w:r>
      <w:r>
        <w:rPr>
          <w:rFonts w:hint="eastAsia" w:ascii="宋体" w:hAnsi="宋体" w:eastAsia="宋体" w:cs="宋体"/>
          <w:sz w:val="24"/>
          <w:szCs w:val="24"/>
          <w:highlight w:val="none"/>
        </w:rPr>
        <w:t>除谈判文件有规定外，谈判供应商对项目只允许有一个报价，谈判组织人和采购人不接受有任何选择的报价响应。</w:t>
      </w:r>
    </w:p>
    <w:p w14:paraId="4A917046">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74AA901B">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w:t>
      </w:r>
      <w:r>
        <w:rPr>
          <w:rFonts w:hint="eastAsia" w:ascii="宋体" w:hAnsi="宋体" w:eastAsia="宋体" w:cs="宋体"/>
          <w:sz w:val="24"/>
          <w:szCs w:val="24"/>
          <w:highlight w:val="none"/>
          <w:lang w:val="en-US"/>
        </w:rPr>
        <w:t>供货</w:t>
      </w:r>
      <w:r>
        <w:rPr>
          <w:rFonts w:hint="eastAsia" w:ascii="宋体" w:hAnsi="宋体" w:eastAsia="宋体" w:cs="宋体"/>
          <w:sz w:val="24"/>
          <w:szCs w:val="24"/>
          <w:highlight w:val="none"/>
        </w:rPr>
        <w:t>地点：采购人指定地点。</w:t>
      </w:r>
    </w:p>
    <w:p w14:paraId="7B28CEA6">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五、验收：由</w:t>
      </w:r>
      <w:r>
        <w:rPr>
          <w:rFonts w:hint="eastAsia" w:ascii="宋体" w:hAnsi="宋体" w:eastAsia="宋体" w:cs="宋体"/>
          <w:sz w:val="24"/>
          <w:szCs w:val="24"/>
          <w:highlight w:val="none"/>
          <w:lang w:val="en-US"/>
        </w:rPr>
        <w:t>采购人</w:t>
      </w:r>
      <w:r>
        <w:rPr>
          <w:rFonts w:hint="eastAsia" w:ascii="宋体" w:hAnsi="宋体" w:eastAsia="宋体" w:cs="宋体"/>
          <w:sz w:val="24"/>
          <w:szCs w:val="24"/>
          <w:highlight w:val="none"/>
        </w:rPr>
        <w:t>组织验收。</w:t>
      </w:r>
    </w:p>
    <w:p w14:paraId="0F5CDAEA">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六、付款方式：</w:t>
      </w:r>
      <w:r>
        <w:rPr>
          <w:rFonts w:hint="eastAsia" w:ascii="宋体" w:hAnsi="宋体" w:eastAsia="宋体" w:cs="宋体"/>
          <w:sz w:val="24"/>
          <w:szCs w:val="24"/>
          <w:highlight w:val="none"/>
          <w:lang w:eastAsia="zh-CN"/>
        </w:rPr>
        <w:t>验收合格后</w:t>
      </w:r>
      <w:r>
        <w:rPr>
          <w:rFonts w:hint="eastAsia" w:ascii="宋体" w:hAnsi="宋体" w:eastAsia="宋体" w:cs="宋体"/>
          <w:sz w:val="24"/>
          <w:szCs w:val="24"/>
          <w:highlight w:val="none"/>
          <w:lang w:val="en-US" w:eastAsia="zh-CN"/>
        </w:rPr>
        <w:t>一次性付清。</w:t>
      </w:r>
    </w:p>
    <w:p w14:paraId="34EACA8B">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七、本项目不接受联合体参与。</w:t>
      </w:r>
    </w:p>
    <w:p w14:paraId="547FE1B8">
      <w:pPr>
        <w:pStyle w:val="9"/>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zh-CN"/>
        </w:rPr>
      </w:pPr>
      <w:r>
        <w:rPr>
          <w:rFonts w:hint="eastAsia" w:ascii="宋体" w:hAnsi="宋体" w:eastAsia="宋体" w:cs="宋体"/>
          <w:sz w:val="24"/>
          <w:szCs w:val="24"/>
          <w:highlight w:val="none"/>
        </w:rPr>
        <w:t>八、项目其他要求：</w:t>
      </w:r>
      <w:r>
        <w:rPr>
          <w:rFonts w:hint="eastAsia" w:ascii="宋体" w:hAnsi="宋体" w:eastAsia="宋体" w:cs="宋体"/>
          <w:sz w:val="24"/>
          <w:szCs w:val="24"/>
          <w:highlight w:val="none"/>
          <w:lang w:val="en-US" w:eastAsia="zh-CN" w:bidi="zh-CN"/>
        </w:rPr>
        <w:t>无</w:t>
      </w:r>
    </w:p>
    <w:p w14:paraId="441338E3">
      <w:pPr>
        <w:pStyle w:val="18"/>
        <w:ind w:firstLine="2249" w:firstLineChars="700"/>
        <w:rPr>
          <w:rFonts w:hint="eastAsia" w:asciiTheme="minorEastAsia" w:hAnsiTheme="minorEastAsia" w:eastAsiaTheme="minorEastAsia"/>
          <w:b/>
          <w:bCs/>
          <w:sz w:val="32"/>
          <w:szCs w:val="32"/>
          <w:highlight w:val="none"/>
          <w:lang w:val="en-US"/>
        </w:rPr>
      </w:pPr>
    </w:p>
    <w:p w14:paraId="43F70C60">
      <w:pPr>
        <w:pStyle w:val="18"/>
        <w:ind w:firstLine="2249" w:firstLineChars="700"/>
        <w:rPr>
          <w:rFonts w:hint="eastAsia" w:asciiTheme="minorEastAsia" w:hAnsiTheme="minorEastAsia" w:eastAsiaTheme="minorEastAsia"/>
          <w:b/>
          <w:bCs/>
          <w:sz w:val="32"/>
          <w:szCs w:val="32"/>
          <w:highlight w:val="none"/>
          <w:lang w:val="en-US"/>
        </w:rPr>
      </w:pPr>
    </w:p>
    <w:p w14:paraId="2263DCA3">
      <w:pPr>
        <w:pStyle w:val="18"/>
        <w:ind w:firstLine="2249" w:firstLineChars="700"/>
        <w:rPr>
          <w:rFonts w:hint="eastAsia" w:asciiTheme="minorEastAsia" w:hAnsiTheme="minorEastAsia" w:eastAsiaTheme="minorEastAsia"/>
          <w:b/>
          <w:bCs/>
          <w:sz w:val="32"/>
          <w:szCs w:val="32"/>
          <w:highlight w:val="none"/>
          <w:lang w:val="en-US"/>
        </w:rPr>
      </w:pPr>
    </w:p>
    <w:p w14:paraId="6D5331B4">
      <w:pPr>
        <w:rPr>
          <w:rFonts w:hint="eastAsia" w:asciiTheme="minorEastAsia" w:hAnsiTheme="minorEastAsia" w:eastAsiaTheme="minorEastAsia"/>
          <w:b/>
          <w:bCs/>
          <w:sz w:val="32"/>
          <w:szCs w:val="32"/>
          <w:highlight w:val="none"/>
          <w:lang w:val="en-US"/>
        </w:rPr>
      </w:pPr>
      <w:r>
        <w:rPr>
          <w:rFonts w:hint="eastAsia" w:asciiTheme="minorEastAsia" w:hAnsiTheme="minorEastAsia" w:eastAsiaTheme="minorEastAsia"/>
          <w:b/>
          <w:bCs/>
          <w:sz w:val="32"/>
          <w:szCs w:val="32"/>
          <w:highlight w:val="none"/>
          <w:lang w:val="en-US"/>
        </w:rPr>
        <w:br w:type="page"/>
      </w:r>
    </w:p>
    <w:p w14:paraId="14930C59">
      <w:pPr>
        <w:pStyle w:val="18"/>
        <w:ind w:firstLine="2249" w:firstLineChars="700"/>
        <w:rPr>
          <w:rFonts w:hint="eastAsia"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lang w:val="en-US"/>
        </w:rPr>
        <w:t xml:space="preserve">第四部分    </w:t>
      </w:r>
      <w:r>
        <w:rPr>
          <w:rFonts w:hint="eastAsia" w:asciiTheme="minorEastAsia" w:hAnsiTheme="minorEastAsia" w:eastAsiaTheme="minorEastAsia"/>
          <w:b/>
          <w:bCs/>
          <w:sz w:val="32"/>
          <w:szCs w:val="32"/>
          <w:highlight w:val="none"/>
        </w:rPr>
        <w:t>项目内容及技术要求</w:t>
      </w:r>
    </w:p>
    <w:p w14:paraId="525449E3">
      <w:pPr>
        <w:pStyle w:val="18"/>
        <w:ind w:firstLine="2249" w:firstLineChars="700"/>
        <w:rPr>
          <w:rFonts w:hint="eastAsia" w:asciiTheme="minorEastAsia" w:hAnsiTheme="minorEastAsia" w:eastAsiaTheme="minorEastAsia"/>
          <w:b/>
          <w:bCs/>
          <w:sz w:val="32"/>
          <w:szCs w:val="32"/>
          <w:highlight w:val="none"/>
          <w:lang w:val="en-US"/>
        </w:rPr>
      </w:pPr>
    </w:p>
    <w:tbl>
      <w:tblPr>
        <w:tblStyle w:val="22"/>
        <w:tblW w:w="96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8"/>
        <w:gridCol w:w="1054"/>
        <w:gridCol w:w="6206"/>
        <w:gridCol w:w="821"/>
        <w:gridCol w:w="946"/>
      </w:tblGrid>
      <w:tr w14:paraId="7D043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605" w:type="dxa"/>
            <w:gridSpan w:val="5"/>
            <w:tcBorders>
              <w:top w:val="single" w:color="000000" w:sz="4" w:space="0"/>
              <w:left w:val="single" w:color="000000" w:sz="4" w:space="0"/>
              <w:bottom w:val="single" w:color="000000" w:sz="4" w:space="0"/>
              <w:right w:val="single" w:color="000000" w:sz="4" w:space="0"/>
            </w:tcBorders>
            <w:noWrap/>
            <w:vAlign w:val="center"/>
          </w:tcPr>
          <w:p w14:paraId="5096458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sz w:val="21"/>
                <w:szCs w:val="21"/>
                <w:highlight w:val="none"/>
                <w:u w:val="none"/>
              </w:rPr>
              <w:t>清单</w:t>
            </w:r>
          </w:p>
        </w:tc>
      </w:tr>
      <w:tr w14:paraId="6299D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7EA0436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666A9DF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设备</w:t>
            </w:r>
          </w:p>
          <w:p w14:paraId="41945B0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名称</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17515D2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规格要求</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4C0291B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0FF558C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数量</w:t>
            </w:r>
          </w:p>
        </w:tc>
      </w:tr>
      <w:tr w14:paraId="167CD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0203903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5207F48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常态录播设备</w:t>
            </w:r>
            <w:r>
              <w:rPr>
                <w:rFonts w:hint="eastAsia" w:cs="宋体"/>
                <w:i w:val="0"/>
                <w:iCs w:val="0"/>
                <w:color w:val="000000"/>
                <w:kern w:val="0"/>
                <w:sz w:val="21"/>
                <w:szCs w:val="21"/>
                <w:highlight w:val="none"/>
                <w:u w:val="none"/>
                <w:lang w:val="en-US" w:eastAsia="zh-CN" w:bidi="ar"/>
              </w:rPr>
              <w:t>（核心产品）</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349E0F2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一、互动录播电脑主机</w:t>
            </w:r>
          </w:p>
          <w:p w14:paraId="7E2464C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 主机需采用ARM架构处理器，具备8核CPU，Linux操作系统；不少于4个主频2.4GHz芯片，4个主频1.8GHz芯片。</w:t>
            </w:r>
          </w:p>
          <w:p w14:paraId="6066D69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 主机存储容量不低于1TB。</w:t>
            </w:r>
          </w:p>
          <w:p w14:paraId="7A3922C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 内置蓝牙无线物联模块，主机无需线缆就可以实现对同品牌音箱的音量控制，也可通过同品牌讲台实现对主机开关机控制。</w:t>
            </w:r>
          </w:p>
          <w:p w14:paraId="3C55034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 支持标准USB音视频信号输出，通过主机TypeC接口可以实现图像和声音同步输出，支持不小于4K图像输出，输出音频可通过主机控制软件实现混音，兼容主流视频会议软件。</w:t>
            </w:r>
          </w:p>
          <w:p w14:paraId="403F6E5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 标配壁装支架，可通过转轴实现翻转，便于接插线和维护。</w:t>
            </w:r>
          </w:p>
          <w:p w14:paraId="2EB73BF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 主机采用高度集成化设计，能够独立完成视频采集、音频采集、音频编码、视频编码、音频处理、视频处理、直播、录制、互动、远程运维参数设置功能。</w:t>
            </w:r>
          </w:p>
          <w:p w14:paraId="0860269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 内置音频接收模块。无需外接无线音频接收模块，即可完成无线音频采集，支持同时≥2个无线麦克风接入，且同时支持≥2种对频模式。</w:t>
            </w:r>
          </w:p>
          <w:p w14:paraId="35B7CB3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 支持断电扩声，在主机完全断电的情况下，从主机线性音频通道上输入的音频可以从主机输出通道输出，且≥2个音频输入通道可以支持该功能，满足全场景的教学使用需求。</w:t>
            </w:r>
          </w:p>
          <w:p w14:paraId="2552BD6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 支持≥2个HDMI高清采集接口，支持分辨率包含：3840×2160p@30Hz、1920×1080p@60Hz、1920×1080p@30Hz、1680×1050p@30Hz、1600×900p@30Hz、1400×1050p@30Hz、1280×1024p@30Hz、1280×1024p@60Hz、1280×960p@30Hz、1280×800p@30Hz、1280×720p@60Hz、1280×720p@30Hz、720×480p@60Hz、640×480p@30Hz 。</w:t>
            </w:r>
          </w:p>
          <w:p w14:paraId="3BA8DB7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 支持≥1路HDMI输入通道具备音频同步采集能力，可通过系统设置音频采集打开或者关闭。</w:t>
            </w:r>
          </w:p>
          <w:p w14:paraId="76CB6A0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 支持≥4路高清视频输出，视频输出可同一时间输出不同视频源，且输出分辨率不小于4K，其中HDMI信号输出≥3路且UVC视频输出≥1路。</w:t>
            </w:r>
          </w:p>
          <w:p w14:paraId="3BEBE4C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12. 支持≥5个RJ45接口，其中≥3个支持POE。</w:t>
            </w:r>
          </w:p>
          <w:p w14:paraId="573D4D9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 支持≥2个线路立体声音频输入。</w:t>
            </w:r>
          </w:p>
          <w:p w14:paraId="0AF5E3F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14. 支持≥2个线路立体声音频输出，可独立设置任意一个输出接口的混音模式。</w:t>
            </w:r>
          </w:p>
          <w:p w14:paraId="064EAA8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15. 支持≥1个阵列麦克风输入接口，可在不接入音频处理器的情况下，通过网线就可以完成阵列麦克风接入主机，通过网线可以实现麦克风的供电、音频信号传输、音频参数设置，支持数字音频传输。</w:t>
            </w:r>
          </w:p>
          <w:p w14:paraId="669940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16. 支持≥5个USB类型接口，其中USB-A接口≥3个，Type-C接口≥2个。</w:t>
            </w:r>
          </w:p>
          <w:p w14:paraId="423F862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17. 主机采用多功能电源按键，通过一个按键可以实现开机、关机、节能待机。</w:t>
            </w:r>
          </w:p>
          <w:p w14:paraId="7F5D673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18. 支持双HDMI画面采集，采集画面可在主机上完成拼接，输出比例32:9画面。</w:t>
            </w:r>
          </w:p>
          <w:p w14:paraId="5F336EC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19. 支持AAC音频编码协议。</w:t>
            </w:r>
          </w:p>
          <w:p w14:paraId="3C8D1FC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 支持硬件复位功能，可通过Reset复位键实现整机复位。</w:t>
            </w:r>
          </w:p>
          <w:p w14:paraId="1E12294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21. 支持接入标准USB声卡，实现USB双向音频通信。</w:t>
            </w:r>
          </w:p>
          <w:p w14:paraId="071F036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22. 支持双网卡设计，摄像机可在独立网段单独工作，不影响原有网络。</w:t>
            </w:r>
          </w:p>
          <w:p w14:paraId="126E857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23. 支持检测摄像机接入状态，可根据摄像机在线离线状态自动实现状态更新。</w:t>
            </w:r>
          </w:p>
          <w:p w14:paraId="37CA86B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24. 支持开机后自动实现与无线音频设备链接，支持自动对频，可通过主机屏幕查看对频是否成功。</w:t>
            </w:r>
          </w:p>
          <w:p w14:paraId="4525F9C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25. 支持HDMI通道通道检测，可通过主机屏幕显示HDMI信号接入状态。</w:t>
            </w:r>
          </w:p>
          <w:p w14:paraId="65CA336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26. 支持≥1路自定义机位绑定设置，可将HDMI in绑定至任意景位。</w:t>
            </w:r>
          </w:p>
          <w:p w14:paraId="45888C9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27. 支持录制倒计时，自定义设置≥4种倒计时时间。</w:t>
            </w:r>
          </w:p>
          <w:p w14:paraId="13972FC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28. 支持通过主机屏幕实现画面预监，可同时预监≥6路画面。</w:t>
            </w:r>
          </w:p>
          <w:p w14:paraId="55F47F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29. 支持 H.264(BP/MP/HP)视频编码与解码，支持H.265 编码/解码。</w:t>
            </w:r>
          </w:p>
          <w:p w14:paraId="3FBF884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30. 支持≥16 路 1080p@30fps 编/解码。</w:t>
            </w:r>
          </w:p>
          <w:p w14:paraId="6E64558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31. 支持分辨率、码率、帧率设定。</w:t>
            </w:r>
          </w:p>
          <w:p w14:paraId="55C946B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32. 支持录制清晰度设定，支持可选择 1080p、720p、VGA、QVGA；支持录制帧率设定，可选择 25fps/30fps/60fps；支持录制画质选择，可选择≥5种等级；录制编码码率≥16Mbps。</w:t>
            </w:r>
          </w:p>
          <w:p w14:paraId="6BADDDC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33. 支持多通道同时录制，支持生成标准 MP4 格式视频文件，支持≥ 7 路 MP4 文件同时录制。</w:t>
            </w:r>
          </w:p>
          <w:p w14:paraId="30F4826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34. 支持通过主机一体化触控屏实现开始、暂停、停止录制。</w:t>
            </w:r>
          </w:p>
          <w:p w14:paraId="326EA2C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35. 支持≥2种录制视频自动分段模式：支持按照文件大小分段，可选择500MB，1GB，2GB进行分段录制；支持按照录制时长分段，可选择30分钟、60分钟。</w:t>
            </w:r>
          </w:p>
          <w:p w14:paraId="4D91EAB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36. 支持网络监测功能，无需安装第三方软件，在触控屏幕上显示教室网络状态，包括：服务联通性、网络稳定性、上下行速度、网络追踪性、网卡信息。</w:t>
            </w:r>
          </w:p>
          <w:p w14:paraId="10BD878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37. 支持对直播视频 GOP 进行设置，可根据网络情况选择1~6秒。</w:t>
            </w:r>
          </w:p>
          <w:p w14:paraId="5715C8B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38. 支持主机一体化触控屏实现开启/关闭直播，可选择开启录制时是否同步开启直播。</w:t>
            </w:r>
          </w:p>
          <w:p w14:paraId="489CEB9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39. 主机网口支持10/100/1000Mbps自适应，支持 IPV4，IPV6。</w:t>
            </w:r>
          </w:p>
          <w:p w14:paraId="258A94D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40. 主机无需配置单独公网 IP 即可实现互动。</w:t>
            </w:r>
          </w:p>
          <w:p w14:paraId="69D1718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41. 支持智能组网，摄像机插入主机后能够自动实现机位绑定并出现画面。</w:t>
            </w:r>
          </w:p>
          <w:p w14:paraId="5798759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42. 支持录制时长设定，录制时长到达后可自动停止录制，支持设定时长包括 40 分钟、1 小时、2 小时、6小时、12 小时，用户可根据需要提前结束录制；录制过程中，用户可通过互动录播电脑主机一体化触控屏查看已录制时长。</w:t>
            </w:r>
          </w:p>
          <w:p w14:paraId="5BD99B8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43. 支持单个文件、文件夹删除；多个文件、多个文件夹批量删除；支持清空视频功能，可一键清除主机视频。</w:t>
            </w:r>
          </w:p>
          <w:p w14:paraId="354DE8C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44. 支持推流路数≥3路，支持rtmp直播推流，支持将直播流推送到平台进行直播，推送的直播流可选择不同视频源，推流单路可达 1080p@60fps，可选画面≥7 个，推送的直播流可选择是否带有声音。</w:t>
            </w:r>
          </w:p>
          <w:p w14:paraId="26E0BC2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45. 录制视频文件支持自动归档，支持按照年月日时分秒自动归类，存储到对应的文件夹下，同时支持用户账号自动关联，用户使用账号登录主机后，录制文件会自动归档到该用户账号。</w:t>
            </w:r>
          </w:p>
          <w:p w14:paraId="1CD25E7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46. 主机内置扬声器，支持音频检测，通过主机内置扬声器可以播放测试音频，通过主机一体化屏幕进行视频预览时能够同步播放音频，且可控制播放音频音量大小。</w:t>
            </w:r>
          </w:p>
          <w:p w14:paraId="1A30F3D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47. 直播视频清晰度可设置，支持 1080p@60fps，可选择1080p、720p、VGA、QVGA；支持帧率设定，可选择 25fps/30fps/60fps；支持多种画质选择，可选择极佳、好、一般、流畅四个不同等级。</w:t>
            </w:r>
          </w:p>
          <w:p w14:paraId="71D788A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48. 支持单个文件、文件夹拷贝；多个文件、多个文件夹批量拷贝；支持动态显示拷贝进度，完成时自动提醒；当有多个 U 盘插入时，可在互动录播电脑主机一体化触控屏进行 U 盘选择。</w:t>
            </w:r>
          </w:p>
          <w:p w14:paraId="05E1B27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49. 支持 FTP 远程自动上传录像，录制停止后自动上传视频文件到 FTP 服务器，支持断点续传。</w:t>
            </w:r>
          </w:p>
          <w:p w14:paraId="3E61B15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50. 支持通过主机一体化触控屏幕，选择自动/手动导播模式。</w:t>
            </w:r>
          </w:p>
          <w:p w14:paraId="136D25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51. 支持串口通信，可通过中控协议实现中控控制，控制开关机、开始/暂停/停止录制。</w:t>
            </w:r>
          </w:p>
          <w:p w14:paraId="0A0AB07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52. 支持通过互联网，查看当前的主机总数、日活个数、月活个数、当前在线数量，支持通过平台查看设备在线和离线状态，支持通过平台查看设备 ID 地址、IP 地址、激活时间信息。</w:t>
            </w:r>
          </w:p>
          <w:p w14:paraId="6236B8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53. 支持通过互联网，实现对设备的远程配置，支持关机、重启、参数配置操作。</w:t>
            </w:r>
          </w:p>
          <w:p w14:paraId="62C9A05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54. 支持通过互联网，按照版本号进行查询。可查看该版本的主机数量和总体占比，支持通过 IOT 物联平台实现主机的远程升级，可查看不同版本的占比，可按照行政区域进行分区升级。</w:t>
            </w:r>
          </w:p>
          <w:p w14:paraId="40C764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55. 支持上电自启动，设备通电后系统可自动启动，可设置开启或关闭上电自启动功能，支持自动开关机，可设置定时开关机时间。</w:t>
            </w:r>
          </w:p>
          <w:p w14:paraId="75238D0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56. 支持点击、双击、滑动 3 种类型的触控操控。</w:t>
            </w:r>
          </w:p>
          <w:p w14:paraId="4596397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57. 支持自动息屏功能，同时支持用户自设置息屏时间，可支持 1min、3min、5min、10min 多种时间选择。</w:t>
            </w:r>
          </w:p>
          <w:p w14:paraId="04F75A9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58. 设备支持本地升级、可通过 U 盘实现设备升级，同时支持 OTA 远程在线升级，升级过程支持版本号校验，支持在线下载升级包自动完成升级。</w:t>
            </w:r>
          </w:p>
          <w:p w14:paraId="27803C8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59. 支持使用 FAT32，NTFS格式的U盘进行文件拷贝，拷贝进度可动态显示。</w:t>
            </w:r>
          </w:p>
          <w:p w14:paraId="548A9C6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60. 支持通过主机一体化屏幕，调用系统内置输入法，对录制文件的名称进行重命名。</w:t>
            </w:r>
          </w:p>
          <w:p w14:paraId="54810C0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61. 音频编码码率支持320Kbps、128Kbps、48Kbps可选。采样率支持48kHz。音频信号处理延时≤20ms。频率响应20Hz~20kHz。</w:t>
            </w:r>
          </w:p>
          <w:p w14:paraId="250F2B5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62. 主机采用15.6英寸触控电容屏，屏幕色域≥72% NTSC，表面硬度≥7H，屏幕分辨率≥1920*1080。</w:t>
            </w:r>
          </w:p>
          <w:p w14:paraId="1CA0613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63. 主机供电采用安全电压，整机供电电压≤24V。</w:t>
            </w:r>
          </w:p>
          <w:p w14:paraId="69313C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64. 支持用户在录播主机上随时查看已录制视频总容量，并采用百分比的形式展示。</w:t>
            </w:r>
          </w:p>
          <w:p w14:paraId="6404CFE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65. 主机噪声小于15dB（A）。</w:t>
            </w:r>
          </w:p>
          <w:p w14:paraId="442CA70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66. 屏幕需满足无蓝光危害，符合IEC 62471:2006要求， LB限制范围≤0.3。</w:t>
            </w:r>
          </w:p>
          <w:p w14:paraId="204EE6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二、触控式主机导播系统</w:t>
            </w:r>
          </w:p>
          <w:p w14:paraId="08BB2CE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 自动导播默认画面支持自定义设定，支持选择自动导播画面，可设置自动导播画面的保护时间和保持时间。</w:t>
            </w:r>
          </w:p>
          <w:p w14:paraId="26627A1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 支持多种画面模式，支持单画面、画中画、左右等分、三画面、四画面多种画面合成模式，支持自动导播、手动导播，可通过互动录播电脑主机一体化触控屏实现模式选择。</w:t>
            </w:r>
          </w:p>
          <w:p w14:paraId="210DA57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 导播优先级可自定义设定，支持定时切换设置，可自由选择切换时间和切换画面，支持根据学生、老师行为状态实现画面智能切换。</w:t>
            </w:r>
          </w:p>
          <w:p w14:paraId="7EDBEB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 支持本地导播、远程导播，本地导播可通过互动录播电脑主机一体化触控屏实现本地导播控制；也可通过触控回传实现画面导播，无需外接键鼠设备，通过交互智能平板实现对互动录播电脑主机的导播控制，远程导播可通过网络实现远程导播控制。</w:t>
            </w:r>
          </w:p>
          <w:p w14:paraId="6E8453C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 支持课件画面自动检测，可设置检测灵敏度；支持课件画面检测区域设定，可屏蔽电脑弹窗区域。</w:t>
            </w:r>
          </w:p>
          <w:p w14:paraId="20D7D33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 支持导入与导出互动录播主机配置文件，进行升级和调试。</w:t>
            </w:r>
          </w:p>
          <w:p w14:paraId="571D9F4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 支持云台摄像机控制，支持 PTZ（云台全方位移动及镜头变倍、变焦），多个预置位设置和调用；同时支持通过鼠标点击画面，实现云台摄像机跟踪，可通过鼠标滑轮实现镜头画面放大缩小。</w:t>
            </w:r>
          </w:p>
          <w:p w14:paraId="7794DC2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 在导播界面的预览窗口可实时观看教师全景/特写、学生全景/特写、多媒体电脑共五路画面，点击可进行画面切换。预监画面可实时推流给资源平台，实现平台直播。</w:t>
            </w:r>
          </w:p>
          <w:p w14:paraId="7E6BCB6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 支持选择画面进行录制，可录制导播画面，同时可在“学生全景、学生特写、教师全景、教师特写、多媒体画面”中任意选择进行录制存储。</w:t>
            </w:r>
          </w:p>
          <w:p w14:paraId="2B68BB3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 支持外接导播台，可通过导播台实现对录播主机的录制控制、画面切换、云台跟踪、预置位设定与调取、音量调节。</w:t>
            </w:r>
          </w:p>
          <w:p w14:paraId="04F1A80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 录播画面比例支持16：9，触控回传响应延时≤70ms。</w:t>
            </w:r>
          </w:p>
          <w:p w14:paraId="5FE079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三、触控式主机互动系统</w:t>
            </w:r>
          </w:p>
          <w:p w14:paraId="6DE65C3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 同时支持自动连线和手动连线，自动连线模式下，听课端会自动接通来自主讲端的互动请求，可选择设置关闭，手动连线模式下，当主讲端发出呼叫请求后，在互动录播电脑主机一体化触控屏上会出现呼叫提醒，用户可选择接听或者挂断。</w:t>
            </w:r>
          </w:p>
          <w:p w14:paraId="4A550F1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 支持标准SIP音视频互动协议，支持1080P@60fps全高清视频互动。</w:t>
            </w:r>
          </w:p>
          <w:p w14:paraId="7961DCC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 支持互动清晰度设置：支持 1080p@60fps，分辨率可选择 1080p、720p、VGA、QVGA，帧率可选择 60fps、30fps、25fps。互动画质可选择极佳、好、一般、流畅四个等级。</w:t>
            </w:r>
          </w:p>
          <w:p w14:paraId="311FF1C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 支持双流自动发送，设置自动发送后，建立呼叫，主讲教室自动发送双流。</w:t>
            </w:r>
          </w:p>
          <w:p w14:paraId="54A9F30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 支持课程预约功能，互动录播电脑主机能接收平台下发的互动课表，并显示于互动电脑主机一体化触控屏上，用户点击课表即可立即加入课堂，进行实时互动。</w:t>
            </w:r>
          </w:p>
          <w:p w14:paraId="34A2FE7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 支持微信扫码登录，无需单独输入账号，使用微信扫描互动录播电脑主机一体化触控屏上显示的二维码即可登录互动系统，登陆后显示用户头像和用户名。</w:t>
            </w:r>
          </w:p>
          <w:p w14:paraId="6F274AD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 支持手动切换发给远端的画面。支持通过互动录播电脑主机一体化触控屏实现音量大小调整、静音。支持互动过程中一键全屏，全屏放大主画面，隐藏所有图标。支持开启和关闭桌面共享功能。</w:t>
            </w:r>
          </w:p>
          <w:p w14:paraId="7685320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 互动过程中可随时邀请新的听课端加入，支持拨号呼叫，用户可通过互动录播电脑主机一体化触控屏上的拨号键盘实现拨号呼叫；支持互动通讯录功能，通讯录可显示最近呼叫的账号信息，可通过通讯录实现一键呼叫。</w:t>
            </w:r>
          </w:p>
          <w:p w14:paraId="5B2BEF7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 支持一键结束互动，用户通过互动录播电脑主机一体化触控屏一键结束互动。</w:t>
            </w:r>
          </w:p>
          <w:p w14:paraId="3501EA0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 支持通过互动录播电脑主机一体化触控屏实现导播控制，过程中可选择自动导播/手动导播；支持通过 PC 客户端软件进行远程导播控制。</w:t>
            </w:r>
          </w:p>
          <w:p w14:paraId="3C167EA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 PC 客户端软件支持进行互动听课端列表查看、发言管理功能。</w:t>
            </w:r>
          </w:p>
          <w:p w14:paraId="4E0379D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12. 无需通过任何第三方软件即可进行网络监测，并在互动录播电脑主机一体化触控屏上显示教室网络状态；实现对网络联通性、网络稳定性、上行速度、下行速度、网络追踪性、网卡信息实时检测；在一段时间内，支持以折线图方式实时呈现网络稳定性、上行速度和下行速度。</w:t>
            </w:r>
          </w:p>
          <w:p w14:paraId="3C60383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 支持开始互动同步开始录制，用户可选择进入互动后是否自动开启录制。互动过程中可通过互动录播电脑主机一体化触控屏实现录制和直播控制，互动过程中可以控制开始录制、结束录制、开始直播、结束直播。</w:t>
            </w:r>
          </w:p>
          <w:p w14:paraId="39BC996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14. 听课教室可申请发言，申请后主讲教室可收到申请，并选择是否接受申请。</w:t>
            </w:r>
          </w:p>
          <w:p w14:paraId="1A29834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15. 听课过程中用户可在互动录播电脑主机一体化触控屏上同时显示授课教室画面和本地教室画面，且互动录播电脑主机支持一键全屏主画面。</w:t>
            </w:r>
          </w:p>
          <w:p w14:paraId="5A97AF4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16. 教师在开始授课前可根据互动录播电脑主机一体化触控屏检查设备是否正常，包括：在预监画面查看各个视频画面是否正常；在预监画面进行音量调节和查看声音是否正常；支持自动导播和手动导播模式切换；自动导播模式下支持设置参与自动导播的导播画面；选择是否开启直播和桌面共享。</w:t>
            </w:r>
          </w:p>
          <w:p w14:paraId="795F07E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17. 支持课堂互动功能，授课过程中老师可通过在互动录播电脑主机一体化触控屏上单击听课教室画面切换听课教室为主画面，并与该教室实时连麦对讲，实现异地互动。</w:t>
            </w:r>
          </w:p>
          <w:p w14:paraId="70F303A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18. 支持互动过程中，可以在互动录播电脑主机一体化触控屏调出累计视频卡顿次数、累计音频卡顿次数和当前视频参数，包括上行/下行带宽、丢包率、视频分辨率、当前句柄数量、CPU使用率。</w:t>
            </w:r>
          </w:p>
          <w:p w14:paraId="1B94682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19. 支持授课预监功能，授课过程中可在互动录播电脑主机一体化触控屏实时显示授课教室和参与互动的听课教室画面，用户可实时查看授课教室拍摄效果和互动教室的听课场景画面。</w:t>
            </w:r>
          </w:p>
          <w:p w14:paraId="0010DE4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 设备双向互动过程中，在系统总丢包率 50%的网络环境下，视频清晰流畅无卡顿，语音连贯。</w:t>
            </w:r>
          </w:p>
          <w:p w14:paraId="0F154AF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21. 支持根据网络自适应调整码流大小。</w:t>
            </w:r>
          </w:p>
          <w:p w14:paraId="09B546B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22. 支持 3Mbps 网络带宽环境下实现 1080P@60fps 视频双向互动。</w:t>
            </w:r>
          </w:p>
          <w:p w14:paraId="50561AB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23. 互动系统具备回声消除功能，在主讲教室与听讲教室同时发言的情况下，保证双方语音清晰，双方体验良好。</w:t>
            </w:r>
          </w:p>
          <w:p w14:paraId="765FEF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24. 支持跨运营商互动，通过云端多运营商自适应切换技术，可最大程度优化跨运营商带来的大延时。</w:t>
            </w:r>
          </w:p>
          <w:p w14:paraId="24C601F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25. 支持1个授课端带3个听课端互动。</w:t>
            </w:r>
          </w:p>
          <w:p w14:paraId="1D9F721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26. 支持三种混流方式，推流端混流、拉流端混流、服务端混流。</w:t>
            </w:r>
          </w:p>
          <w:p w14:paraId="1E09763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四、触控式主机视频处理系统</w:t>
            </w:r>
          </w:p>
          <w:p w14:paraId="7B606F6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 支持合成1920*1080的PGM画面，包含导播画面、教师全景画面、教师特写画面、学生全景画面、学生特写画面。</w:t>
            </w:r>
          </w:p>
          <w:p w14:paraId="3618AB3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 支持多种类型视频信号接入，支持标准网络视频信号接入、高速数字信号接入。</w:t>
            </w:r>
          </w:p>
          <w:p w14:paraId="2AE5E6E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 支持通过rtsp协议接入第三方摄像机视频流。</w:t>
            </w:r>
          </w:p>
          <w:p w14:paraId="04B5BC3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 支持不少于3种编码复杂度，支持Baseline Profile、Main profile、High profile</w:t>
            </w:r>
          </w:p>
          <w:p w14:paraId="2DDA31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 支持不少于两种码率控制方式，支持CBR（Constant Bit Rate）、VBR（Variable Bit Rate）。</w:t>
            </w:r>
          </w:p>
          <w:p w14:paraId="434D9A2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 支持通过网络实现对接入摄像机的设备信息检索。</w:t>
            </w:r>
          </w:p>
          <w:p w14:paraId="5AAC4BB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 支持POE摄像机接入。</w:t>
            </w:r>
          </w:p>
          <w:p w14:paraId="0FB88B0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 HDMI采集通道支持画面缩放，可完成4K图像采集。</w:t>
            </w:r>
          </w:p>
          <w:p w14:paraId="33D0586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五、双目4K教师摄像机</w:t>
            </w:r>
          </w:p>
          <w:p w14:paraId="37E15A4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 采用全景特写双镜头，全景镜头水平视场角≥40°，特写镜头水平视场角≥20°。</w:t>
            </w:r>
          </w:p>
          <w:p w14:paraId="5667844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 摄像机采用一体化集成设计，支持4K超高清，可提供3840×2160图像分辨率，同时兼容1920×1080和1280×720分辨率。</w:t>
            </w:r>
          </w:p>
          <w:p w14:paraId="7FDC5E5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 内置图像识别跟踪算法，搭配隐藏式云台，保证清晰度的同时，也减小对课堂的干扰。</w:t>
            </w:r>
          </w:p>
          <w:p w14:paraId="6118C15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 为保证拍摄画面效果，采用低畸变设计，全景畸变≤±1%，特写畸变≤±1%，减少畸变校正造成的图像质量损失。</w:t>
            </w:r>
          </w:p>
          <w:p w14:paraId="44A555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 摄像机接口支持RJ45接口≥1路，Type-C接口≥1路，Line in接口≥1路。</w:t>
            </w:r>
          </w:p>
          <w:p w14:paraId="3F08234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 支持POE有线网络供电，只需要1路网线，即可实现供电及信号传输，支持同时输出特写和全景等多路画面。</w:t>
            </w:r>
          </w:p>
          <w:p w14:paraId="3D5B35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 传感器尺寸 CMOS ≥ 1/2.8英寸。</w:t>
            </w:r>
          </w:p>
          <w:p w14:paraId="504668A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 全景图像传感器有效像素≥400万，特写图像传感器有效像素≥800万。</w:t>
            </w:r>
          </w:p>
          <w:p w14:paraId="5E0D56C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 摄像机采用逐行扫描方式 。</w:t>
            </w:r>
          </w:p>
          <w:p w14:paraId="6365B6D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 摄像机最低照度：0.5 Lux@（F2.0, AGC ON） 。</w:t>
            </w:r>
          </w:p>
          <w:p w14:paraId="011CC5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 摄像机电子快门：1/30s ~ 1/10000s。</w:t>
            </w:r>
          </w:p>
          <w:p w14:paraId="11383EB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12. 支持自动白平衡。</w:t>
            </w:r>
          </w:p>
          <w:p w14:paraId="6ED5450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 支持2D&amp;3D数字降噪，信噪比≥55dB。</w:t>
            </w:r>
          </w:p>
          <w:p w14:paraId="2287A14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14. 支持H.264、H.265、MJPEG视频编码格式。</w:t>
            </w:r>
          </w:p>
          <w:p w14:paraId="16FFD15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15. 主码流分辨率：3840x2160, 1920x1080, 1280x720, 1024x576, 720x480, 640x360, 480x272, 320x240, 320x180。</w:t>
            </w:r>
          </w:p>
          <w:p w14:paraId="6502509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16. 辅码流分辨率：2880x1620, 1920x1080, 1280x720, 1024x576, 960x540, 640x480, 640x360, 320x240, 320x180。</w:t>
            </w:r>
          </w:p>
          <w:p w14:paraId="20C858B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17. 摄像机视频码率设置范围：32Kbps ~ 16384Kbps。</w:t>
            </w:r>
          </w:p>
          <w:p w14:paraId="3D96E1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18. 摄像机帧率设置范围：1~30fps。</w:t>
            </w:r>
          </w:p>
          <w:p w14:paraId="2947A2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19. 摄像机支持线性音频输入，采用AAC/G711A音频编码格式。</w:t>
            </w:r>
          </w:p>
          <w:p w14:paraId="6682325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 摄像机音频输入编码码率：96Kbps、128Kbps。</w:t>
            </w:r>
          </w:p>
          <w:p w14:paraId="4116BDD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21. 支持标准USB音视频信号输出，可以同时支持UVC和UAC协议，通过主机TypeC接口可以实现图像和声音同步输出，最大支持4K@30fps输出，兼容主流视频会议软件。</w:t>
            </w:r>
          </w:p>
          <w:p w14:paraId="347F422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22. 摄像机支持≥6种网络流传输协议。</w:t>
            </w:r>
          </w:p>
          <w:p w14:paraId="0E47D0C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23. 摄像机输入电压：DC12V/PoE。</w:t>
            </w:r>
          </w:p>
          <w:p w14:paraId="2869FD2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24. 整机功耗≤12W。</w:t>
            </w:r>
          </w:p>
          <w:p w14:paraId="6B99C64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25. 净重≤0.6KG。</w:t>
            </w:r>
          </w:p>
          <w:p w14:paraId="1EC2382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26. 支持硬件复位功能，可通过Reset复位键实现整机复位。</w:t>
            </w:r>
          </w:p>
          <w:p w14:paraId="5B12396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27. 为确保运行稳定，使用平均无故障运行时间(MTBF)应≥250000小时。</w:t>
            </w:r>
          </w:p>
          <w:p w14:paraId="0BE6EA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六、教师摄像机图像处理系统</w:t>
            </w:r>
          </w:p>
          <w:p w14:paraId="6A95046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 无需单独安装定位跟踪主机及其他任何辅助拍摄设备，即可实现跟踪定位控制功能。</w:t>
            </w:r>
          </w:p>
          <w:p w14:paraId="01FF359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 系统应采用智能图像识别算法，高清摄像机同时输出2路场景画面并分析计算，实现1台摄像机的2景位拍摄，通过导播跟踪系统，实现所有画面的自动导播切换：</w:t>
            </w:r>
          </w:p>
          <w:p w14:paraId="287BA44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a) 当教师在讲台区域站立授课时，自动切换为教师特写，当教师在讲台区域进行走动时，自动切换到教师全景；</w:t>
            </w:r>
          </w:p>
          <w:p w14:paraId="17679E5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b) 当教师切换多媒体授课时，自动切换为多媒体特写画面。</w:t>
            </w:r>
          </w:p>
          <w:p w14:paraId="0E21285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 支持设置摄像机分辨率、帧率、码率。</w:t>
            </w:r>
          </w:p>
          <w:p w14:paraId="72F18B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 支持设置摄像机亮度、饱和度、对比度、锐度、色度、快门速度。</w:t>
            </w:r>
          </w:p>
          <w:p w14:paraId="5CFC23A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 图像支持垂直翻转、水平翻转，默认不开启。</w:t>
            </w:r>
          </w:p>
          <w:p w14:paraId="51C9A22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 支持对摄像机网络进行管理，包括设置IP地址/网关/DNS等，支持组播协议搜索IP地址，并修改摄像机IP。</w:t>
            </w:r>
          </w:p>
          <w:p w14:paraId="0F9C5BC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 支持RTMP推流，推流地址可设置。</w:t>
            </w:r>
          </w:p>
          <w:p w14:paraId="30AC8EE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 支持RTSP拉流，拉流地址可设置。</w:t>
            </w:r>
          </w:p>
          <w:p w14:paraId="5DBE96C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 支持ONVIF协议，可预览ONVIF画面。</w:t>
            </w:r>
          </w:p>
          <w:p w14:paraId="115F4C3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 支持GB28181协议，可使用GB28181协议设置。</w:t>
            </w:r>
          </w:p>
          <w:p w14:paraId="19543B6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 支持摄像机内部导播，支持外部导播。</w:t>
            </w:r>
          </w:p>
          <w:p w14:paraId="39A0196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12. 支持≥1个矩形导播跟踪区划定。</w:t>
            </w:r>
          </w:p>
          <w:p w14:paraId="6987E17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 支持≥4个导播屏蔽区划定。</w:t>
            </w:r>
          </w:p>
          <w:p w14:paraId="406694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14. 支持跟随模式、混合模式、双镜模式、三预置位等多种导播模式。</w:t>
            </w:r>
          </w:p>
          <w:p w14:paraId="7AA4D18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15. 支持跟踪灵敏度设置，可适配不同的灵敏度要求场景。</w:t>
            </w:r>
          </w:p>
          <w:p w14:paraId="5F23DD2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16. 支持开启/关闭跟踪功能。</w:t>
            </w:r>
          </w:p>
          <w:p w14:paraId="7C20FC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七、双目4K学生摄像机</w:t>
            </w:r>
          </w:p>
          <w:p w14:paraId="5D69699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 采用全景特写双镜头，全景镜头水平视场角≥110°，特写镜头水平视场角≥40°。</w:t>
            </w:r>
          </w:p>
          <w:p w14:paraId="14ECC82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 摄像机采用一体化集成设计，支持4K超高清，可提供3840×2160图像分辨率，同时兼容1920×1080和1280×720分辨率。</w:t>
            </w:r>
          </w:p>
          <w:p w14:paraId="4A9A8E5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 内置图像识别跟踪算法，搭配隐藏式云台，保证清晰度的同时，也减小对课堂的干扰。</w:t>
            </w:r>
          </w:p>
          <w:p w14:paraId="72AEE45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 为保证拍摄画面效果，采用低畸变设计，全景畸变≤±2.5%，特写畸变≤±1%，减少畸变校正造成的图像质量损失。</w:t>
            </w:r>
          </w:p>
          <w:p w14:paraId="36721E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 摄像机接口支持RJ45接口≥1路，Type-C接口≥1路，Line in接口≥1路。</w:t>
            </w:r>
          </w:p>
          <w:p w14:paraId="39FF265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 支持POE有线网络供电，只需要1路网线，即可实现供电及信号传输，支持同时输出特写和全景等多路画面。</w:t>
            </w:r>
          </w:p>
          <w:p w14:paraId="363A14E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 传感器尺寸 CMOS ≥ 1/2.8英寸。</w:t>
            </w:r>
          </w:p>
          <w:p w14:paraId="36C1EF3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 全景图像传感器有效像素≥400万，特写图像传感器有效像素≥800万。</w:t>
            </w:r>
          </w:p>
          <w:p w14:paraId="037BEA3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 摄像机采用逐行扫描方式 。</w:t>
            </w:r>
          </w:p>
          <w:p w14:paraId="79D106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 摄像机最低照度：0.5 Lux@（F2.0, AGC ON）。</w:t>
            </w:r>
          </w:p>
          <w:p w14:paraId="29711D3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 摄像机电子快门：1/30s ~ 1/10000s。</w:t>
            </w:r>
          </w:p>
          <w:p w14:paraId="367DC57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12. 支持自动白平衡。</w:t>
            </w:r>
          </w:p>
          <w:p w14:paraId="7317C4D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 支持2D&amp;3D数字降噪，信噪比≥55dB。</w:t>
            </w:r>
          </w:p>
          <w:p w14:paraId="0E910FB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14. 支持H.264、H.265、MJPEG视频编码格式。</w:t>
            </w:r>
          </w:p>
          <w:p w14:paraId="17E987F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15. 主码流分辨率：3840x2160, 1920x1080, 1280x720, 1024x576, 720x480, 640x360, 480x272, 320x240, 320x180。16. 辅码流分辨率：2880x1620, 1920x1080, 1280x720, 1024x576, 960x540, 640x480, 640x360, 320x240, 320x180。</w:t>
            </w:r>
          </w:p>
          <w:p w14:paraId="5A74986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17. 摄像机视频码率设置范围：32Kbps ~ 16384Kbps。</w:t>
            </w:r>
          </w:p>
          <w:p w14:paraId="11E6446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18. 摄像机帧率设置范围：1~30fps。</w:t>
            </w:r>
          </w:p>
          <w:p w14:paraId="6A16C7B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19. 摄像机支持线性音频输入，采用AAC/G711A音频编码格式。</w:t>
            </w:r>
          </w:p>
          <w:p w14:paraId="14360FC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 摄像机音频输入编码码率：96Kbps、128Kbps。</w:t>
            </w:r>
          </w:p>
          <w:p w14:paraId="4A703AA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21. 支持标准USB音视频信号输出，可以同时支持UVC和UAC协议，通过主机TypeC接口可以实现图像和声音同步输出，最大支持最大支持4K@30fps输出，兼容主流视频会议软件。</w:t>
            </w:r>
          </w:p>
          <w:p w14:paraId="19D0031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22. 摄像机支持≥6种网络流传输协议。</w:t>
            </w:r>
          </w:p>
          <w:p w14:paraId="3F2EED7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23. 摄像机支持DC12V和PoE供电。</w:t>
            </w:r>
          </w:p>
          <w:p w14:paraId="083702A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24. 整机功耗≤12W。</w:t>
            </w:r>
          </w:p>
          <w:p w14:paraId="365580A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25. 净重≤0.6KG。</w:t>
            </w:r>
          </w:p>
          <w:p w14:paraId="5A57B36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26. 支持硬件复位功能，可通过Reset复位键实现整机复位。</w:t>
            </w:r>
          </w:p>
          <w:p w14:paraId="2E19F55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27. 为确保运行稳定，使用平均无故障运行时间(MTBF)应≥250000小时。</w:t>
            </w:r>
          </w:p>
          <w:p w14:paraId="3DA4377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八、学生摄像机图像处理系统</w:t>
            </w:r>
          </w:p>
          <w:p w14:paraId="4EB89BA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 无需单独安装定位跟踪主机及其他任何辅助拍摄设备，即可实现跟踪定位控制功能。</w:t>
            </w:r>
          </w:p>
          <w:p w14:paraId="67F55E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 系统应采用智能图像识别算法，高清摄像机同时输出2路场景画面并分析计算，实现1台摄像机的2景位拍摄，通过导播跟踪系统，实现所有画面的自动导播切换：</w:t>
            </w:r>
          </w:p>
          <w:p w14:paraId="36780DE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a) 学生起立发言时，首先切换为学生全景，再切换为发言学生的特写画面，当多名学生站立时，自动切换到学生全景；</w:t>
            </w:r>
          </w:p>
          <w:p w14:paraId="13F99FC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b) 学生跟踪具备人脸检测设置。</w:t>
            </w:r>
          </w:p>
          <w:p w14:paraId="3DD716E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 支持设置摄像机分辨率、帧率、码率。</w:t>
            </w:r>
          </w:p>
          <w:p w14:paraId="58C9C0A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 支持设置摄像机亮度、饱和度、对比度、锐度、色度、快门速度。</w:t>
            </w:r>
          </w:p>
          <w:p w14:paraId="139CF51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 图像支持垂直翻转、水平翻转，默认不开启。</w:t>
            </w:r>
          </w:p>
          <w:p w14:paraId="1C69B98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 支持对摄像机网络进行管理，包括设置IP地址/网关/DNS等，支持组播协议搜索IP地址，并修改摄像机IP。</w:t>
            </w:r>
          </w:p>
          <w:p w14:paraId="7B88A3A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 支持RTMP推流，推流地址可设置。</w:t>
            </w:r>
          </w:p>
          <w:p w14:paraId="501610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 支持RTSP拉流，拉流地址可设置。</w:t>
            </w:r>
          </w:p>
          <w:p w14:paraId="10900DC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 支持ONVIF协议，可预览ONVIF画面。</w:t>
            </w:r>
          </w:p>
          <w:p w14:paraId="5CCCE16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 支持GB28181协议，可使用GB28181协议设置。</w:t>
            </w:r>
          </w:p>
          <w:p w14:paraId="07E9649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 支持摄像机内部导播，支持外部导播。</w:t>
            </w:r>
          </w:p>
          <w:p w14:paraId="27A288C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12. 支持通过跟踪配置工具划定至少1个六边形导播跟踪区。</w:t>
            </w:r>
          </w:p>
          <w:p w14:paraId="530C6BD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 跟踪区域划定方式为任意两个边缘点连线。</w:t>
            </w:r>
          </w:p>
          <w:p w14:paraId="61DE3A5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14. 支持跟踪灵敏度设置。</w:t>
            </w:r>
          </w:p>
          <w:p w14:paraId="2D2B7C1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15. 支持开启/关闭跟踪功能。</w:t>
            </w:r>
          </w:p>
          <w:p w14:paraId="79A5006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16. 支持人数统计。</w:t>
            </w:r>
          </w:p>
          <w:p w14:paraId="6BEAF66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九、阵列麦克风</w:t>
            </w:r>
          </w:p>
          <w:p w14:paraId="24DF6C6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 麦克风内置≥8个传感器单元。</w:t>
            </w:r>
          </w:p>
          <w:p w14:paraId="50DEC10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 麦克风支持≥2个数字音频接口，支持数字音频传输，每个接口都具备输入接口和输出接口能力，支持盲插。</w:t>
            </w:r>
          </w:p>
          <w:p w14:paraId="10FFDF9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 支持状态指示灯，指示灯显示蓝色表示阵列麦克风处于工作状态正常，指示灯显示红色表示阵列麦克风处于无法正常拾音的状态。</w:t>
            </w:r>
          </w:p>
          <w:p w14:paraId="56D3BEF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 麦克风频率响应范围不低于50Hz~16KHz。</w:t>
            </w:r>
          </w:p>
          <w:p w14:paraId="4898676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 麦克风拾音半径≥8m。</w:t>
            </w:r>
          </w:p>
          <w:p w14:paraId="1B41CBF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 麦克风信噪比≥68dB。</w:t>
            </w:r>
          </w:p>
          <w:p w14:paraId="5B277B6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 麦克风声压级≥130dBSPL，10%THD@1 KHz。</w:t>
            </w:r>
          </w:p>
          <w:p w14:paraId="0E08E8E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 麦克风无需额外适配器供电，能够通过网线实现麦克风供电、音频信号传输、参数调整。</w:t>
            </w:r>
          </w:p>
          <w:p w14:paraId="2E5FCBC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 麦克风采用标准1/4吋螺口，适配各种类型标准吊杆。</w:t>
            </w:r>
          </w:p>
          <w:p w14:paraId="5B86A47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 麦克风支持≥1个Type-C接口。</w:t>
            </w:r>
          </w:p>
          <w:p w14:paraId="351E625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 麦克风支持在线OTA，可在线对麦克风进行升级，无需人员现场维护。</w:t>
            </w:r>
          </w:p>
          <w:p w14:paraId="01B8A86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12. 麦克风支持降噪、回声抵消、混响抑制、自动增益控制、多麦融合多种音频算法。</w:t>
            </w:r>
          </w:p>
          <w:p w14:paraId="77D1828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 麦克风支持数字音频传输。</w:t>
            </w:r>
          </w:p>
          <w:p w14:paraId="5CF00C8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14. 麦克风套件标配2支麦克风和2套安装支架。</w:t>
            </w:r>
          </w:p>
          <w:p w14:paraId="5C45BE5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十、有线麦克风音频处理系统</w:t>
            </w:r>
          </w:p>
          <w:p w14:paraId="4144852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 支持全频带全双工自适应回声消除算法。</w:t>
            </w:r>
          </w:p>
          <w:p w14:paraId="411E63F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 支持全频自适应AI降噪技术，降噪电平≥24dB。</w:t>
            </w:r>
          </w:p>
          <w:p w14:paraId="1FDEDF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 支持自动增益控制。</w:t>
            </w:r>
          </w:p>
          <w:p w14:paraId="3346A73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 支持啸叫抑制。</w:t>
            </w:r>
          </w:p>
          <w:p w14:paraId="0075271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 支持智能混音，可智能选择最佳麦克风采集音频。</w:t>
            </w:r>
          </w:p>
          <w:p w14:paraId="58003CE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 支持多通道音频矩阵，可根据场景需求进行相应设置。</w:t>
            </w:r>
          </w:p>
          <w:p w14:paraId="5B2A541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 支持音频参数调节。</w:t>
            </w:r>
          </w:p>
          <w:p w14:paraId="6700FED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 支持波束成形。</w:t>
            </w:r>
          </w:p>
          <w:p w14:paraId="71CFB65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 支持远程OTA升级。</w:t>
            </w:r>
          </w:p>
          <w:p w14:paraId="6E04F98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 支持连接录播主机作为录播音频输入设备使用，也可连接Windows系统，并为其提供音频输入。</w:t>
            </w:r>
          </w:p>
          <w:p w14:paraId="6DBA965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十一、无线麦克风</w:t>
            </w:r>
          </w:p>
          <w:p w14:paraId="6CCF182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 全套麦克风整机3.5mm音频接口≥2个。</w:t>
            </w:r>
          </w:p>
          <w:p w14:paraId="636E1AF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 全套麦克风整机≥3个USB Type-C接口，单个麦克风支持≥1个USB Type-C接口。</w:t>
            </w:r>
          </w:p>
          <w:p w14:paraId="7B81B0B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 麦克风支持≥1个Pogo pin接口，支持通过Pogo pin接口进行充电。整机Pogo pin接口≥2个。</w:t>
            </w:r>
          </w:p>
          <w:p w14:paraId="3AE5641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 麦克风支持≥1个三合一按键，可控制麦克风的开关机、静音和配对。</w:t>
            </w:r>
          </w:p>
          <w:p w14:paraId="3B4ADC0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 麦克风支持≥2个音量控制按钮，可通过音量“+”“-”按钮控制麦克风输出音量。</w:t>
            </w:r>
          </w:p>
          <w:p w14:paraId="6A7B731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 麦克风标配充电仓，可用于充电及收纳。</w:t>
            </w:r>
          </w:p>
          <w:p w14:paraId="7427D98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 麦克风充电仓支持电量指示，通过灯珠亮灭数量充电仓剩余电量及充电状态。</w:t>
            </w:r>
          </w:p>
          <w:p w14:paraId="376A28D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 整机标配两个无线麦克风，且两个麦克风支持同时工作。</w:t>
            </w:r>
          </w:p>
          <w:p w14:paraId="5C6EBA0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 麦克风支持≥2种开机方式，可通过短按按键开机、打开充电仓并取出麦克风自动开机。</w:t>
            </w:r>
          </w:p>
          <w:p w14:paraId="7ACD3AF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 麦克风支持≥3种关机方式，可通过长按按键关机、长时间无配对或配对后无使用自动关机、麦克风放回充电仓自动关机。</w:t>
            </w:r>
          </w:p>
          <w:p w14:paraId="308F5FB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 麦克风支持≥2种配对方式，可通过麦克风从充电仓拿出自动开始配对、短按按键开始配对，配对完成时间≤5s。</w:t>
            </w:r>
          </w:p>
          <w:p w14:paraId="731C62E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12. 麦克风支持≥2种断开连接方式，可通过麦克风放入充电仓自动断开连接、关机自动断开连接。</w:t>
            </w:r>
          </w:p>
          <w:p w14:paraId="17DF022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 麦克风支持一键开启静音模式。</w:t>
            </w:r>
          </w:p>
          <w:p w14:paraId="1B2CDAC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14. 麦克风支持通过音量调节按钮调节输出音量；音量调节过程中通过麦克风一体化屏幕动态提示当前音量等级。</w:t>
            </w:r>
          </w:p>
          <w:p w14:paraId="44E3C6E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15. 麦克风支持音量记忆功能，重启后麦克风恢复关机前的音量等级。</w:t>
            </w:r>
          </w:p>
          <w:p w14:paraId="7DCAC6C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16. 麦克风支持息屏时任意按键亮屏；亮屏后10s无按键操作息屏。</w:t>
            </w:r>
          </w:p>
          <w:p w14:paraId="277EDD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17. 支持任意两个麦克风放入同一个充电仓完成配对，配对后两个麦克风可同时连接一个接收端。</w:t>
            </w:r>
          </w:p>
          <w:p w14:paraId="22C5917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18. 麦克风支持自动重连，当离接收端距离过远时断开连接后，重新返回接收端距离以内能自动重连。</w:t>
            </w:r>
          </w:p>
          <w:p w14:paraId="61FF627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19. 支持红外和无线同时配对。</w:t>
            </w:r>
          </w:p>
          <w:p w14:paraId="08B5E02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 麦克风屏幕支持显示麦克风电池电量、麦克风配对状态、麦克风所连接的设备、显示当前麦克风接收声音强度、无线连接信号强度。</w:t>
            </w:r>
          </w:p>
          <w:p w14:paraId="7D360F7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21. 麦克风支持≥2种充电方式，可通过充电仓给麦克风充电、Type-C接口给麦克风直接充电。</w:t>
            </w:r>
          </w:p>
          <w:p w14:paraId="5F8AD9B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22. 麦克风电量0%～100%的充电时间≤1h，充电仓电量0%～100%的充电时间≤2h。充电仓可讲两个麦克风同时从0%～100%充满3次。</w:t>
            </w:r>
          </w:p>
          <w:p w14:paraId="278CED8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23. 麦克风在没电的情况下充电10分钟，可使用时间≥1h。麦克风非待机情况下续航时间≥7h。搭配充电仓，两个麦克风续航时间均可≥20h。</w:t>
            </w:r>
          </w:p>
          <w:p w14:paraId="3748D8D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24. 支持自动升级，升级文件可由录播主机下发接收器与麦克风。</w:t>
            </w:r>
          </w:p>
          <w:p w14:paraId="41F2E2A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25. 支持通过录播系统查看麦克风状态信息，包括版本信息、电量信息、信号强度信息。</w:t>
            </w:r>
          </w:p>
          <w:p w14:paraId="02C8DBF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26. 支持进行恢复出厂设置。</w:t>
            </w:r>
          </w:p>
          <w:p w14:paraId="55BEB57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27. 当充电仓和麦克风完全没电后，充上电时仍能立刻开机并开始充电。</w:t>
            </w:r>
          </w:p>
          <w:p w14:paraId="597416C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28. 麦克风单体重量≤30g。</w:t>
            </w:r>
          </w:p>
          <w:p w14:paraId="0ACCD04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29. 麦克风领夹角度支持调节，调节角度≥±90°；麦克风与领夹夹角相对0°位置具备限位功能。</w:t>
            </w:r>
          </w:p>
          <w:p w14:paraId="6F4235A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30. 支持抗干扰能力，支持自动跳频技术，避免同频干扰问题，同一空间内有多个无线麦克风不会产生相互干扰。</w:t>
            </w:r>
          </w:p>
          <w:p w14:paraId="0E89D93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31. 麦克风采用心型指向。</w:t>
            </w:r>
          </w:p>
          <w:p w14:paraId="2A6D578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32. 麦克风音频采样率≥48kHz。</w:t>
            </w:r>
          </w:p>
          <w:p w14:paraId="6F8E7A5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33. 麦克风音频采样精度≥16bit。</w:t>
            </w:r>
          </w:p>
          <w:p w14:paraId="1C4D875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34. 充电仓内部电池为可充电式锂电池，电池容量≥1500mAh。</w:t>
            </w:r>
          </w:p>
          <w:p w14:paraId="50D6364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35. 无线麦克风内部电池为可充电式锂电池，电池容量≥180mAh。</w:t>
            </w:r>
          </w:p>
          <w:p w14:paraId="63C86A2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36. 无线麦克风工作频段2.4GHz。</w:t>
            </w:r>
          </w:p>
          <w:p w14:paraId="6ADD21C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37. 通信保持状态下，支持在空旷环境下，有效传输距离≥100m。</w:t>
            </w:r>
          </w:p>
          <w:p w14:paraId="679E5D3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38. 通信保持状态下，支持在室内使用场景下，穿墙后有效传输距离≥20m。</w:t>
            </w:r>
          </w:p>
          <w:p w14:paraId="545A677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十二、功放音箱</w:t>
            </w:r>
          </w:p>
          <w:p w14:paraId="5CF0BEC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1.采用功放与互动音箱一体化设计，内置麦克风无线接收模块，帮助教师实现多媒体扩音以及本地扩声功能。</w:t>
            </w:r>
          </w:p>
          <w:p w14:paraId="15A9E31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2.双音箱有线连接，机箱采用塑胶材质，保护设备免受环境影响。</w:t>
            </w:r>
          </w:p>
          <w:p w14:paraId="0C58A7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3.输出额定功率≥2*15W。</w:t>
            </w:r>
          </w:p>
          <w:p w14:paraId="5BE3FFF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4.配置独立音频数字信号处理芯片，支持啸叫抑制功能。</w:t>
            </w:r>
          </w:p>
          <w:p w14:paraId="08E6E04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5.支持教师扩声和输入音源叠加输出。</w:t>
            </w:r>
          </w:p>
          <w:p w14:paraId="1481D8C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十三、三个课堂校级应用管理平台</w:t>
            </w:r>
          </w:p>
          <w:p w14:paraId="5A7E4F8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 支持管理员根据不同教师的工作需求创建角色，自定义该角色的名称和可试用的功能权限；支持管理员查看各角色人数。</w:t>
            </w:r>
          </w:p>
          <w:p w14:paraId="1B4A69B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 支持用户在发布课程时上传相关资料，上传资料格式支持≥5种；课程发布后，观众观看课程时支持下载相关资料。</w:t>
            </w:r>
          </w:p>
          <w:p w14:paraId="05C450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 支持管理员对本校教师申请发布的课程进行审核，监控公开公开课程资源的质量；可拒绝课程发布，拒绝时需填写拒绝原因。若课程未通过审核，消息中心会自动通知该课程归属老师。</w:t>
            </w:r>
          </w:p>
          <w:p w14:paraId="2DD33B3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 支持用户对已发布的视频进行视频打点并插入课堂评价，所评论内容需关联视频对应的时间点。</w:t>
            </w:r>
          </w:p>
          <w:p w14:paraId="2B9073F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 支持用户在线对课堂视频进行评论，所评论的内容以新消息提示的方式自动提醒授课教师。</w:t>
            </w:r>
          </w:p>
          <w:p w14:paraId="7FBF964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 支持管理员对用户评论进行信息管理，可选择性删除评论内容，管控评论秩序。</w:t>
            </w:r>
          </w:p>
          <w:p w14:paraId="02AC810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 支持在页面实时提醒新增课程计划、课程审核通过/被拒绝、认证成功、成功加入教研组等消息。</w:t>
            </w:r>
          </w:p>
          <w:p w14:paraId="1670D8A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 支持在直播结束前，修改直播的结束时间、名称、封面、课件、直播简介、聊天互动权限等设置。修改原分享的链接和二维码不变，活动调整不会导致原分享链接和二维码失效。</w:t>
            </w:r>
          </w:p>
          <w:p w14:paraId="525257D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 支持在创建直播时添加直播助教，助教进入工作台可进行直播间秩序维护。</w:t>
            </w:r>
          </w:p>
          <w:p w14:paraId="242F097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 支持助教对观众聊天互动的发言记录进行单个或批量删除，并可对观众进行单个或批量禁言，禁言后观众将不能在直播互动中发表言论。</w:t>
            </w:r>
          </w:p>
          <w:p w14:paraId="14A13E0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 支持助教对当前直播多次发起签到，并在签到结束后导出签到名单；发起签到后观众会在直播界面收到实时的签到提醒，帮助教师收集观众在线信息。</w:t>
            </w:r>
          </w:p>
          <w:p w14:paraId="6F8BD81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12. 支出助教对当前直播活动发布公告内容，发布成功后观众在直播界面收到实时弹窗内容。</w:t>
            </w:r>
          </w:p>
          <w:p w14:paraId="776B67D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 支持用户一键生成直播海报或链接进行分享，其他用户通过扫描海报上的二维码或打开链接的方式，观看直播视频。</w:t>
            </w:r>
          </w:p>
          <w:p w14:paraId="7C5688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14. 支持用户生成直播海报后，直接在网页中一键复制图片，并粘贴至微信中发送，无需下载图片保存本地。</w:t>
            </w:r>
          </w:p>
          <w:p w14:paraId="330351A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15. 支持PC端、移动端通过分享的链接地址，查看直播活动的相关信息，包括封面、活动名称、学校名称、活动开始时间、简介、预览课件等。</w:t>
            </w:r>
          </w:p>
          <w:p w14:paraId="143F51F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16. 支持用户在预览课件时，在课件上进行书写、擦除、移动图片素材等操作，且操作不影响原课件内容，可在开始直播前，预览主讲老师的课件。</w:t>
            </w:r>
          </w:p>
          <w:p w14:paraId="76F9A76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17. 支持教师可选择云课件与直播关联，无需上传本地文件。课件与直播关联后，用户可在活动开始时间前查看云课件。活动开始后，用户可在观看直播视频的同时在线查看已关联的云课件。</w:t>
            </w:r>
          </w:p>
          <w:p w14:paraId="094148D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18. 支持用户自主选择上传图片或视频，作为暖场素材在直播间隙循环播放。</w:t>
            </w:r>
          </w:p>
          <w:p w14:paraId="28A9F7F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19. 直播开始后，可查看直播的人气峰值、观看人次、累计点赞、观众发言次数、签到人数等数据，掌握直播情况。</w:t>
            </w:r>
          </w:p>
          <w:p w14:paraId="49E79E0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 支持教师选择直播中各时段生成的回放视频，删除不必要的回放片段生成回放视频。回放视频可选择发布至专递示范课、名校网络课堂、名师示范课，其他师生可以观看。</w:t>
            </w:r>
          </w:p>
          <w:p w14:paraId="56A8247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21. 教师可将多场已创建的直播、互动课堂、互动教研、课例评课活动，添加至同一分组。每个分组自动生成二维码和链接，观众可在一个分组链接中选择不同活动进行观看。</w:t>
            </w:r>
          </w:p>
          <w:p w14:paraId="1FB7D6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22. 支持用户通过课程、教师、学校名称关键词搜索已发布的课程资源；用户可查看最近搜索关键词记录，能再次查找相关课程。</w:t>
            </w:r>
          </w:p>
          <w:p w14:paraId="34595AA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23. 支持自动统计教研的点评次数、平均分、观摩人数等数据，同时可查看文字点评的详情记录、评课表题目的客观题评分、主观题回答情况、教师评课记录。</w:t>
            </w:r>
          </w:p>
          <w:p w14:paraId="5D584BE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24. 支持超级管理员编辑平台一级和二级导航栏的标题内容，并可拖拽调整一级导航栏的排序，实现管理者设置个性化的平台。</w:t>
            </w:r>
          </w:p>
          <w:p w14:paraId="1E5E06C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25. 支持课表逐级汇总，可将教师个人课程计划、学校全体课程计划、区域全体课程计划在一张课表中展示，用户可查看。</w:t>
            </w:r>
          </w:p>
          <w:p w14:paraId="3CE113C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26. 支持通过学段、学科、课程分类筛选课程视频；课程支持微课、培训讲座、课堂实录分类；用户能定位查看所需课程。</w:t>
            </w:r>
          </w:p>
          <w:p w14:paraId="2A6FDDF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27. 支持名校网络课堂页面，展示详细学校情况，包括学校简介、活跃教师、学校上传的全部课程、课程观看总人次等数据。可在活跃教师排行榜中，查看各位名师发起的课程总数及总观看人次。</w:t>
            </w:r>
          </w:p>
          <w:p w14:paraId="35DC44F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28. 支持访问平台网页观看线上课程时，直接在平台网页中参与知识配对、选词填空、趣味分类在线互动答题，完成后可直接查看答题用时和答题排行榜，并可选择继续观看视频或再玩一次。</w:t>
            </w:r>
          </w:p>
          <w:p w14:paraId="11C1E57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29. 支持用户通过浏览器对本地上传的视频完成在线剪辑，将视频的无效内容删除。进行剪辑后，用户可通过在线浏览窗口，实时查看剪辑内容。</w:t>
            </w:r>
          </w:p>
          <w:p w14:paraId="7648D08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30. 支持用户在平台上查看已上传的云课件，并选择课件中的课堂活动插入视频中，设置为课程的互动答题环节；课程发布后，用户观看到所对应的课程时间点时，系统将自动弹出课堂活动，需要完成互动答题才可进入下一阶段的知识点学习。</w:t>
            </w:r>
          </w:p>
          <w:p w14:paraId="572CBD8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31. 支持用户拖拽视频起点与终点取出头部或尾部的无效内容，截取保留视频中的重要部分；并可基于时间刻度，将视频分割成若干片段，把无效视频删除。</w:t>
            </w:r>
          </w:p>
          <w:p w14:paraId="7652F18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十四、控制面板</w:t>
            </w:r>
          </w:p>
          <w:p w14:paraId="7F63781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1.支持≥1个RS232接口。</w:t>
            </w:r>
          </w:p>
          <w:p w14:paraId="49EC12A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2.支持≥1个RS422接口。</w:t>
            </w:r>
          </w:p>
          <w:p w14:paraId="1B03B7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3.支持≥1个RS485接口。</w:t>
            </w:r>
          </w:p>
          <w:p w14:paraId="4D4C90E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4.支持≥1个USB接口。</w:t>
            </w:r>
          </w:p>
          <w:p w14:paraId="230EBD3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5.整机为可嵌入式设计，可嵌入讲台、墙壁内安装。</w:t>
            </w:r>
          </w:p>
          <w:p w14:paraId="2FC68F5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6.整体支持≥19个物理按键。</w:t>
            </w:r>
          </w:p>
          <w:p w14:paraId="6DC66D5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7.支持控制录播主机开关机、支持控制录播开启录制、直播和结束录播、直播。</w:t>
            </w:r>
          </w:p>
          <w:p w14:paraId="072C1E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8.支持通过按键切换自动导播和手动导播。</w:t>
            </w:r>
          </w:p>
          <w:p w14:paraId="6108737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9.支持手动切换教师全景、教师特写、学生全景、学生特写、多媒体画面和板书画面，方便老师自由的切换需要的录制/直播画面。</w:t>
            </w:r>
          </w:p>
          <w:p w14:paraId="2928214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10.支持通过控制面板和远端建立远程连接，实现远程互动。</w:t>
            </w:r>
          </w:p>
          <w:p w14:paraId="380B3C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11.支持通过控制面板控制拉起3个远端进行发言、挂断三个远端的发言。</w:t>
            </w:r>
          </w:p>
          <w:p w14:paraId="6697A72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12.支持一键静音。</w:t>
            </w:r>
          </w:p>
          <w:p w14:paraId="1E73A3B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13.支持按键灯设计、按键灯可显示当前录播主机工作状态。</w:t>
            </w:r>
          </w:p>
          <w:p w14:paraId="01EB068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14.内置蜂鸣器，开关机时能提示操作是否生效。</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3232379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套</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13A67BF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r>
      <w:tr w14:paraId="301CF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72EB33B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7F039A1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台式计算机</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5B3D5A9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产品形态采用一体机设计（非分体式台式机）。</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处理器：采用国产化处理器，≥8 核, ≥2.7GHz 主频。</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内存：容量≥16GB；频率≥2666Mhz，内存插槽≥2 个。</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硬盘： ≥512G M.2 NVme SSD，网卡： ≥1个千兆以太网卡。</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显卡：集成显卡。，电源：功率≤135W，转换能效≥89%。</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音频：≥3W*2 音箱；数字阵列麦克风≥1。</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视频接口：HDMI-IN 接口≥1 个，HDMI-OUT 接口≥1 个；</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接口： 侧置 USB3.0 Type-C 接口≥1 个，后置 USB 接口≥3 个。</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摄像头：500W 像素摄像头≥1，支持按键物理开关。</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操作系统：支持国产化操作系统 ，整机通过 CCC 认证、节能认证、环境认证。显示器： ≥23.8 英寸，支持 1080P，支持≥99%RGB 色域，屏占比≥92；刷新率≥100Hz。                                                                                                                                                        保修服务：原厂 3 年整机保修，3 年上门服务。</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002D1AD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63C1272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w:t>
            </w:r>
          </w:p>
        </w:tc>
      </w:tr>
      <w:tr w14:paraId="59B41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2370531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51D4E1C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笔记本电脑</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4BCBF2A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机型：商用高端笔记本,外壳合金材质；</w:t>
            </w:r>
          </w:p>
          <w:p w14:paraId="00BCE08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显示屏：14.5寸”IPS屏幕，屏占比高达90%；</w:t>
            </w:r>
          </w:p>
          <w:p w14:paraId="2BA6EA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处理器：采用国产化处理器</w:t>
            </w:r>
          </w:p>
          <w:p w14:paraId="2C7C442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 xml:space="preserve">内存：≥16GB，双内存插槽；  </w:t>
            </w:r>
          </w:p>
          <w:p w14:paraId="260E4E1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硬盘：≥512G SSD硬盘；</w:t>
            </w:r>
          </w:p>
          <w:p w14:paraId="44FC8A6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显卡：集成显卡；</w:t>
            </w:r>
          </w:p>
          <w:p w14:paraId="7447821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声卡：集成高清声卡；</w:t>
            </w:r>
          </w:p>
          <w:p w14:paraId="2782266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网卡：支持winfi6无线网卡；</w:t>
            </w:r>
          </w:p>
          <w:p w14:paraId="1FD3589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摄像头：≥720P高清摄像头,支持物理遮蔽防窥；</w:t>
            </w:r>
          </w:p>
          <w:p w14:paraId="4E7A66F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接口：2个USB-A 3.2 G1接口，2个USB-C全功能接口，一个HDMI接口、耳麦二合一接口、RJ45接口；</w:t>
            </w:r>
          </w:p>
          <w:p w14:paraId="5E45471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轻便化设计：重量≤1.1KG（含电池），厚度≤17mm</w:t>
            </w:r>
          </w:p>
          <w:p w14:paraId="056E0DA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电源：65W 3pin适配器；</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3A5DF97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1563618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r>
      <w:tr w14:paraId="20A01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7"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198C558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512C57E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平板电脑</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43BA82A5">
            <w:pPr>
              <w:keepNext w:val="0"/>
              <w:keepLines w:val="0"/>
              <w:pageBreakBefore w:val="0"/>
              <w:widowControl/>
              <w:numPr>
                <w:ilvl w:val="0"/>
                <w:numId w:val="20"/>
              </w:numPr>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处理器：采用国产自主可控处理器</w:t>
            </w:r>
          </w:p>
          <w:p w14:paraId="1C79144F">
            <w:pPr>
              <w:keepNext w:val="0"/>
              <w:keepLines w:val="0"/>
              <w:pageBreakBefore w:val="0"/>
              <w:widowControl/>
              <w:numPr>
                <w:ilvl w:val="0"/>
                <w:numId w:val="20"/>
              </w:numPr>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存储容量：RAM8GB/ROM256GB</w:t>
            </w:r>
          </w:p>
          <w:p w14:paraId="28F0861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3.操作系统：支持国产操作系统</w:t>
            </w:r>
          </w:p>
          <w:p w14:paraId="273A1D4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4.屏幕尺寸：</w:t>
            </w:r>
            <w:r>
              <w:rPr>
                <w:rFonts w:hint="eastAsia" w:ascii="宋体" w:hAnsi="宋体" w:eastAsia="宋体" w:cs="宋体"/>
                <w:i w:val="0"/>
                <w:iCs w:val="0"/>
                <w:color w:val="000000"/>
                <w:sz w:val="21"/>
                <w:szCs w:val="21"/>
                <w:highlight w:val="none"/>
                <w:u w:val="none"/>
              </w:rPr>
              <w:t>≥</w:t>
            </w:r>
            <w:r>
              <w:rPr>
                <w:rFonts w:hint="eastAsia" w:ascii="宋体" w:hAnsi="宋体" w:eastAsia="宋体" w:cs="宋体"/>
                <w:i w:val="0"/>
                <w:iCs w:val="0"/>
                <w:color w:val="000000"/>
                <w:kern w:val="0"/>
                <w:sz w:val="21"/>
                <w:szCs w:val="21"/>
                <w:highlight w:val="none"/>
                <w:u w:val="none"/>
                <w:lang w:val="en-US" w:eastAsia="zh-CN" w:bidi="ar"/>
              </w:rPr>
              <w:t>11.5英寸</w:t>
            </w:r>
          </w:p>
          <w:p w14:paraId="31A7B14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5.屏幕分辨率：</w:t>
            </w:r>
            <w:r>
              <w:rPr>
                <w:rFonts w:hint="eastAsia" w:ascii="宋体" w:hAnsi="宋体" w:eastAsia="宋体" w:cs="宋体"/>
                <w:i w:val="0"/>
                <w:iCs w:val="0"/>
                <w:color w:val="000000"/>
                <w:sz w:val="21"/>
                <w:szCs w:val="21"/>
                <w:highlight w:val="none"/>
                <w:u w:val="none"/>
              </w:rPr>
              <w:t>≥</w:t>
            </w:r>
            <w:r>
              <w:rPr>
                <w:rFonts w:hint="eastAsia" w:ascii="宋体" w:hAnsi="宋体" w:eastAsia="宋体" w:cs="宋体"/>
                <w:i w:val="0"/>
                <w:iCs w:val="0"/>
                <w:color w:val="000000"/>
                <w:kern w:val="0"/>
                <w:sz w:val="21"/>
                <w:szCs w:val="21"/>
                <w:highlight w:val="none"/>
                <w:u w:val="none"/>
                <w:lang w:val="en-US" w:eastAsia="zh-CN" w:bidi="ar"/>
              </w:rPr>
              <w:t>2800*1840</w:t>
            </w:r>
          </w:p>
          <w:p w14:paraId="24CECCD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6.屏幕刷新率：</w:t>
            </w:r>
            <w:r>
              <w:rPr>
                <w:rFonts w:hint="eastAsia" w:ascii="宋体" w:hAnsi="宋体" w:eastAsia="宋体" w:cs="宋体"/>
                <w:i w:val="0"/>
                <w:iCs w:val="0"/>
                <w:color w:val="000000"/>
                <w:sz w:val="21"/>
                <w:szCs w:val="21"/>
                <w:highlight w:val="none"/>
                <w:u w:val="none"/>
              </w:rPr>
              <w:t>≥</w:t>
            </w:r>
            <w:r>
              <w:rPr>
                <w:rFonts w:hint="eastAsia" w:ascii="宋体" w:hAnsi="宋体" w:eastAsia="宋体" w:cs="宋体"/>
                <w:i w:val="0"/>
                <w:iCs w:val="0"/>
                <w:color w:val="000000"/>
                <w:kern w:val="0"/>
                <w:sz w:val="21"/>
                <w:szCs w:val="21"/>
                <w:highlight w:val="none"/>
                <w:u w:val="none"/>
                <w:lang w:val="en-US" w:eastAsia="zh-CN" w:bidi="ar"/>
              </w:rPr>
              <w:t>144Hz</w:t>
            </w:r>
          </w:p>
          <w:p w14:paraId="17F7B6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7.电池容量：</w:t>
            </w:r>
            <w:r>
              <w:rPr>
                <w:rFonts w:hint="eastAsia" w:ascii="宋体" w:hAnsi="宋体" w:eastAsia="宋体" w:cs="宋体"/>
                <w:i w:val="0"/>
                <w:iCs w:val="0"/>
                <w:color w:val="000000"/>
                <w:sz w:val="21"/>
                <w:szCs w:val="21"/>
                <w:highlight w:val="none"/>
                <w:u w:val="none"/>
              </w:rPr>
              <w:t>≥</w:t>
            </w:r>
            <w:r>
              <w:rPr>
                <w:rFonts w:hint="eastAsia" w:ascii="宋体" w:hAnsi="宋体" w:eastAsia="宋体" w:cs="宋体"/>
                <w:i w:val="0"/>
                <w:iCs w:val="0"/>
                <w:color w:val="000000"/>
                <w:kern w:val="0"/>
                <w:sz w:val="21"/>
                <w:szCs w:val="21"/>
                <w:highlight w:val="none"/>
                <w:u w:val="none"/>
                <w:lang w:val="en-US" w:eastAsia="zh-CN" w:bidi="ar"/>
              </w:rPr>
              <w:t>8</w:t>
            </w:r>
            <w:r>
              <w:rPr>
                <w:rFonts w:hint="eastAsia" w:cs="宋体"/>
                <w:i w:val="0"/>
                <w:iCs w:val="0"/>
                <w:color w:val="000000"/>
                <w:kern w:val="0"/>
                <w:sz w:val="21"/>
                <w:szCs w:val="21"/>
                <w:highlight w:val="none"/>
                <w:u w:val="none"/>
                <w:lang w:val="en-US" w:eastAsia="zh-CN" w:bidi="ar"/>
              </w:rPr>
              <w:t>0</w:t>
            </w:r>
            <w:r>
              <w:rPr>
                <w:rFonts w:hint="eastAsia" w:ascii="宋体" w:hAnsi="宋体" w:eastAsia="宋体" w:cs="宋体"/>
                <w:i w:val="0"/>
                <w:iCs w:val="0"/>
                <w:color w:val="000000"/>
                <w:kern w:val="0"/>
                <w:sz w:val="21"/>
                <w:szCs w:val="21"/>
                <w:highlight w:val="none"/>
                <w:u w:val="none"/>
                <w:lang w:val="en-US" w:eastAsia="zh-CN" w:bidi="ar"/>
              </w:rPr>
              <w:t>00mAh典型值</w:t>
            </w:r>
          </w:p>
          <w:p w14:paraId="09C8D42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8.前后置摄像头：前置</w:t>
            </w:r>
            <w:r>
              <w:rPr>
                <w:rFonts w:hint="eastAsia" w:ascii="宋体" w:hAnsi="宋体" w:eastAsia="宋体" w:cs="宋体"/>
                <w:i w:val="0"/>
                <w:iCs w:val="0"/>
                <w:color w:val="000000"/>
                <w:sz w:val="21"/>
                <w:szCs w:val="21"/>
                <w:highlight w:val="none"/>
                <w:u w:val="none"/>
              </w:rPr>
              <w:t>≥</w:t>
            </w:r>
            <w:r>
              <w:rPr>
                <w:rFonts w:hint="eastAsia" w:ascii="宋体" w:hAnsi="宋体" w:eastAsia="宋体" w:cs="宋体"/>
                <w:i w:val="0"/>
                <w:iCs w:val="0"/>
                <w:color w:val="000000"/>
                <w:kern w:val="0"/>
                <w:sz w:val="21"/>
                <w:szCs w:val="21"/>
                <w:highlight w:val="none"/>
                <w:u w:val="none"/>
                <w:lang w:val="en-US" w:eastAsia="zh-CN" w:bidi="ar"/>
              </w:rPr>
              <w:t>800万像素；后置</w:t>
            </w:r>
            <w:r>
              <w:rPr>
                <w:rFonts w:hint="eastAsia" w:ascii="宋体" w:hAnsi="宋体" w:eastAsia="宋体" w:cs="宋体"/>
                <w:i w:val="0"/>
                <w:iCs w:val="0"/>
                <w:color w:val="000000"/>
                <w:sz w:val="21"/>
                <w:szCs w:val="21"/>
                <w:highlight w:val="none"/>
                <w:u w:val="none"/>
              </w:rPr>
              <w:t>≥</w:t>
            </w:r>
            <w:r>
              <w:rPr>
                <w:rFonts w:hint="eastAsia" w:ascii="宋体" w:hAnsi="宋体" w:eastAsia="宋体" w:cs="宋体"/>
                <w:i w:val="0"/>
                <w:iCs w:val="0"/>
                <w:color w:val="000000"/>
                <w:kern w:val="0"/>
                <w:sz w:val="21"/>
                <w:szCs w:val="21"/>
                <w:highlight w:val="none"/>
                <w:u w:val="none"/>
                <w:lang w:val="en-US" w:eastAsia="zh-CN" w:bidi="ar"/>
              </w:rPr>
              <w:t>1300万像素</w:t>
            </w:r>
          </w:p>
          <w:p w14:paraId="684F497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9.接口：Type-C接口</w:t>
            </w:r>
          </w:p>
          <w:p w14:paraId="3F6660C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10.WIFI：支持802.11 a/b/g/n/ac/ax无线协议；蓝牙5.2并向下兼容</w:t>
            </w:r>
          </w:p>
          <w:p w14:paraId="2D0C095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11.配套集中充电柜</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7EFBCC1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31D4BF2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w:t>
            </w:r>
          </w:p>
        </w:tc>
      </w:tr>
      <w:tr w14:paraId="15C03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6E2AB6F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1D00666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电子班牌</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41DC7095">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一、硬件功能参数</w:t>
            </w:r>
          </w:p>
          <w:p w14:paraId="43314593">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1．采用≥21.5英寸电容显示屏，支持10点触控，屏幕分辨率≥1920*1080，显示比例16:9；屏幕亮度≥500cd/㎡。整机最大厚度≤30mm</w:t>
            </w:r>
          </w:p>
          <w:p w14:paraId="05172BDB">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2．屏体采用宽温液晶屏，屏体工作温度区间跨度不小于零下20°C-80°C。</w:t>
            </w:r>
          </w:p>
          <w:p w14:paraId="7F4C4301">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3．整机采用防水防尘结构设计，适用于学校教室半户外环境，防护等级不低于IP65。</w:t>
            </w:r>
          </w:p>
          <w:p w14:paraId="00DAC17F">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4．整机正面不采用贴膜方式具备防眩光功能</w:t>
            </w:r>
          </w:p>
          <w:p w14:paraId="7D8FFEE0">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5．可拍摄不低于200W像素的照片，支持不少于10人同时进行人脸识别。可支持学生无卡考勤签到、查看个人课程表、家长留言等个人信息。</w:t>
            </w:r>
          </w:p>
          <w:p w14:paraId="12326928">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6．整机在逆光（人像处于背景照度≥80000Lux）环境下距离≤0.5m可正常进行人脸识别</w:t>
            </w:r>
          </w:p>
          <w:p w14:paraId="0D135720">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7．整机内置红外补光灯和双目摄像头，能同时打开彩色和黑白照片，具备活体检测功能</w:t>
            </w:r>
          </w:p>
          <w:p w14:paraId="387CE371">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8．内置高灵敏度的全向麦克风，拾音半径不小于0.5m，支持学生语音留言，留言内容同步发送至家长微信。</w:t>
            </w:r>
          </w:p>
          <w:p w14:paraId="0E3A5878">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9．整机采用内置天线设计，无任何天线外露。</w:t>
            </w:r>
          </w:p>
          <w:p w14:paraId="102BBBC2">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10．整机支持外接门禁控制。</w:t>
            </w:r>
          </w:p>
          <w:p w14:paraId="0BFE7EE7">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11．整机CPU≥4核，最高主频≥1.9G，操作系统版本不低于Android 9.0。系统运行内存不低于2GB，存储容量不低于16GB</w:t>
            </w:r>
          </w:p>
          <w:p w14:paraId="1E227DEC">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二、云电子班牌应用软件：</w:t>
            </w:r>
          </w:p>
          <w:p w14:paraId="510D7C31">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13．人脸识别考勤功能支持离线识别，无网络环境下班牌仍可以进行人脸识别考勤。</w:t>
            </w:r>
          </w:p>
          <w:p w14:paraId="7012040B">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14．班牌可显示对应场地的历史考勤记录，可按日查看考勤事件的名称、考勤时间、考勤结果，考勤结果按准点、迟到、缺勤、请假等状态分类展示考勤名单，突出标识迟到或缺勤人员。</w:t>
            </w:r>
          </w:p>
          <w:p w14:paraId="3E4FA315">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15．学生考勤结果可自动推送至家长手机端，供家长查看学生考勤信息。支持考勤结束后自动推送考勤结果给班主任和任课老师，同时老师可设置关闭通知开关。</w:t>
            </w:r>
          </w:p>
          <w:p w14:paraId="05CD20DE">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16．支持教师授课考勤，教师通过人脸识别或手机扫描所在班级班牌的二维码完成授课考勤。考勤结果支持按日查询，可查看每名教师的打卡时间及考勤状态，总览教师授课出勤准点率等情况。针对指定课程，可设置教师与学生同时进行考勤，也可只对学生或教师单独进行考勤。</w:t>
            </w:r>
          </w:p>
          <w:p w14:paraId="3BF97043">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17．支持批量为班级颁发具备有效期限的流动红旗，获奖班级班牌界面使用荣誉班级专用主题风格。</w:t>
            </w:r>
          </w:p>
          <w:p w14:paraId="7AF3BE88">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18．班牌可连接对应场地内的网络摄像头和录播设备，在班牌即可査看教室内的上课画面，实现电子可视化巡课；可在单个班牌切换查看多个班级部署可视化巡课系统的课堂画面。</w:t>
            </w:r>
          </w:p>
          <w:p w14:paraId="04231610">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19．班牌巡课具备权限管理功能，需用户扫码验证教师后，方可使用该功能，避免无关人士使用。</w:t>
            </w:r>
          </w:p>
          <w:p w14:paraId="4B5F38E5">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20．支持班级名称更新，学年结束后管理员可一键升级全校班牌的班级名称，如“一年级一班”自动升级为“二年级一班”，管理员也可一键将毕业年级升级为毕业班。</w:t>
            </w:r>
          </w:p>
          <w:p w14:paraId="32B9DDA9">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21．班牌投票：支持老师在手机端发布投票到班牌，然后学生可以在班牌端通过刷脸或刷卡进行投票表决。</w:t>
            </w:r>
          </w:p>
          <w:p w14:paraId="64B5FB8B">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22．支持学校管理员或班主任在微信端编辑并发起问卷，家长在微信端填写问卷（如：体温打卡）后，即可实现信息回传给学校，学校老师可以在云班后台或微信端实时查看家长提交的数据。</w:t>
            </w:r>
          </w:p>
          <w:p w14:paraId="2E9C4CCF">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23．班牌端录入人脸识别照片：老师在班牌端扫码后，即可进入人脸照片录入界面，可依次让学生直接在班牌上拍照上传人脸识别照片。</w:t>
            </w:r>
          </w:p>
          <w:p w14:paraId="26EFCE04">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24．支持学生在个人空间查看每日课程表，包含上课时间、场地、任课老师等信息，支持学生在个人空间查看个人每日考勤记录，学生在班牌刷卡登录个人中心后，可以主动向家长发起语音留言，留言后家长微信可收到提醒。</w:t>
            </w:r>
          </w:p>
          <w:p w14:paraId="603225F7">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25．班牌软件支持远程0TA静默升级。</w:t>
            </w:r>
          </w:p>
          <w:p w14:paraId="508C3F87">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26．班牌内置电子动态二维码供用户提交反馈建议，提交反馈时会自动上报该设备的配置、运行状态等信息。</w:t>
            </w:r>
          </w:p>
          <w:p w14:paraId="725A163C">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27．支持用户在后台直接预览班牌端当前展示内容。</w:t>
            </w:r>
          </w:p>
          <w:p w14:paraId="51434911">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28．班牌触摸禁用：支持在后台将设备锁屏，锁屏状态下操作屏幕，会提示需要扫码解锁方可进一步操作屏幕。</w:t>
            </w:r>
          </w:p>
          <w:p w14:paraId="36C4408E">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三、云班牌平台管理系统：</w:t>
            </w:r>
          </w:p>
          <w:p w14:paraId="1AFD9FE0">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29．整套应用系统基于SaaS布局，应用界面采用B/S架构设计，支持学校管理者在Windows、Linux、Android、IOS等多种不同的操作系统上通过网页浏览器登陆进行所有管理指令操作。家长通过常用移动通讯应用工具即可实现家校互通，通知消息接收。</w:t>
            </w:r>
          </w:p>
          <w:p w14:paraId="2A4F1D79">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30．系统可在后台发布班牌展示信息内容，支持照片、视频、新闻、公告、电子欢迎横幅等类型，内容支持图文混合排版；信息发布具备定向发布功能，可按照全校、班级层级进行定向信息推送；</w:t>
            </w:r>
          </w:p>
          <w:p w14:paraId="6D8EAC4F">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31．联动校宣：发布的校级图片、视频、新闻、公告，可同时传到班牌和一体机（安装校园信息视窗软件）上展示。</w:t>
            </w:r>
          </w:p>
          <w:p w14:paraId="72191E6A">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32．设置屏保模式后，班牌长时间处于无人操作状态下将自动切换至屏幕保护模式，屏保模式下可选择全校、班级相册轮播、置顶已发布公告等多种内容展示。</w:t>
            </w:r>
          </w:p>
          <w:p w14:paraId="19FC1C96">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33．系统内置超过200张屏保云图，分属于不同的云图库（如：卫生健康、党建文化、科普知识等），用户可以选择需要的云图库作为班牌屏保。</w:t>
            </w:r>
          </w:p>
          <w:p w14:paraId="094513C9">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34．支持发布校级重要公告，新增公告内容同步在全校班牌置顶展示。</w:t>
            </w:r>
          </w:p>
          <w:p w14:paraId="6E87E1B9">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35．系统内置超过20套公告模板（如：家长会通知、寒暑假通知等），可供用户发布公告时套用。</w:t>
            </w:r>
          </w:p>
          <w:p w14:paraId="07883CA0">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36．系统内置50+海报模板（如，欢迎模式，卫生健康，校园风采，通知公告等），支持用户自定义修改背景及文案。同时可以自定义管理海报分类。</w:t>
            </w:r>
          </w:p>
          <w:p w14:paraId="34668544">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37．支持展示学校所在区域今日及明后两天的天气状况和今日空气质量指数，可详细查看当日PM10、PM2.5、NO2、SO2等常见污染物数据，并根据当前天气状态自动切换对应的主题插图。</w:t>
            </w:r>
          </w:p>
          <w:p w14:paraId="7A29FE67">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38．支持对信息发布进行审核权限管理，可同时设置不同审核人，用户进行信息发布时，需由指定用户审核后才可在设备上展示。</w:t>
            </w:r>
          </w:p>
          <w:p w14:paraId="793A5136">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39．支持信息发布IP白名暈管理，可将相关管理人员的办公网络IP地址纳入“IP白名单”，白名单外的IP地址无法获取信息发布权限。</w:t>
            </w:r>
          </w:p>
          <w:p w14:paraId="2805CEC1">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40．系统提供科目数据库，内置常见学科科目名称，且支持自定义增添科目。</w:t>
            </w:r>
          </w:p>
          <w:p w14:paraId="3C7714A0">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41．支持以电子表格形式快速导入或人工创建课程表，具备单科目快速排课功能，可将某科目在课程表中跨日跨时段快速复制，提高录入效率。</w:t>
            </w:r>
          </w:p>
          <w:p w14:paraId="490B4194">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42．系统提供基础信息库，包含教师、班级、学生、场地、一卡通等数据，支持电子表格批量导入或手工导入。提供考试信息库，包含考场号、场地、考试时间、科目等数据，支持电子表格批量导入或手工导入。提供考试信息库，包含考场号、场地、考试时间、科目等数据，支持电子表格批量导入或手工导入。</w:t>
            </w:r>
          </w:p>
          <w:p w14:paraId="542594DF">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支持管理员、年级级长和班主任多层级角色和权限管理，可以自定义年级级长和管理员权限。</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7470739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个</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57AC75C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r>
      <w:tr w14:paraId="228C7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023BC97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38ED364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讲台</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2CE5EFC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1．钢木结合设计，采用冷轧钢板桌体，桌体金属板厚度≥0.8-1.2mm，老师接触位置为木质桌面，桌面采用E0级环保高密度板。</w:t>
            </w:r>
          </w:p>
          <w:p w14:paraId="5D1B938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2．讲台尺寸设计为长×宽×高：≥ 1100×550×1000，环抱老师式设计，根据人体力学设计，讲台桌面高度合适老师放置教学用品。</w:t>
            </w:r>
          </w:p>
          <w:p w14:paraId="3B49258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3．讲台桌面平整，全封闭设计，整体外观圆弧设计，无菱角处理，正面中部受到170N的冲击力时不会倾倒，保护师生安全。</w:t>
            </w:r>
          </w:p>
          <w:p w14:paraId="052DA3B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4．下体带门，可存放电脑主机，功放等设备</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5CB8480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张</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566F4FB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r>
      <w:tr w14:paraId="6CC15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6973155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3301FFD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教师办公桌椅</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3FC41D6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整体规格：2200*600*750，板面材质：国家标准E1优质高密度实木颗粒板厚度为25mm，板材需符合国家要求，板材具有耐磨、硬度高、防水、防污、耐高温、抗酸碱，光滑平整，防划伤高强耐磨,集中耐高温200℃等优点，优质同色加厚PVC一次环绕封边。</w:t>
            </w:r>
          </w:p>
          <w:p w14:paraId="1826D8D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钢架采用冷轧钢钢管，各部分组件可以拆卸且组件通用，桌架厚度为国标12.0mm，框架表层通过除油酸化、磷化等离子抛光，经过高温烤漆，达到隔绝空气中的氧分子和钢板的直接接触。先进内外酸洗磷化除油，高温处理以及静电镀铬，底层绝对防锈。                   教师椅：基本功能：人体工学设计，可旋转，可升降，有扶手、靠背。</w:t>
            </w:r>
          </w:p>
          <w:p w14:paraId="28F4116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气 压 棒：升降自如，升降时基本无声响，五轮脚架：33%尼绒加纤维材料一次冲压成型、电镀铁五星脚、铝合金材料等，弧型设计，受力均匀，最大承重力达 110 ㎏。万向轮活动自如，滑动时无杂音。</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378A7B5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套</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0EADD46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r>
      <w:tr w14:paraId="69530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6634197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59ED378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可拼接学生桌</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67FC1DF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桌子规格：900*500*750mm</w:t>
            </w:r>
          </w:p>
          <w:p w14:paraId="4D0527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桌面基材采用25mm厚度E1级高密度三聚氰胺饰面实木颗粒板材，环保三聚氰胺贴面；要求板面光滑平整，防划伤、高强耐磨,集中耐高温200℃。板材截面采用同色PVC封边条经全自动封边机高温粘贴；修边光滑平整，无棱角，且经过抛光处理。</w:t>
            </w:r>
          </w:p>
          <w:p w14:paraId="42D4F0E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钢架部分：桌架主体采用优质冷轧钢材,数控机床磨具冲压，避免焊缝开裂；管壁厚度不低于1.2mm， 焊接件焊接时采用二氧化碳保护焊接，焊接处应无脱焊、虚焊、焊穿、错位；焊接后要经打磨处理。各钢件经酸洗、磷化、防锈处理采用高压静电喷涂而成，聚酯环氧粉末喷塑等符合国家环保标准规。</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2D44B57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张</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725A4AF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w:t>
            </w:r>
          </w:p>
        </w:tc>
      </w:tr>
      <w:tr w14:paraId="6BD58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205796E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51A8BCD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学生凳</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5DE6BDD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椅子：高档网面饰面，细腻、使用时间长，厚度适中；钢架管壁厚度1.2不锈钢支架称重160公斤。采用一次成型发泡高密度阻燃海棉，软硬适中,耐久不变形，回弹力强，坐感舒适透气，符合人体工程学。</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2B7126D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张</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22EA9FD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w:t>
            </w:r>
          </w:p>
        </w:tc>
      </w:tr>
      <w:tr w14:paraId="72ECC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313F58A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4D90C8E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储物柜</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702506D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宽850*深360*高1850mm。金属结构。</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70C732A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个</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3CE8B68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r>
      <w:tr w14:paraId="3D9A0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43B440D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11</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476DA6E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图书架</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492ECB0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尺寸：800*400*2000MM,饰面采用饰面采用优质的三聚氰胺饰面板。面板外观美丽、硬度高，表面光滑平整不易变形，基材采用E1级实木颗粒板。封边采用专业的自动封边机封边，封边胶采用专业高温环保胶水，温度适应封边条和板材完美结合，不翘边，无毛刺，不脱落。</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79E4D99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个</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705AFA1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w:t>
            </w:r>
          </w:p>
        </w:tc>
      </w:tr>
      <w:tr w14:paraId="423A0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537FFE7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12</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21F5770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窗帘</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6D84E01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根据教室定制，布艺遮光窗帘</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0528887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幅</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3ECEA2C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w:t>
            </w:r>
          </w:p>
        </w:tc>
      </w:tr>
      <w:tr w14:paraId="1017A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1739D89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13</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61D2EFE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语文资源包</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6446929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海量资源课件，同步高中课本 </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4490A3F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套</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6FF6444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r>
      <w:tr w14:paraId="283EA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4876636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14</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469B050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表演舞台</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232B6C0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功放1台，12寸音响1对，手持话筒1套含 2只麦克风，反馈抑制器1台，电源时序一台，机柜一套，安装辅材一批；根据现场定做地台一套</w:t>
            </w:r>
            <w:r>
              <w:rPr>
                <w:rFonts w:hint="eastAsia" w:cs="宋体"/>
                <w:i w:val="0"/>
                <w:iCs w:val="0"/>
                <w:color w:val="000000"/>
                <w:kern w:val="0"/>
                <w:sz w:val="21"/>
                <w:szCs w:val="21"/>
                <w:highlight w:val="none"/>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3FA1308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套</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594FBBF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r>
      <w:tr w14:paraId="4922A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5F7EA35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7BF617F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交互式3D 多媒体教学系统</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28ACFF5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1.整体外观尺寸：宽≥4200mm，高≥1200mm，整机屏幕采用≥86英寸液晶显示器。整机采用超高清LED液晶显示屏，显示比例≥16:9，分辨率≥3840×2160。</w:t>
            </w:r>
          </w:p>
          <w:p w14:paraId="1748FB6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2.整机嵌入式芯片≥2TOPS AI算力，可用于AI图像、音频处理。</w:t>
            </w:r>
          </w:p>
          <w:p w14:paraId="416B482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3.整机内置2.2声道扬声器，位于设备上边框，顶置朝前发声，额定总功率触控60W。</w:t>
            </w:r>
          </w:p>
          <w:p w14:paraId="6C77A6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4.整机全部扬声器均采用模块化设计，无需打开背板即可单独拆卸，便于维护。</w:t>
            </w:r>
          </w:p>
          <w:p w14:paraId="5D2DC4A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5.整机内置非独立外扩展的8阵列麦克风，拾音角度≥180°，可用于对教室环境音频进行采集，拾音距离≥12m。</w:t>
            </w:r>
          </w:p>
          <w:p w14:paraId="2BFEB6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6.支持经典护眼模式，可通过前置面板物理功能按键一键启用经典护眼模式。</w:t>
            </w:r>
          </w:p>
          <w:p w14:paraId="23D2D79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7.设备支持通过前置面板物理按键一键启动录屏功能，可将屏幕中显示的课件、音频内容与人声同时录制。</w:t>
            </w:r>
          </w:p>
          <w:p w14:paraId="03A8247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8.整机支持蓝牙Bluetooth 5.4标准，固件版本号HCI13.0/LMP13.0。</w:t>
            </w:r>
          </w:p>
          <w:p w14:paraId="02940C9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9.整机内置双WiFi6无线网卡，在Android和Windows系统下，可实现Wi-Fi无线上网连接、AP无线热点发射。</w:t>
            </w:r>
          </w:p>
          <w:p w14:paraId="5F6E46A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10.整机内置非独立摄像头，采用一体化集成设计，可拍摄≥1600万像素数的照片。</w:t>
            </w:r>
          </w:p>
          <w:p w14:paraId="15646AC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11.整机内置非独立广角高清摄像头，视场角≥150度且水平视场角≥120度，支持输出4:3、16:9比例的图片和视频；在清晰度为3840*2160（4K）分辨率下，支持30帧的视频输出，支持画面畸变矫正功能 。</w:t>
            </w:r>
          </w:p>
          <w:p w14:paraId="4A4535F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12.支持智能书写功能，书写文字自动识别为标准印刷体，支持图形识别功能，可将多种手绘图形转化为矩形、三角形、圆形等标准图形。</w:t>
            </w:r>
          </w:p>
          <w:p w14:paraId="55560F6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13.整机支持提笔书写，在Windows系统下可实现无需点击任意功能入口，当检测到红外笔笔尖接触屏幕时，自动进入书写模式。</w:t>
            </w:r>
          </w:p>
          <w:p w14:paraId="4D6E58A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14.整机支持手笔分离，通过提笔即写唤醒批注功能后，可进行手笔分离功能，使用笔正常书写，使用手指可以操作应用，进行点击操作。</w:t>
            </w:r>
          </w:p>
          <w:p w14:paraId="1578F4E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15.整机Windows通道支持文件传输应用，支持通过扫码、wifi直联、超声三种方式与手机进行握手连接，实现文件传输功能。</w:t>
            </w:r>
          </w:p>
          <w:p w14:paraId="07589D5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16.整机嵌入式系统版本≥Android 14，主频≥1.8GHz。</w:t>
            </w:r>
          </w:p>
          <w:p w14:paraId="55A89B5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17.采用抽拉内置式模块化电脑： CPU主频≥2.0GHz，内存≥ 8GB DDR4。硬盘≥256GB SSD固态硬盘，和整机的连接采用万兆级接口，传输速率≥10Gbps。采用按压式卡扣，无需工具就可快速拆卸电脑模块。</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5B0E558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套</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2155A3C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r>
      <w:tr w14:paraId="48707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752BAEC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16</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722AF9D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教学道具模型</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595ED98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按教学模块可分为 4 大类，覆盖语言基础、文学文化、文本解读、写作表达；满足教学需求。</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7C6C8F0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套</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1669D78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r>
      <w:tr w14:paraId="26437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36AF946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17</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0A9AF6D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人物模型</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744B8A4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人物符合时代精神内核、时代属性、文学价值；满足教学需求。</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40B2F6D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套</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186FA11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r>
      <w:tr w14:paraId="046D5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13E607E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18</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6020802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道具柜</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1900AA0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lang w:eastAsia="zh-CN"/>
              </w:rPr>
            </w:pPr>
            <w:r>
              <w:rPr>
                <w:rFonts w:hint="eastAsia" w:ascii="宋体" w:hAnsi="宋体" w:eastAsia="宋体" w:cs="宋体"/>
                <w:sz w:val="21"/>
                <w:szCs w:val="21"/>
                <w:highlight w:val="none"/>
              </w:rPr>
              <w:t>定做饰面采用饰面采用优质的三聚氰胺饰面板。面板外观美丽、硬度高，表面光滑平整不易变形，基材采用E1级实木颗粒板。封边采用专业的自动封边机封边，封边胶采用专业高温环保胶水，温度适应封边条和板材完美结合，不翘边，无毛刺，不脱落。尺寸宽800*深360高1800</w:t>
            </w:r>
            <w:r>
              <w:rPr>
                <w:rFonts w:hint="eastAsia" w:ascii="宋体" w:hAnsi="宋体" w:eastAsia="宋体" w:cs="宋体"/>
                <w:sz w:val="21"/>
                <w:szCs w:val="21"/>
                <w:highlight w:val="none"/>
                <w:lang w:val="en-US" w:eastAsia="zh-CN"/>
              </w:rPr>
              <w:t>mm。</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1784B44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个</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47ECB56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r>
      <w:tr w14:paraId="586A5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25393FC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19</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04ED676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表决器</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072C7BE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1、采用先进的双向数字RF无线通讯技术，通讯稳定可靠，速度快。</w:t>
            </w:r>
          </w:p>
          <w:p w14:paraId="1ED1105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2、ST6系列产品设计在50×50米的室内可靠使用。</w:t>
            </w:r>
          </w:p>
          <w:p w14:paraId="0E350E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3、支持多达32频点自动切换，抗干扰性好，可多套同时使用</w:t>
            </w:r>
          </w:p>
          <w:p w14:paraId="091FF2F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4、能为每个键盘的按键反馈记录时标，用于成组反馈时的速度统计。</w:t>
            </w:r>
          </w:p>
          <w:p w14:paraId="739B44D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 600席/单主机（支持多基站分布模式，最高可扩展至3000席，互不影响）； 包含5个投票键盘，键盘有20个高灵敏PVC按键，3个表决键（赞成/反对/弃权），  1个签到键， 0~9个 数字键，小数点，删除等；软件参数：支持word,excel,等标准文件格式，议案表决，民主评议，投票选举，下载人员名单，下载评议内容支持单人单评/单人多评/多人单评/多人多评等</w:t>
            </w:r>
            <w:r>
              <w:rPr>
                <w:rFonts w:hint="eastAsia" w:cs="宋体"/>
                <w:i w:val="0"/>
                <w:iCs w:val="0"/>
                <w:color w:val="000000"/>
                <w:kern w:val="0"/>
                <w:sz w:val="21"/>
                <w:szCs w:val="21"/>
                <w:highlight w:val="none"/>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55E6268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套</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0E7A4F5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r>
      <w:tr w14:paraId="43BA1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7C9A3E1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40A62EE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录音笔</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628CD7A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功能：录音， AI整理总结，语音转文字，同声传译/翻译内不低于64G,内置锂电池，长续航</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244616B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支</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300FCAC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r>
      <w:tr w14:paraId="35A97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8" w:type="dxa"/>
            <w:tcBorders>
              <w:top w:val="single" w:color="000000" w:sz="4" w:space="0"/>
              <w:left w:val="single" w:color="000000" w:sz="4" w:space="0"/>
              <w:bottom w:val="single" w:color="000000" w:sz="4" w:space="0"/>
              <w:right w:val="single" w:color="000000" w:sz="4" w:space="0"/>
            </w:tcBorders>
            <w:noWrap/>
            <w:vAlign w:val="center"/>
          </w:tcPr>
          <w:p w14:paraId="5398617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21</w:t>
            </w: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3C9A87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室内人文布置</w:t>
            </w:r>
          </w:p>
        </w:tc>
        <w:tc>
          <w:tcPr>
            <w:tcW w:w="6206" w:type="dxa"/>
            <w:tcBorders>
              <w:top w:val="single" w:color="000000" w:sz="4" w:space="0"/>
              <w:left w:val="single" w:color="000000" w:sz="4" w:space="0"/>
              <w:bottom w:val="single" w:color="000000" w:sz="4" w:space="0"/>
              <w:right w:val="single" w:color="000000" w:sz="4" w:space="0"/>
            </w:tcBorders>
            <w:noWrap/>
            <w:vAlign w:val="center"/>
          </w:tcPr>
          <w:p w14:paraId="013C268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经典文化呈现，书法作品展示，选取 8-12 幅楷体 / 行书书法作品展示；文学名家展示：陈列 6-8 位文学大家（屈原、李白、杜甫、苏轼、鲁迅等）肖像及 50 字内简介，采用图文结合版式，画框边角圆角处理，材质为环保木质或亚克力，整体风格统一素毛毡布照片墙 80x180CM，学生作品展示：设置 1-2 块可擦写 / 可更换展示板（尺寸 1.2m×1.5m），安装高度离地 1.2m，用于展示学生作文、书法、手抄报等作品，边框采用防撞软包设计，周边设置软木板留言墙，鼓励师生记录读书感悟、诗词接龙等。</w:t>
            </w:r>
          </w:p>
        </w:tc>
        <w:tc>
          <w:tcPr>
            <w:tcW w:w="821" w:type="dxa"/>
            <w:tcBorders>
              <w:top w:val="single" w:color="000000" w:sz="4" w:space="0"/>
              <w:left w:val="single" w:color="000000" w:sz="4" w:space="0"/>
              <w:bottom w:val="single" w:color="000000" w:sz="4" w:space="0"/>
              <w:right w:val="single" w:color="000000" w:sz="4" w:space="0"/>
            </w:tcBorders>
            <w:noWrap/>
            <w:vAlign w:val="center"/>
          </w:tcPr>
          <w:p w14:paraId="7B89FE4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套</w:t>
            </w:r>
          </w:p>
        </w:tc>
        <w:tc>
          <w:tcPr>
            <w:tcW w:w="946" w:type="dxa"/>
            <w:tcBorders>
              <w:top w:val="single" w:color="000000" w:sz="4" w:space="0"/>
              <w:left w:val="single" w:color="000000" w:sz="4" w:space="0"/>
              <w:bottom w:val="single" w:color="000000" w:sz="4" w:space="0"/>
              <w:right w:val="single" w:color="000000" w:sz="4" w:space="0"/>
            </w:tcBorders>
            <w:noWrap/>
            <w:vAlign w:val="center"/>
          </w:tcPr>
          <w:p w14:paraId="0F83D2B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r>
    </w:tbl>
    <w:p w14:paraId="46AE1E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36"/>
          <w:highlight w:val="none"/>
        </w:rPr>
      </w:pPr>
      <w:r>
        <w:rPr>
          <w:rFonts w:hint="eastAsia" w:ascii="宋体" w:hAnsi="宋体" w:eastAsia="宋体" w:cs="宋体"/>
          <w:sz w:val="28"/>
          <w:szCs w:val="36"/>
          <w:highlight w:val="none"/>
        </w:rPr>
        <w:t>（2）商务要求</w:t>
      </w:r>
    </w:p>
    <w:p w14:paraId="67BF58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交货期</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10日历天</w:t>
      </w:r>
    </w:p>
    <w:p w14:paraId="462BF2D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rPr>
        <w:t>2、质保期：</w:t>
      </w:r>
      <w:r>
        <w:rPr>
          <w:rFonts w:hint="eastAsia" w:ascii="宋体" w:hAnsi="宋体" w:eastAsia="宋体" w:cs="宋体"/>
          <w:sz w:val="28"/>
          <w:szCs w:val="28"/>
          <w:highlight w:val="none"/>
          <w:lang w:val="en-US" w:eastAsia="zh-CN"/>
        </w:rPr>
        <w:t>1年</w:t>
      </w:r>
    </w:p>
    <w:p w14:paraId="35E749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3、付款方式</w:t>
      </w:r>
      <w:r>
        <w:rPr>
          <w:rFonts w:hint="eastAsia" w:ascii="宋体" w:hAnsi="宋体" w:eastAsia="宋体" w:cs="宋体"/>
          <w:sz w:val="28"/>
          <w:szCs w:val="28"/>
          <w:highlight w:val="none"/>
          <w:lang w:eastAsia="zh-CN"/>
        </w:rPr>
        <w:t>：验收合格后</w:t>
      </w:r>
      <w:r>
        <w:rPr>
          <w:rFonts w:hint="eastAsia" w:ascii="宋体" w:hAnsi="宋体" w:eastAsia="宋体" w:cs="宋体"/>
          <w:sz w:val="28"/>
          <w:szCs w:val="28"/>
          <w:highlight w:val="none"/>
          <w:lang w:val="en-US" w:eastAsia="zh-CN"/>
        </w:rPr>
        <w:t>一次性付清。</w:t>
      </w:r>
    </w:p>
    <w:p w14:paraId="3DBD3B80">
      <w:pPr>
        <w:pStyle w:val="21"/>
        <w:keepNext w:val="0"/>
        <w:keepLines w:val="0"/>
        <w:pageBreakBefore w:val="0"/>
        <w:kinsoku/>
        <w:wordWrap/>
        <w:overflowPunct/>
        <w:topLinePunct w:val="0"/>
        <w:autoSpaceDE w:val="0"/>
        <w:autoSpaceDN w:val="0"/>
        <w:bidi w:val="0"/>
        <w:adjustRightInd/>
        <w:spacing w:after="0" w:line="360" w:lineRule="auto"/>
        <w:ind w:left="0" w:leftChars="0" w:firstLine="0" w:firstLineChars="0"/>
        <w:textAlignment w:val="auto"/>
        <w:rPr>
          <w:rFonts w:hint="default" w:ascii="宋体" w:hAnsi="宋体" w:eastAsia="宋体" w:cs="宋体"/>
          <w:sz w:val="28"/>
          <w:szCs w:val="28"/>
          <w:highlight w:val="none"/>
          <w:lang w:val="en-US" w:eastAsia="zh-CN" w:bidi="zh-CN"/>
        </w:rPr>
        <w:sectPr>
          <w:footerReference r:id="rId6" w:type="default"/>
          <w:pgSz w:w="11850" w:h="16790"/>
          <w:pgMar w:top="1560" w:right="1180" w:bottom="920" w:left="1580" w:header="0" w:footer="721" w:gutter="0"/>
          <w:cols w:space="720" w:num="1"/>
        </w:sectPr>
      </w:pPr>
      <w:r>
        <w:rPr>
          <w:rFonts w:hint="eastAsia" w:ascii="宋体" w:hAnsi="宋体" w:eastAsia="宋体" w:cs="宋体"/>
          <w:sz w:val="28"/>
          <w:szCs w:val="28"/>
          <w:highlight w:val="none"/>
          <w:lang w:val="en-US" w:eastAsia="zh-CN" w:bidi="zh-CN"/>
        </w:rPr>
        <w:t>4、供应商对其提供的产品出具《关于符合本国产品标准的声明函》或财政部会同有关部门规定的有关证明文件。</w:t>
      </w:r>
    </w:p>
    <w:p w14:paraId="4538CF0D">
      <w:pPr>
        <w:pStyle w:val="5"/>
        <w:tabs>
          <w:tab w:val="left" w:pos="1607"/>
        </w:tabs>
        <w:spacing w:before="41"/>
        <w:rPr>
          <w:rFonts w:asciiTheme="minorEastAsia" w:hAnsiTheme="minorEastAsia" w:eastAsiaTheme="minorEastAsia"/>
          <w:highlight w:val="none"/>
        </w:rPr>
      </w:pPr>
      <w:bookmarkStart w:id="58" w:name="第五部分__谈判文件格式"/>
      <w:bookmarkEnd w:id="58"/>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谈判文件格式</w:t>
      </w:r>
    </w:p>
    <w:p w14:paraId="36882048">
      <w:pPr>
        <w:pStyle w:val="9"/>
        <w:rPr>
          <w:rFonts w:asciiTheme="minorEastAsia" w:hAnsiTheme="minorEastAsia" w:eastAsiaTheme="minorEastAsia"/>
          <w:b/>
          <w:sz w:val="20"/>
          <w:highlight w:val="none"/>
        </w:rPr>
      </w:pPr>
    </w:p>
    <w:p w14:paraId="4A51221C">
      <w:pPr>
        <w:pStyle w:val="9"/>
        <w:spacing w:before="7"/>
        <w:rPr>
          <w:rFonts w:asciiTheme="minorEastAsia" w:hAnsiTheme="minorEastAsia" w:eastAsiaTheme="minorEastAsia"/>
          <w:b/>
          <w:sz w:val="19"/>
          <w:highlight w:val="none"/>
        </w:rPr>
      </w:pPr>
    </w:p>
    <w:p w14:paraId="0FEEEC96">
      <w:pPr>
        <w:spacing w:before="0" w:after="0" w:line="560" w:lineRule="auto"/>
        <w:ind w:left="0" w:right="0" w:firstLine="480"/>
        <w:jc w:val="both"/>
        <w:rPr>
          <w:rFonts w:hint="eastAsia" w:ascii="宋体" w:hAnsi="宋体" w:eastAsia="宋体" w:cs="宋体"/>
          <w:sz w:val="24"/>
          <w:highlight w:val="none"/>
        </w:rPr>
      </w:pPr>
      <w:r>
        <w:rPr>
          <w:rFonts w:ascii="宋体" w:hAnsi="宋体" w:eastAsia="宋体" w:cs="宋体"/>
          <w:color w:val="auto"/>
          <w:spacing w:val="0"/>
          <w:position w:val="0"/>
          <w:sz w:val="24"/>
          <w:highlight w:val="none"/>
          <w:shd w:val="clear" w:fill="auto"/>
        </w:rPr>
        <w:t>注：</w:t>
      </w:r>
      <w:r>
        <w:rPr>
          <w:rFonts w:hint="eastAsia" w:ascii="宋体" w:hAnsi="宋体" w:eastAsia="宋体" w:cs="宋体"/>
          <w:sz w:val="24"/>
          <w:highlight w:val="none"/>
        </w:rPr>
        <w:t>请供应商按照</w:t>
      </w:r>
      <w:r>
        <w:rPr>
          <w:rFonts w:hint="eastAsia" w:ascii="宋体" w:hAnsi="宋体" w:eastAsia="宋体" w:cs="宋体"/>
          <w:sz w:val="24"/>
          <w:highlight w:val="none"/>
          <w:lang w:val="en-US" w:eastAsia="zh-CN"/>
        </w:rPr>
        <w:t>谈判</w:t>
      </w:r>
      <w:r>
        <w:rPr>
          <w:rFonts w:hint="eastAsia" w:ascii="宋体" w:hAnsi="宋体" w:eastAsia="宋体" w:cs="宋体"/>
          <w:sz w:val="24"/>
          <w:highlight w:val="none"/>
        </w:rPr>
        <w:t>文件的要求格式、内容，顺序制作响应性文件，并编制目录及页码和总页码。</w:t>
      </w:r>
    </w:p>
    <w:p w14:paraId="7107E166">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2950EC6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7DD9DB3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sz w:val="24"/>
          <w:highlight w:val="none"/>
        </w:rPr>
        <w:t xml:space="preserve"> </w:t>
      </w:r>
      <w:r>
        <w:rPr>
          <w:rFonts w:ascii="宋体" w:hAnsi="宋体" w:eastAsia="宋体" w:cs="宋体"/>
          <w:color w:val="auto"/>
          <w:spacing w:val="0"/>
          <w:position w:val="0"/>
          <w:sz w:val="24"/>
          <w:highlight w:val="none"/>
          <w:shd w:val="clear" w:fill="auto"/>
        </w:rPr>
        <w:t xml:space="preserve"> </w:t>
      </w:r>
    </w:p>
    <w:p w14:paraId="195259D0">
      <w:pPr>
        <w:rPr>
          <w:rFonts w:asciiTheme="minorEastAsia" w:hAnsiTheme="minorEastAsia" w:eastAsiaTheme="minorEastAsia"/>
          <w:sz w:val="19"/>
          <w:highlight w:val="none"/>
        </w:rPr>
        <w:sectPr>
          <w:pgSz w:w="11850" w:h="16790"/>
          <w:pgMar w:top="1400" w:right="1180" w:bottom="920" w:left="1580" w:header="0" w:footer="721" w:gutter="0"/>
          <w:cols w:space="720" w:num="1"/>
        </w:sectPr>
      </w:pPr>
    </w:p>
    <w:p w14:paraId="11CD6A95">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附件１：</w:t>
      </w:r>
    </w:p>
    <w:p w14:paraId="3555A76A">
      <w:pPr>
        <w:adjustRightInd w:val="0"/>
        <w:spacing w:after="269"/>
        <w:jc w:val="center"/>
        <w:rPr>
          <w:rFonts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rPr>
        <w:t>谈判响应函</w:t>
      </w:r>
    </w:p>
    <w:p w14:paraId="681849C6">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致：周口市公共资源交易中心（政府采购中心）</w:t>
      </w:r>
    </w:p>
    <w:p w14:paraId="0D42A3B9">
      <w:pPr>
        <w:adjustRightInd w:val="0"/>
        <w:spacing w:line="360" w:lineRule="auto"/>
        <w:ind w:firstLine="56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根据贵方谈判邀请函，签字代表</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（全名、职务）经正式授权并代表谈判供应商（谈判供应商名称、地址）提交下述文件，并对之负法律责任。</w:t>
      </w:r>
    </w:p>
    <w:p w14:paraId="38940782">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1</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谈判响应函</w:t>
      </w:r>
    </w:p>
    <w:p w14:paraId="68AF4F4C">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2</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谈判价格一览表</w:t>
      </w:r>
    </w:p>
    <w:p w14:paraId="1B80F107">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3</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谈判响应报价表</w:t>
      </w:r>
    </w:p>
    <w:p w14:paraId="4F61C5A7">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4</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技术偏差表</w:t>
      </w:r>
    </w:p>
    <w:p w14:paraId="47EE29F0">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5</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服务承诺</w:t>
      </w:r>
    </w:p>
    <w:p w14:paraId="7443A9C7">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6</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关于资格的声明函</w:t>
      </w:r>
    </w:p>
    <w:p w14:paraId="07AC6F81">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7</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授权委托书</w:t>
      </w:r>
    </w:p>
    <w:p w14:paraId="239360ED">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（8）资格证明文件</w:t>
      </w:r>
    </w:p>
    <w:p w14:paraId="2060B28C">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eastAsia="zh-CN"/>
        </w:rPr>
        <w:t>9</w:t>
      </w:r>
      <w:r>
        <w:rPr>
          <w:rFonts w:hint="eastAsia" w:cs="仿宋_GB2312" w:asciiTheme="minorEastAsia" w:hAnsiTheme="minorEastAsia" w:eastAsiaTheme="minorEastAsia"/>
          <w:sz w:val="24"/>
          <w:szCs w:val="24"/>
          <w:highlight w:val="none"/>
        </w:rPr>
        <w:t>）其他资料</w:t>
      </w:r>
    </w:p>
    <w:p w14:paraId="3BF374AC">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据此函，签字代表宣布同意如下：</w:t>
      </w:r>
    </w:p>
    <w:p w14:paraId="1ACD3A53">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1</w:t>
      </w:r>
      <w:r>
        <w:rPr>
          <w:rFonts w:hint="eastAsia" w:cs="仿宋_GB2312" w:asciiTheme="minorEastAsia" w:hAnsiTheme="minorEastAsia" w:eastAsiaTheme="minorEastAsia"/>
          <w:sz w:val="24"/>
          <w:szCs w:val="24"/>
          <w:highlight w:val="none"/>
        </w:rPr>
        <w:t>、所附谈判响应报价表中规定的应提供和交付的货物总价为人民币</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，即（大写）</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w:t>
      </w:r>
    </w:p>
    <w:p w14:paraId="32E4AD7A">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2</w:t>
      </w:r>
      <w:r>
        <w:rPr>
          <w:rFonts w:hint="eastAsia" w:cs="仿宋_GB2312" w:asciiTheme="minorEastAsia" w:hAnsiTheme="minorEastAsia" w:eastAsiaTheme="minorEastAsia"/>
          <w:sz w:val="24"/>
          <w:szCs w:val="24"/>
          <w:highlight w:val="none"/>
        </w:rPr>
        <w:t>、如果我们的谈判响应文件被接受，我们将履行谈判文件中规定的每一项要求，按期、按质、按量履行合同。</w:t>
      </w:r>
    </w:p>
    <w:p w14:paraId="243D1D02">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3</w:t>
      </w:r>
      <w:r>
        <w:rPr>
          <w:rFonts w:hint="eastAsia" w:cs="仿宋_GB2312" w:asciiTheme="minorEastAsia" w:hAnsiTheme="minorEastAsia" w:eastAsiaTheme="minorEastAsia"/>
          <w:sz w:val="24"/>
          <w:szCs w:val="24"/>
          <w:highlight w:val="none"/>
        </w:rPr>
        <w:t>、我方愿按《中华人民共和国</w:t>
      </w:r>
      <w:r>
        <w:rPr>
          <w:rFonts w:hint="eastAsia" w:cs="仿宋_GB2312" w:asciiTheme="minorEastAsia" w:hAnsiTheme="minorEastAsia" w:eastAsiaTheme="minorEastAsia"/>
          <w:sz w:val="24"/>
          <w:szCs w:val="24"/>
          <w:highlight w:val="none"/>
          <w:lang w:val="en-US" w:eastAsia="zh-CN"/>
        </w:rPr>
        <w:t>民法典</w:t>
      </w:r>
      <w:r>
        <w:rPr>
          <w:rFonts w:hint="eastAsia" w:cs="仿宋_GB2312" w:asciiTheme="minorEastAsia" w:hAnsiTheme="minorEastAsia" w:eastAsiaTheme="minorEastAsia"/>
          <w:sz w:val="24"/>
          <w:szCs w:val="24"/>
          <w:highlight w:val="none"/>
        </w:rPr>
        <w:t>》履行我方的全部责任。</w:t>
      </w:r>
    </w:p>
    <w:p w14:paraId="34FC6485">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4</w:t>
      </w:r>
      <w:r>
        <w:rPr>
          <w:rFonts w:hint="eastAsia" w:cs="仿宋_GB2312" w:asciiTheme="minorEastAsia" w:hAnsiTheme="minorEastAsia" w:eastAsiaTheme="minorEastAsia"/>
          <w:sz w:val="24"/>
          <w:szCs w:val="24"/>
          <w:highlight w:val="none"/>
        </w:rPr>
        <w:t>、谈判供应商已详细审查全部谈判文件，包括修改文件以及全部参考资料和有关附件。我们完全理解并同意放弃对这方面有不明及误解的权力。</w:t>
      </w:r>
    </w:p>
    <w:p w14:paraId="2E541B4B">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5</w:t>
      </w:r>
      <w:r>
        <w:rPr>
          <w:rFonts w:hint="eastAsia" w:cs="仿宋_GB2312" w:asciiTheme="minorEastAsia" w:hAnsiTheme="minorEastAsia" w:eastAsiaTheme="minorEastAsia"/>
          <w:sz w:val="24"/>
          <w:szCs w:val="24"/>
          <w:highlight w:val="none"/>
        </w:rPr>
        <w:t>、本投标自谈判开始日起有效期为</w:t>
      </w:r>
      <w:r>
        <w:rPr>
          <w:rFonts w:cs="仿宋_GB2312" w:asciiTheme="minorEastAsia" w:hAnsiTheme="minorEastAsia" w:eastAsiaTheme="minorEastAsia"/>
          <w:sz w:val="24"/>
          <w:szCs w:val="24"/>
          <w:highlight w:val="none"/>
        </w:rPr>
        <w:t>60</w:t>
      </w:r>
      <w:r>
        <w:rPr>
          <w:rFonts w:hint="eastAsia" w:cs="仿宋_GB2312" w:asciiTheme="minorEastAsia" w:hAnsiTheme="minorEastAsia" w:eastAsiaTheme="minorEastAsia"/>
          <w:sz w:val="24"/>
          <w:szCs w:val="24"/>
          <w:highlight w:val="none"/>
        </w:rPr>
        <w:t>天内。</w:t>
      </w:r>
    </w:p>
    <w:p w14:paraId="2BED48BD">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6</w:t>
      </w:r>
      <w:r>
        <w:rPr>
          <w:rFonts w:hint="eastAsia" w:cs="仿宋_GB2312" w:asciiTheme="minorEastAsia" w:hAnsiTheme="minorEastAsia" w:eastAsiaTheme="minorEastAsia"/>
          <w:sz w:val="24"/>
          <w:szCs w:val="24"/>
          <w:highlight w:val="none"/>
        </w:rPr>
        <w:t>、如果在规定的谈判时间后，我方在谈判响应有效期内撤回谈判响应文件，谈判保证金将被贵方没收。</w:t>
      </w:r>
    </w:p>
    <w:p w14:paraId="5E511BF8">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7</w:t>
      </w:r>
      <w:r>
        <w:rPr>
          <w:rFonts w:hint="eastAsia" w:cs="仿宋_GB2312" w:asciiTheme="minorEastAsia" w:hAnsiTheme="minorEastAsia" w:eastAsiaTheme="minorEastAsia"/>
          <w:sz w:val="24"/>
          <w:szCs w:val="24"/>
          <w:highlight w:val="none"/>
        </w:rPr>
        <w:t>、谈判供应商同意提供按照贵方可能要求的与其谈判有关的一切数据或资料，理解贵方不一定要接受最低价的谈判。</w:t>
      </w:r>
    </w:p>
    <w:p w14:paraId="1E48D214">
      <w:pPr>
        <w:adjustRightInd w:val="0"/>
        <w:spacing w:line="360" w:lineRule="auto"/>
        <w:rPr>
          <w:rFonts w:asciiTheme="minorEastAsia" w:hAnsiTheme="minorEastAsia" w:eastAsiaTheme="minorEastAsia"/>
          <w:b/>
          <w:bCs/>
          <w:sz w:val="24"/>
          <w:szCs w:val="24"/>
          <w:highlight w:val="none"/>
        </w:rPr>
      </w:pPr>
      <w:r>
        <w:rPr>
          <w:rFonts w:cs="仿宋_GB2312" w:asciiTheme="minorEastAsia" w:hAnsiTheme="minorEastAsia" w:eastAsiaTheme="minorEastAsia"/>
          <w:b/>
          <w:bCs/>
          <w:sz w:val="24"/>
          <w:szCs w:val="24"/>
          <w:highlight w:val="none"/>
        </w:rPr>
        <w:t xml:space="preserve">    8</w:t>
      </w:r>
      <w:r>
        <w:rPr>
          <w:rFonts w:hint="eastAsia" w:cs="仿宋_GB2312" w:asciiTheme="minorEastAsia" w:hAnsiTheme="minorEastAsia" w:eastAsiaTheme="minorEastAsia"/>
          <w:b/>
          <w:bCs/>
          <w:sz w:val="24"/>
          <w:szCs w:val="24"/>
          <w:highlight w:val="none"/>
        </w:rPr>
        <w:t>、我方保证谈判响应文件中的所有资料均为真实、有效的，如有虚假，我方承诺谈判响应文件无效并愿承担一切责任。</w:t>
      </w:r>
    </w:p>
    <w:p w14:paraId="33A06E36">
      <w:pPr>
        <w:adjustRightInd w:val="0"/>
        <w:spacing w:line="360" w:lineRule="auto"/>
        <w:ind w:firstLine="56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9</w:t>
      </w:r>
      <w:r>
        <w:rPr>
          <w:rFonts w:hint="eastAsia" w:cs="仿宋_GB2312" w:asciiTheme="minorEastAsia" w:hAnsiTheme="minorEastAsia" w:eastAsiaTheme="minorEastAsia"/>
          <w:sz w:val="24"/>
          <w:szCs w:val="24"/>
          <w:highlight w:val="none"/>
        </w:rPr>
        <w:t>、与本谈判有关的一切正式往来请寄：</w:t>
      </w:r>
    </w:p>
    <w:p w14:paraId="2CCACCF0">
      <w:pPr>
        <w:adjustRightInd w:val="0"/>
        <w:spacing w:line="360" w:lineRule="auto"/>
        <w:rPr>
          <w:rFonts w:asciiTheme="minorEastAsia" w:hAnsiTheme="minorEastAsia" w:eastAsiaTheme="minorEastAsia"/>
          <w:sz w:val="24"/>
          <w:szCs w:val="24"/>
          <w:highlight w:val="none"/>
        </w:rPr>
      </w:pPr>
    </w:p>
    <w:p w14:paraId="1D979DA3">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122B8F7A">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0EE67A8B">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谈判供应商代表姓名、职务：</w:t>
      </w:r>
    </w:p>
    <w:p w14:paraId="5DAA2978">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签章）：</w:t>
      </w:r>
    </w:p>
    <w:p w14:paraId="626C19F2">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1C2CEC0E">
      <w:pPr>
        <w:adjustRightInd w:val="0"/>
        <w:rPr>
          <w:rFonts w:asciiTheme="minorEastAsia" w:hAnsiTheme="minorEastAsia" w:eastAsiaTheme="minorEastAsia"/>
          <w:sz w:val="28"/>
          <w:szCs w:val="28"/>
          <w:highlight w:val="none"/>
        </w:rPr>
      </w:pPr>
    </w:p>
    <w:p w14:paraId="0CDD9A3D">
      <w:pPr>
        <w:adjustRightInd w:val="0"/>
        <w:rPr>
          <w:rFonts w:asciiTheme="minorEastAsia" w:hAnsiTheme="minorEastAsia" w:eastAsiaTheme="minorEastAsia"/>
          <w:highlight w:val="none"/>
        </w:rPr>
        <w:sectPr>
          <w:pgSz w:w="12240" w:h="15840"/>
          <w:pgMar w:top="1440" w:right="1797" w:bottom="1440" w:left="1797" w:header="720" w:footer="720" w:gutter="0"/>
          <w:cols w:space="720" w:num="1"/>
        </w:sectPr>
      </w:pPr>
    </w:p>
    <w:p w14:paraId="3CA81574">
      <w:pPr>
        <w:adjustRightInd w:val="0"/>
        <w:rPr>
          <w:rFonts w:asciiTheme="minorEastAsia" w:hAnsiTheme="minorEastAsia" w:eastAsiaTheme="minorEastAsia"/>
          <w:sz w:val="36"/>
          <w:szCs w:val="36"/>
          <w:highlight w:val="none"/>
        </w:rPr>
      </w:pPr>
      <w:r>
        <w:rPr>
          <w:rFonts w:hint="eastAsia" w:cs="黑体" w:asciiTheme="minorEastAsia" w:hAnsiTheme="minorEastAsia" w:eastAsiaTheme="minorEastAsia"/>
          <w:sz w:val="28"/>
          <w:szCs w:val="28"/>
          <w:highlight w:val="none"/>
        </w:rPr>
        <w:t>附件</w:t>
      </w:r>
      <w:r>
        <w:rPr>
          <w:rFonts w:cs="黑体" w:asciiTheme="minorEastAsia" w:hAnsiTheme="minorEastAsia" w:eastAsiaTheme="minorEastAsia"/>
          <w:sz w:val="28"/>
          <w:szCs w:val="28"/>
          <w:highlight w:val="none"/>
        </w:rPr>
        <w:t>2</w:t>
      </w:r>
      <w:r>
        <w:rPr>
          <w:rFonts w:hint="eastAsia" w:cs="黑体" w:asciiTheme="minorEastAsia" w:hAnsiTheme="minorEastAsia" w:eastAsiaTheme="minorEastAsia"/>
          <w:sz w:val="28"/>
          <w:szCs w:val="28"/>
          <w:highlight w:val="none"/>
        </w:rPr>
        <w:t>：</w:t>
      </w:r>
    </w:p>
    <w:p w14:paraId="1CE48414">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谈判价格一览表</w:t>
      </w:r>
    </w:p>
    <w:p w14:paraId="78AC696B">
      <w:pPr>
        <w:adjustRightInd w:val="0"/>
        <w:spacing w:line="240" w:lineRule="exact"/>
        <w:jc w:val="center"/>
        <w:rPr>
          <w:rFonts w:asciiTheme="minorEastAsia" w:hAnsiTheme="minorEastAsia" w:eastAsiaTheme="minorEastAsia"/>
          <w:sz w:val="36"/>
          <w:szCs w:val="36"/>
          <w:highlight w:val="none"/>
        </w:rPr>
      </w:pPr>
    </w:p>
    <w:p w14:paraId="60259E56">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554304E5">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22"/>
        <w:tblW w:w="8905" w:type="dxa"/>
        <w:tblInd w:w="0" w:type="dxa"/>
        <w:tblLayout w:type="fixed"/>
        <w:tblCellMar>
          <w:top w:w="0" w:type="dxa"/>
          <w:left w:w="108" w:type="dxa"/>
          <w:bottom w:w="0" w:type="dxa"/>
          <w:right w:w="108" w:type="dxa"/>
        </w:tblCellMar>
      </w:tblPr>
      <w:tblGrid>
        <w:gridCol w:w="1557"/>
        <w:gridCol w:w="4367"/>
        <w:gridCol w:w="1620"/>
        <w:gridCol w:w="1361"/>
      </w:tblGrid>
      <w:tr w14:paraId="03FFB1E7">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1FA1A831">
            <w:pPr>
              <w:adjustRightInd w:val="0"/>
              <w:jc w:val="center"/>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43AC018B">
            <w:pPr>
              <w:adjustRightInd w:val="0"/>
              <w:jc w:val="center"/>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23387DEE">
            <w:pPr>
              <w:adjustRightInd w:val="0"/>
              <w:jc w:val="center"/>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投标</w:t>
            </w:r>
          </w:p>
          <w:p w14:paraId="6B59FBA1">
            <w:pPr>
              <w:adjustRightInd w:val="0"/>
              <w:jc w:val="center"/>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08604E0B">
            <w:pPr>
              <w:adjustRightInd w:val="0"/>
              <w:jc w:val="center"/>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交货期</w:t>
            </w:r>
          </w:p>
        </w:tc>
      </w:tr>
      <w:tr w14:paraId="63E66B7E">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1C9026A6">
            <w:pPr>
              <w:adjustRightInd w:val="0"/>
              <w:jc w:val="center"/>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一</w:t>
            </w:r>
          </w:p>
        </w:tc>
        <w:tc>
          <w:tcPr>
            <w:tcW w:w="4367" w:type="dxa"/>
            <w:tcBorders>
              <w:top w:val="single" w:color="auto" w:sz="6" w:space="0"/>
              <w:left w:val="single" w:color="auto" w:sz="6" w:space="0"/>
              <w:right w:val="single" w:color="auto" w:sz="6" w:space="0"/>
            </w:tcBorders>
          </w:tcPr>
          <w:p w14:paraId="6B8D325E">
            <w:pPr>
              <w:adjustRightInd w:val="0"/>
              <w:jc w:val="center"/>
              <w:rPr>
                <w:rFonts w:asciiTheme="minorEastAsia" w:hAnsiTheme="minorEastAsia" w:eastAsiaTheme="minorEastAsia"/>
                <w:b/>
                <w:bCs/>
                <w:sz w:val="24"/>
                <w:szCs w:val="24"/>
                <w:highlight w:val="none"/>
              </w:rPr>
            </w:pPr>
          </w:p>
        </w:tc>
        <w:tc>
          <w:tcPr>
            <w:tcW w:w="1620" w:type="dxa"/>
            <w:tcBorders>
              <w:top w:val="single" w:color="auto" w:sz="6" w:space="0"/>
              <w:left w:val="single" w:color="auto" w:sz="6" w:space="0"/>
              <w:right w:val="single" w:color="auto" w:sz="6" w:space="0"/>
            </w:tcBorders>
          </w:tcPr>
          <w:p w14:paraId="7F7615C9">
            <w:pPr>
              <w:adjustRightInd w:val="0"/>
              <w:rPr>
                <w:rFonts w:asciiTheme="minorEastAsia" w:hAnsiTheme="minorEastAsia" w:eastAsiaTheme="minorEastAsia"/>
                <w:sz w:val="24"/>
                <w:szCs w:val="24"/>
                <w:highlight w:val="none"/>
              </w:rPr>
            </w:pPr>
          </w:p>
        </w:tc>
        <w:tc>
          <w:tcPr>
            <w:tcW w:w="1361" w:type="dxa"/>
            <w:tcBorders>
              <w:top w:val="single" w:color="auto" w:sz="6" w:space="0"/>
              <w:left w:val="single" w:color="auto" w:sz="6" w:space="0"/>
              <w:right w:val="single" w:color="auto" w:sz="6" w:space="0"/>
            </w:tcBorders>
          </w:tcPr>
          <w:p w14:paraId="31AE8B98">
            <w:pPr>
              <w:adjustRightInd w:val="0"/>
              <w:rPr>
                <w:rFonts w:asciiTheme="minorEastAsia" w:hAnsiTheme="minorEastAsia" w:eastAsiaTheme="minorEastAsia"/>
                <w:sz w:val="24"/>
                <w:szCs w:val="24"/>
                <w:highlight w:val="none"/>
              </w:rPr>
            </w:pPr>
          </w:p>
        </w:tc>
      </w:tr>
      <w:tr w14:paraId="2C09E92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36B6009">
            <w:pPr>
              <w:adjustRightInd w:val="0"/>
              <w:jc w:val="center"/>
              <w:rPr>
                <w:rFonts w:asciiTheme="minorEastAsia" w:hAnsiTheme="minorEastAsia" w:eastAsiaTheme="minorEastAsia"/>
                <w:b/>
                <w:bCs/>
                <w:sz w:val="24"/>
                <w:szCs w:val="24"/>
                <w:highlight w:val="none"/>
              </w:rPr>
            </w:pPr>
          </w:p>
        </w:tc>
        <w:tc>
          <w:tcPr>
            <w:tcW w:w="4367" w:type="dxa"/>
            <w:tcBorders>
              <w:top w:val="single" w:color="auto" w:sz="6" w:space="0"/>
              <w:left w:val="single" w:color="auto" w:sz="6" w:space="0"/>
              <w:bottom w:val="single" w:color="auto" w:sz="6" w:space="0"/>
              <w:right w:val="single" w:color="auto" w:sz="6" w:space="0"/>
            </w:tcBorders>
          </w:tcPr>
          <w:p w14:paraId="6BBCB8E3">
            <w:pPr>
              <w:adjustRightInd w:val="0"/>
              <w:jc w:val="center"/>
              <w:rPr>
                <w:rFonts w:asciiTheme="minorEastAsia" w:hAnsiTheme="minorEastAsia" w:eastAsiaTheme="minorEastAsia"/>
                <w:b/>
                <w:bCs/>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tcPr>
          <w:p w14:paraId="6E0F7863">
            <w:pPr>
              <w:adjustRightInd w:val="0"/>
              <w:rPr>
                <w:rFonts w:asciiTheme="minorEastAsia" w:hAnsiTheme="minorEastAsia" w:eastAsiaTheme="minorEastAsia"/>
                <w:sz w:val="24"/>
                <w:szCs w:val="24"/>
                <w:highlight w:val="none"/>
              </w:rPr>
            </w:pPr>
          </w:p>
        </w:tc>
        <w:tc>
          <w:tcPr>
            <w:tcW w:w="1361" w:type="dxa"/>
            <w:tcBorders>
              <w:top w:val="single" w:color="auto" w:sz="6" w:space="0"/>
              <w:left w:val="single" w:color="auto" w:sz="6" w:space="0"/>
              <w:bottom w:val="single" w:color="auto" w:sz="6" w:space="0"/>
              <w:right w:val="single" w:color="auto" w:sz="6" w:space="0"/>
            </w:tcBorders>
          </w:tcPr>
          <w:p w14:paraId="51CA100D">
            <w:pPr>
              <w:adjustRightInd w:val="0"/>
              <w:rPr>
                <w:rFonts w:asciiTheme="minorEastAsia" w:hAnsiTheme="minorEastAsia" w:eastAsiaTheme="minorEastAsia"/>
                <w:sz w:val="24"/>
                <w:szCs w:val="24"/>
                <w:highlight w:val="none"/>
              </w:rPr>
            </w:pPr>
          </w:p>
        </w:tc>
      </w:tr>
      <w:tr w14:paraId="26EF5800">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DDCE5F6">
            <w:pPr>
              <w:adjustRightInd w:val="0"/>
              <w:jc w:val="center"/>
              <w:rPr>
                <w:rFonts w:asciiTheme="minorEastAsia" w:hAnsiTheme="minorEastAsia" w:eastAsiaTheme="minorEastAsia"/>
                <w:sz w:val="24"/>
                <w:szCs w:val="24"/>
                <w:highlight w:val="none"/>
              </w:rPr>
            </w:pPr>
          </w:p>
        </w:tc>
        <w:tc>
          <w:tcPr>
            <w:tcW w:w="4367" w:type="dxa"/>
            <w:tcBorders>
              <w:top w:val="single" w:color="auto" w:sz="6" w:space="0"/>
              <w:left w:val="single" w:color="auto" w:sz="6" w:space="0"/>
              <w:bottom w:val="single" w:color="auto" w:sz="6" w:space="0"/>
              <w:right w:val="single" w:color="auto" w:sz="6" w:space="0"/>
            </w:tcBorders>
          </w:tcPr>
          <w:p w14:paraId="47A5DA14">
            <w:pPr>
              <w:adjustRightInd w:val="0"/>
              <w:rPr>
                <w:rFonts w:asciiTheme="minorEastAsia" w:hAnsiTheme="minorEastAsia" w:eastAsiaTheme="minorEastAsia"/>
                <w:b/>
                <w:bCs/>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tcPr>
          <w:p w14:paraId="2A08DE6B">
            <w:pPr>
              <w:adjustRightInd w:val="0"/>
              <w:rPr>
                <w:rFonts w:asciiTheme="minorEastAsia" w:hAnsiTheme="minorEastAsia" w:eastAsiaTheme="minorEastAsia"/>
                <w:sz w:val="24"/>
                <w:szCs w:val="24"/>
                <w:highlight w:val="none"/>
              </w:rPr>
            </w:pPr>
          </w:p>
        </w:tc>
        <w:tc>
          <w:tcPr>
            <w:tcW w:w="1361" w:type="dxa"/>
            <w:tcBorders>
              <w:top w:val="single" w:color="auto" w:sz="6" w:space="0"/>
              <w:left w:val="single" w:color="auto" w:sz="6" w:space="0"/>
              <w:bottom w:val="single" w:color="auto" w:sz="6" w:space="0"/>
              <w:right w:val="single" w:color="auto" w:sz="6" w:space="0"/>
            </w:tcBorders>
          </w:tcPr>
          <w:p w14:paraId="1DC17CC9">
            <w:pPr>
              <w:adjustRightInd w:val="0"/>
              <w:rPr>
                <w:rFonts w:asciiTheme="minorEastAsia" w:hAnsiTheme="minorEastAsia" w:eastAsiaTheme="minorEastAsia"/>
                <w:sz w:val="24"/>
                <w:szCs w:val="24"/>
                <w:highlight w:val="none"/>
              </w:rPr>
            </w:pPr>
          </w:p>
        </w:tc>
      </w:tr>
      <w:tr w14:paraId="1F8DA9D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042BDC7">
            <w:pPr>
              <w:adjustRightInd w:val="0"/>
              <w:jc w:val="center"/>
              <w:rPr>
                <w:rFonts w:asciiTheme="minorEastAsia" w:hAnsiTheme="minorEastAsia" w:eastAsiaTheme="minorEastAsia"/>
                <w:sz w:val="24"/>
                <w:szCs w:val="24"/>
                <w:highlight w:val="none"/>
              </w:rPr>
            </w:pPr>
          </w:p>
        </w:tc>
        <w:tc>
          <w:tcPr>
            <w:tcW w:w="4367" w:type="dxa"/>
            <w:tcBorders>
              <w:top w:val="single" w:color="auto" w:sz="6" w:space="0"/>
              <w:left w:val="single" w:color="auto" w:sz="6" w:space="0"/>
              <w:bottom w:val="single" w:color="auto" w:sz="6" w:space="0"/>
              <w:right w:val="single" w:color="auto" w:sz="6" w:space="0"/>
            </w:tcBorders>
          </w:tcPr>
          <w:p w14:paraId="295AA634">
            <w:pPr>
              <w:adjustRightInd w:val="0"/>
              <w:rPr>
                <w:rFonts w:asciiTheme="minorEastAsia" w:hAnsiTheme="minorEastAsia" w:eastAsiaTheme="minorEastAsia"/>
                <w:b/>
                <w:bCs/>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tcPr>
          <w:p w14:paraId="27443CC4">
            <w:pPr>
              <w:adjustRightInd w:val="0"/>
              <w:rPr>
                <w:rFonts w:asciiTheme="minorEastAsia" w:hAnsiTheme="minorEastAsia" w:eastAsiaTheme="minorEastAsia"/>
                <w:sz w:val="24"/>
                <w:szCs w:val="24"/>
                <w:highlight w:val="none"/>
              </w:rPr>
            </w:pPr>
          </w:p>
        </w:tc>
        <w:tc>
          <w:tcPr>
            <w:tcW w:w="1361" w:type="dxa"/>
            <w:tcBorders>
              <w:top w:val="single" w:color="auto" w:sz="6" w:space="0"/>
              <w:left w:val="single" w:color="auto" w:sz="6" w:space="0"/>
              <w:bottom w:val="single" w:color="auto" w:sz="6" w:space="0"/>
              <w:right w:val="single" w:color="auto" w:sz="6" w:space="0"/>
            </w:tcBorders>
          </w:tcPr>
          <w:p w14:paraId="11F2E14B">
            <w:pPr>
              <w:adjustRightInd w:val="0"/>
              <w:rPr>
                <w:rFonts w:asciiTheme="minorEastAsia" w:hAnsiTheme="minorEastAsia" w:eastAsiaTheme="minorEastAsia"/>
                <w:sz w:val="24"/>
                <w:szCs w:val="24"/>
                <w:highlight w:val="none"/>
              </w:rPr>
            </w:pPr>
          </w:p>
        </w:tc>
      </w:tr>
      <w:tr w14:paraId="7E8D4E27">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477500D3">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b/>
                <w:bCs/>
                <w:sz w:val="24"/>
                <w:szCs w:val="24"/>
                <w:highlight w:val="none"/>
              </w:rPr>
              <w:t>投标总价（人民币大写）：</w:t>
            </w:r>
            <w:r>
              <w:rPr>
                <w:rFonts w:hint="eastAsia" w:cs="仿宋_GB2312" w:asciiTheme="minorEastAsia" w:hAnsiTheme="minorEastAsia" w:eastAsiaTheme="minorEastAsia"/>
                <w:sz w:val="24"/>
                <w:szCs w:val="24"/>
                <w:highlight w:val="none"/>
              </w:rPr>
              <w:t>￥           元</w:t>
            </w:r>
          </w:p>
        </w:tc>
      </w:tr>
    </w:tbl>
    <w:p w14:paraId="42012998">
      <w:pPr>
        <w:adjustRightInd w:val="0"/>
        <w:rPr>
          <w:rFonts w:asciiTheme="minorEastAsia" w:hAnsiTheme="minorEastAsia" w:eastAsiaTheme="minorEastAsia"/>
          <w:sz w:val="24"/>
          <w:szCs w:val="24"/>
          <w:highlight w:val="none"/>
        </w:rPr>
      </w:pPr>
    </w:p>
    <w:p w14:paraId="25AB58A9">
      <w:pPr>
        <w:adjustRightInd w:val="0"/>
        <w:rPr>
          <w:rFonts w:asciiTheme="minorEastAsia" w:hAnsiTheme="minorEastAsia" w:eastAsiaTheme="minorEastAsia"/>
          <w:sz w:val="24"/>
          <w:szCs w:val="24"/>
          <w:highlight w:val="none"/>
        </w:rPr>
      </w:pPr>
    </w:p>
    <w:p w14:paraId="32010579">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w:t>
      </w:r>
    </w:p>
    <w:p w14:paraId="414F3196">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谈判供应商公章：</w:t>
      </w:r>
    </w:p>
    <w:p w14:paraId="330F72B5">
      <w:pPr>
        <w:adjustRightInd w:val="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日期：</w:t>
      </w:r>
    </w:p>
    <w:p w14:paraId="41F2AF18">
      <w:pPr>
        <w:adjustRightInd w:val="0"/>
        <w:rPr>
          <w:rFonts w:cs="仿宋_GB2312" w:asciiTheme="minorEastAsia" w:hAnsiTheme="minorEastAsia" w:eastAsiaTheme="minorEastAsia"/>
          <w:b/>
          <w:bCs/>
          <w:sz w:val="24"/>
          <w:szCs w:val="24"/>
          <w:highlight w:val="none"/>
        </w:rPr>
      </w:pPr>
    </w:p>
    <w:p w14:paraId="44F1E9FA">
      <w:pPr>
        <w:adjustRightInd w:val="0"/>
        <w:rPr>
          <w:rFonts w:cs="仿宋_GB2312" w:asciiTheme="minorEastAsia" w:hAnsiTheme="minorEastAsia" w:eastAsiaTheme="minorEastAsia"/>
          <w:b/>
          <w:bCs/>
          <w:sz w:val="24"/>
          <w:szCs w:val="24"/>
          <w:highlight w:val="none"/>
        </w:rPr>
      </w:pPr>
    </w:p>
    <w:p w14:paraId="358FD010">
      <w:pPr>
        <w:adjustRightInd w:val="0"/>
        <w:rPr>
          <w:rFonts w:cs="仿宋_GB2312" w:asciiTheme="minorEastAsia" w:hAnsiTheme="minorEastAsia" w:eastAsiaTheme="minorEastAsia"/>
          <w:b/>
          <w:bCs/>
          <w:sz w:val="24"/>
          <w:szCs w:val="24"/>
          <w:highlight w:val="none"/>
        </w:rPr>
      </w:pPr>
    </w:p>
    <w:p w14:paraId="47F6FB46">
      <w:pPr>
        <w:adjustRightInd w:val="0"/>
        <w:rPr>
          <w:rFonts w:cs="仿宋_GB2312" w:asciiTheme="minorEastAsia" w:hAnsiTheme="minorEastAsia" w:eastAsiaTheme="minorEastAsia"/>
          <w:b/>
          <w:bCs/>
          <w:sz w:val="24"/>
          <w:szCs w:val="24"/>
          <w:highlight w:val="none"/>
        </w:rPr>
      </w:pPr>
    </w:p>
    <w:p w14:paraId="4C20E6B3">
      <w:pPr>
        <w:adjustRightInd w:val="0"/>
        <w:rPr>
          <w:rFonts w:asciiTheme="minorEastAsia" w:hAnsiTheme="minorEastAsia" w:eastAsiaTheme="minorEastAsia"/>
          <w:highlight w:val="none"/>
        </w:rPr>
        <w:sectPr>
          <w:pgSz w:w="11907" w:h="16840"/>
          <w:pgMar w:top="1440" w:right="1797" w:bottom="1440" w:left="1797" w:header="720" w:footer="720" w:gutter="0"/>
          <w:cols w:space="720" w:num="1"/>
        </w:sectPr>
      </w:pPr>
    </w:p>
    <w:p w14:paraId="16E3FF98">
      <w:pPr>
        <w:adjustRightInd w:val="0"/>
        <w:rPr>
          <w:rFonts w:cs="黑体" w:asciiTheme="minorEastAsia" w:hAnsiTheme="minorEastAsia" w:eastAsiaTheme="minorEastAsia"/>
          <w:b/>
          <w:bCs/>
          <w:sz w:val="28"/>
          <w:szCs w:val="28"/>
          <w:highlight w:val="none"/>
        </w:rPr>
      </w:pPr>
    </w:p>
    <w:p w14:paraId="71791D2F">
      <w:pPr>
        <w:adjustRightInd w:val="0"/>
        <w:rPr>
          <w:rFonts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附件3：</w:t>
      </w:r>
    </w:p>
    <w:p w14:paraId="62F7F544">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谈判响应报价表</w:t>
      </w:r>
    </w:p>
    <w:p w14:paraId="0C052374">
      <w:pPr>
        <w:adjustRightInd w:val="0"/>
        <w:jc w:val="center"/>
        <w:rPr>
          <w:rFonts w:cs="仿宋_GB2312" w:asciiTheme="minorEastAsia" w:hAnsiTheme="minorEastAsia" w:eastAsiaTheme="minorEastAsia"/>
          <w:sz w:val="24"/>
          <w:szCs w:val="24"/>
          <w:highlight w:val="none"/>
        </w:rPr>
      </w:pPr>
    </w:p>
    <w:p w14:paraId="239A3F5B">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3D25D9C7">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22"/>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41C705A7">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3DABDA73">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5E0D4EF1">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38C6980D">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4DB50CC1">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1206567B">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小计</w:t>
            </w:r>
          </w:p>
        </w:tc>
      </w:tr>
      <w:tr w14:paraId="6A28CA7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4B0B34A">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6D6FC22B">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1816A2F">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5B2C0CFB">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4F98D7A">
            <w:pPr>
              <w:adjustRightInd w:val="0"/>
              <w:jc w:val="center"/>
              <w:rPr>
                <w:rFonts w:cs="仿宋_GB2312" w:asciiTheme="minorEastAsia" w:hAnsiTheme="minorEastAsia" w:eastAsiaTheme="minorEastAsia"/>
                <w:sz w:val="24"/>
                <w:szCs w:val="24"/>
                <w:highlight w:val="none"/>
              </w:rPr>
            </w:pPr>
          </w:p>
        </w:tc>
      </w:tr>
      <w:tr w14:paraId="04B9578D">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733EFC7">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6CC2736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0306E32E">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2DBF48FD">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E743715">
            <w:pPr>
              <w:adjustRightInd w:val="0"/>
              <w:jc w:val="center"/>
              <w:rPr>
                <w:rFonts w:cs="仿宋_GB2312" w:asciiTheme="minorEastAsia" w:hAnsiTheme="minorEastAsia" w:eastAsiaTheme="minorEastAsia"/>
                <w:sz w:val="24"/>
                <w:szCs w:val="24"/>
                <w:highlight w:val="none"/>
              </w:rPr>
            </w:pPr>
          </w:p>
        </w:tc>
      </w:tr>
      <w:tr w14:paraId="3A5EFF9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43169EE">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12510FF3">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2B3DB461">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5B74C325">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56C58AE8">
            <w:pPr>
              <w:adjustRightInd w:val="0"/>
              <w:jc w:val="center"/>
              <w:rPr>
                <w:rFonts w:cs="仿宋_GB2312" w:asciiTheme="minorEastAsia" w:hAnsiTheme="minorEastAsia" w:eastAsiaTheme="minorEastAsia"/>
                <w:sz w:val="24"/>
                <w:szCs w:val="24"/>
                <w:highlight w:val="none"/>
              </w:rPr>
            </w:pPr>
          </w:p>
        </w:tc>
      </w:tr>
      <w:tr w14:paraId="42661C5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9081707">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02E6FF1B">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76A313DB">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B47402E">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50C6F3BE">
            <w:pPr>
              <w:adjustRightInd w:val="0"/>
              <w:jc w:val="center"/>
              <w:rPr>
                <w:rFonts w:cs="仿宋_GB2312" w:asciiTheme="minorEastAsia" w:hAnsiTheme="minorEastAsia" w:eastAsiaTheme="minorEastAsia"/>
                <w:sz w:val="24"/>
                <w:szCs w:val="24"/>
                <w:highlight w:val="none"/>
              </w:rPr>
            </w:pPr>
          </w:p>
        </w:tc>
      </w:tr>
      <w:tr w14:paraId="3DC3A697">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CE83F20">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16EB8C63">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20E1037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09000565">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155DE1DC">
            <w:pPr>
              <w:adjustRightInd w:val="0"/>
              <w:jc w:val="center"/>
              <w:rPr>
                <w:rFonts w:cs="仿宋_GB2312" w:asciiTheme="minorEastAsia" w:hAnsiTheme="minorEastAsia" w:eastAsiaTheme="minorEastAsia"/>
                <w:sz w:val="24"/>
                <w:szCs w:val="24"/>
                <w:highlight w:val="none"/>
              </w:rPr>
            </w:pPr>
          </w:p>
        </w:tc>
      </w:tr>
      <w:tr w14:paraId="798C5071">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CFCB592">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3B391DEF">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45876FC7">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1AE5240D">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70671089">
            <w:pPr>
              <w:adjustRightInd w:val="0"/>
              <w:jc w:val="center"/>
              <w:rPr>
                <w:rFonts w:cs="仿宋_GB2312" w:asciiTheme="minorEastAsia" w:hAnsiTheme="minorEastAsia" w:eastAsiaTheme="minorEastAsia"/>
                <w:sz w:val="24"/>
                <w:szCs w:val="24"/>
                <w:highlight w:val="none"/>
              </w:rPr>
            </w:pPr>
          </w:p>
        </w:tc>
      </w:tr>
      <w:tr w14:paraId="21D7380F">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2CE6CA2">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38948DFD">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7A536C5">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7D95E7B">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1BC914BD">
            <w:pPr>
              <w:adjustRightInd w:val="0"/>
              <w:jc w:val="center"/>
              <w:rPr>
                <w:rFonts w:cs="仿宋_GB2312" w:asciiTheme="minorEastAsia" w:hAnsiTheme="minorEastAsia" w:eastAsiaTheme="minorEastAsia"/>
                <w:sz w:val="24"/>
                <w:szCs w:val="24"/>
                <w:highlight w:val="none"/>
              </w:rPr>
            </w:pPr>
          </w:p>
        </w:tc>
      </w:tr>
      <w:tr w14:paraId="29BA4CC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D27CFF4">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773CA36">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4028F72F">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4C52E96E">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26D10EE">
            <w:pPr>
              <w:adjustRightInd w:val="0"/>
              <w:jc w:val="center"/>
              <w:rPr>
                <w:rFonts w:cs="仿宋_GB2312" w:asciiTheme="minorEastAsia" w:hAnsiTheme="minorEastAsia" w:eastAsiaTheme="minorEastAsia"/>
                <w:sz w:val="24"/>
                <w:szCs w:val="24"/>
                <w:highlight w:val="none"/>
              </w:rPr>
            </w:pPr>
          </w:p>
        </w:tc>
      </w:tr>
      <w:tr w14:paraId="30446E87">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494DD75">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75935DE">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C1C323B">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02C9B8C">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2BA580D2">
            <w:pPr>
              <w:adjustRightInd w:val="0"/>
              <w:jc w:val="center"/>
              <w:rPr>
                <w:rFonts w:cs="仿宋_GB2312" w:asciiTheme="minorEastAsia" w:hAnsiTheme="minorEastAsia" w:eastAsiaTheme="minorEastAsia"/>
                <w:sz w:val="24"/>
                <w:szCs w:val="24"/>
                <w:highlight w:val="none"/>
              </w:rPr>
            </w:pPr>
          </w:p>
        </w:tc>
      </w:tr>
      <w:tr w14:paraId="67371B91">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634B97E3">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总价（人民币大写）：￥     元</w:t>
            </w:r>
          </w:p>
        </w:tc>
      </w:tr>
    </w:tbl>
    <w:p w14:paraId="701D35DE">
      <w:pPr>
        <w:adjustRightInd w:val="0"/>
        <w:jc w:val="center"/>
        <w:rPr>
          <w:rFonts w:cs="仿宋_GB2312" w:asciiTheme="minorEastAsia" w:hAnsiTheme="minorEastAsia" w:eastAsiaTheme="minorEastAsia"/>
          <w:sz w:val="24"/>
          <w:szCs w:val="24"/>
          <w:highlight w:val="none"/>
        </w:rPr>
      </w:pPr>
    </w:p>
    <w:p w14:paraId="0EDA4437">
      <w:pPr>
        <w:adjustRightInd w:val="0"/>
        <w:jc w:val="center"/>
        <w:rPr>
          <w:rFonts w:cs="仿宋_GB2312" w:asciiTheme="minorEastAsia" w:hAnsiTheme="minorEastAsia" w:eastAsiaTheme="minorEastAsia"/>
          <w:sz w:val="24"/>
          <w:szCs w:val="24"/>
          <w:highlight w:val="none"/>
        </w:rPr>
      </w:pPr>
    </w:p>
    <w:p w14:paraId="5C75F4DE">
      <w:pPr>
        <w:adjustRightInd w:val="0"/>
        <w:jc w:val="center"/>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谈判供应商代表签字：</w:t>
      </w:r>
    </w:p>
    <w:p w14:paraId="6B570ACB">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谈判供应商公章日期：</w:t>
      </w:r>
    </w:p>
    <w:p w14:paraId="3156DB9A">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cs="仿宋_GB2312" w:asciiTheme="minorEastAsia" w:hAnsiTheme="minorEastAsia" w:eastAsiaTheme="minorEastAsia"/>
          <w:sz w:val="24"/>
          <w:szCs w:val="24"/>
          <w:highlight w:val="none"/>
        </w:rPr>
      </w:pPr>
    </w:p>
    <w:p w14:paraId="19019149">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cs="仿宋_GB2312" w:asciiTheme="minorEastAsia" w:hAnsiTheme="minorEastAsia" w:eastAsiaTheme="minorEastAsia"/>
          <w:b/>
          <w:bCs/>
          <w:sz w:val="24"/>
          <w:szCs w:val="24"/>
          <w:highlight w:val="none"/>
        </w:rPr>
      </w:pPr>
    </w:p>
    <w:p w14:paraId="70B9ECC5">
      <w:pPr>
        <w:adjustRightInd w:val="0"/>
        <w:rPr>
          <w:rFonts w:cs="仿宋_GB2312" w:asciiTheme="minorEastAsia" w:hAnsiTheme="minorEastAsia" w:eastAsiaTheme="minorEastAsia"/>
          <w:b/>
          <w:bCs/>
          <w:sz w:val="24"/>
          <w:szCs w:val="24"/>
          <w:highlight w:val="none"/>
        </w:rPr>
      </w:pPr>
    </w:p>
    <w:p w14:paraId="40CD10FC">
      <w:pPr>
        <w:adjustRightInd w:val="0"/>
        <w:rPr>
          <w:rFonts w:cs="仿宋_GB2312" w:asciiTheme="minorEastAsia" w:hAnsiTheme="minorEastAsia" w:eastAsiaTheme="minorEastAsia"/>
          <w:b/>
          <w:bCs/>
          <w:sz w:val="24"/>
          <w:szCs w:val="24"/>
          <w:highlight w:val="none"/>
        </w:rPr>
      </w:pPr>
    </w:p>
    <w:p w14:paraId="6C978C76">
      <w:pPr>
        <w:adjustRightInd w:val="0"/>
        <w:rPr>
          <w:rFonts w:cs="仿宋_GB2312" w:asciiTheme="minorEastAsia" w:hAnsiTheme="minorEastAsia" w:eastAsiaTheme="minorEastAsia"/>
          <w:b/>
          <w:bCs/>
          <w:sz w:val="24"/>
          <w:szCs w:val="24"/>
          <w:highlight w:val="none"/>
        </w:rPr>
      </w:pPr>
    </w:p>
    <w:p w14:paraId="7A42009D">
      <w:pPr>
        <w:adjustRightInd w:val="0"/>
        <w:rPr>
          <w:rFonts w:cs="黑体" w:asciiTheme="minorEastAsia" w:hAnsiTheme="minorEastAsia" w:eastAsiaTheme="minorEastAsia"/>
          <w:b/>
          <w:bCs/>
          <w:sz w:val="28"/>
          <w:szCs w:val="28"/>
          <w:highlight w:val="none"/>
        </w:rPr>
      </w:pPr>
    </w:p>
    <w:p w14:paraId="40A9CAD5">
      <w:pPr>
        <w:adjustRightInd w:val="0"/>
        <w:rPr>
          <w:rFonts w:cs="黑体" w:asciiTheme="minorEastAsia" w:hAnsiTheme="minorEastAsia" w:eastAsiaTheme="minorEastAsia"/>
          <w:b/>
          <w:bCs/>
          <w:sz w:val="28"/>
          <w:szCs w:val="28"/>
          <w:highlight w:val="none"/>
        </w:rPr>
      </w:pPr>
    </w:p>
    <w:p w14:paraId="3F7D0FCD">
      <w:pPr>
        <w:adjustRightInd w:val="0"/>
        <w:rPr>
          <w:rFonts w:cs="黑体" w:asciiTheme="minorEastAsia" w:hAnsiTheme="minorEastAsia" w:eastAsiaTheme="minorEastAsia"/>
          <w:b/>
          <w:bCs/>
          <w:sz w:val="28"/>
          <w:szCs w:val="28"/>
          <w:highlight w:val="none"/>
        </w:rPr>
      </w:pPr>
    </w:p>
    <w:p w14:paraId="219A98C6">
      <w:pPr>
        <w:adjustRightInd w:val="0"/>
        <w:rPr>
          <w:rFonts w:cs="黑体" w:asciiTheme="minorEastAsia" w:hAnsiTheme="minorEastAsia" w:eastAsiaTheme="minorEastAsia"/>
          <w:b/>
          <w:bCs/>
          <w:sz w:val="28"/>
          <w:szCs w:val="28"/>
          <w:highlight w:val="none"/>
        </w:rPr>
      </w:pPr>
    </w:p>
    <w:p w14:paraId="485CC8F9">
      <w:pPr>
        <w:adjustRightInd w:val="0"/>
        <w:rPr>
          <w:rFonts w:cs="黑体" w:asciiTheme="minorEastAsia" w:hAnsiTheme="minorEastAsia" w:eastAsiaTheme="minorEastAsia"/>
          <w:b/>
          <w:bCs/>
          <w:sz w:val="28"/>
          <w:szCs w:val="28"/>
          <w:highlight w:val="none"/>
        </w:rPr>
      </w:pPr>
    </w:p>
    <w:p w14:paraId="77F9A0D9">
      <w:pPr>
        <w:adjustRightInd w:val="0"/>
        <w:jc w:val="center"/>
        <w:rPr>
          <w:rFonts w:cs="黑体" w:asciiTheme="minorEastAsia" w:hAnsiTheme="minorEastAsia" w:eastAsiaTheme="minorEastAsia"/>
          <w:b/>
          <w:bCs/>
          <w:sz w:val="32"/>
          <w:szCs w:val="32"/>
          <w:highlight w:val="none"/>
        </w:rPr>
      </w:pPr>
    </w:p>
    <w:p w14:paraId="3FD0A842">
      <w:pPr>
        <w:adjustRightInd w:val="0"/>
        <w:jc w:val="center"/>
        <w:rPr>
          <w:rFonts w:cs="黑体" w:asciiTheme="minorEastAsia" w:hAnsiTheme="minorEastAsia" w:eastAsiaTheme="minorEastAsia"/>
          <w:b/>
          <w:bCs/>
          <w:sz w:val="32"/>
          <w:szCs w:val="32"/>
          <w:highlight w:val="none"/>
        </w:rPr>
      </w:pPr>
    </w:p>
    <w:p w14:paraId="5565751F">
      <w:pPr>
        <w:adjustRightInd w:val="0"/>
        <w:jc w:val="center"/>
        <w:rPr>
          <w:rFonts w:cs="黑体" w:asciiTheme="minorEastAsia" w:hAnsiTheme="minorEastAsia" w:eastAsiaTheme="minorEastAsia"/>
          <w:b/>
          <w:bCs/>
          <w:sz w:val="32"/>
          <w:szCs w:val="32"/>
          <w:highlight w:val="none"/>
        </w:rPr>
      </w:pPr>
    </w:p>
    <w:p w14:paraId="0BD25500">
      <w:pPr>
        <w:adjustRightInd w:val="0"/>
        <w:jc w:val="center"/>
        <w:rPr>
          <w:rFonts w:cs="黑体" w:asciiTheme="minorEastAsia" w:hAnsiTheme="minorEastAsia" w:eastAsiaTheme="minorEastAsia"/>
          <w:b/>
          <w:bCs/>
          <w:sz w:val="32"/>
          <w:szCs w:val="32"/>
          <w:highlight w:val="none"/>
        </w:rPr>
      </w:pPr>
    </w:p>
    <w:p w14:paraId="6CCCEE4E">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附件4：</w:t>
      </w:r>
    </w:p>
    <w:p w14:paraId="44EB5232">
      <w:pPr>
        <w:adjustRightInd w:val="0"/>
        <w:rPr>
          <w:rFonts w:cs="黑体" w:asciiTheme="minorEastAsia" w:hAnsiTheme="minorEastAsia" w:eastAsiaTheme="minorEastAsia"/>
          <w:b/>
          <w:bCs/>
          <w:sz w:val="32"/>
          <w:szCs w:val="32"/>
          <w:highlight w:val="none"/>
        </w:rPr>
      </w:pPr>
    </w:p>
    <w:p w14:paraId="1FCD18A4">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技术偏差表</w:t>
      </w:r>
    </w:p>
    <w:p w14:paraId="5C738A83">
      <w:pPr>
        <w:adjustRightInd w:val="0"/>
        <w:rPr>
          <w:rFonts w:asciiTheme="minorEastAsia" w:hAnsiTheme="minorEastAsia" w:eastAsiaTheme="minorEastAsia"/>
          <w:highlight w:val="none"/>
        </w:rPr>
      </w:pPr>
    </w:p>
    <w:p w14:paraId="76F34FE7">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谈判供应商名称： </w:t>
      </w:r>
    </w:p>
    <w:p w14:paraId="35B6BF4D">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采购编号：</w:t>
      </w:r>
    </w:p>
    <w:tbl>
      <w:tblPr>
        <w:tblStyle w:val="22"/>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7306CA36">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6DBDA343">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76B845E">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7FF745C1">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085B7053">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偏差</w:t>
            </w:r>
          </w:p>
        </w:tc>
      </w:tr>
      <w:tr w14:paraId="1DCEE2F5">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39B43C75">
            <w:pPr>
              <w:jc w:val="center"/>
              <w:rPr>
                <w:rFonts w:asciiTheme="minorEastAsia" w:hAnsiTheme="minorEastAsia" w:eastAsiaTheme="minorEastAsia"/>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0C9D9D60">
            <w:pPr>
              <w:rPr>
                <w:rFonts w:asciiTheme="minorEastAsia" w:hAnsiTheme="minorEastAsia" w:eastAsiaTheme="minorEastAsia"/>
                <w:sz w:val="24"/>
                <w:szCs w:val="24"/>
                <w:highlight w:val="none"/>
              </w:rPr>
            </w:pPr>
          </w:p>
        </w:tc>
        <w:tc>
          <w:tcPr>
            <w:tcW w:w="3311" w:type="dxa"/>
            <w:tcBorders>
              <w:top w:val="nil"/>
              <w:left w:val="nil"/>
              <w:bottom w:val="single" w:color="auto" w:sz="4" w:space="0"/>
              <w:right w:val="single" w:color="auto" w:sz="4" w:space="0"/>
            </w:tcBorders>
            <w:vAlign w:val="bottom"/>
          </w:tcPr>
          <w:p w14:paraId="52BB204D">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谈判文件</w:t>
            </w:r>
          </w:p>
        </w:tc>
        <w:tc>
          <w:tcPr>
            <w:tcW w:w="2880" w:type="dxa"/>
            <w:tcBorders>
              <w:top w:val="nil"/>
              <w:left w:val="nil"/>
              <w:bottom w:val="single" w:color="auto" w:sz="4" w:space="0"/>
              <w:right w:val="single" w:color="auto" w:sz="4" w:space="0"/>
            </w:tcBorders>
            <w:vAlign w:val="bottom"/>
          </w:tcPr>
          <w:p w14:paraId="3855FA88">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32AF4053">
            <w:pPr>
              <w:rPr>
                <w:rFonts w:asciiTheme="minorEastAsia" w:hAnsiTheme="minorEastAsia" w:eastAsiaTheme="minorEastAsia"/>
                <w:sz w:val="24"/>
                <w:szCs w:val="24"/>
                <w:highlight w:val="none"/>
              </w:rPr>
            </w:pPr>
          </w:p>
        </w:tc>
      </w:tr>
      <w:tr w14:paraId="388CDEE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3ECB24A">
            <w:pPr>
              <w:spacing w:beforeLines="20" w:afterLines="20"/>
              <w:ind w:left="110" w:leftChars="50" w:right="110" w:rightChars="50"/>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1354E9AB">
            <w:pPr>
              <w:spacing w:beforeLines="20" w:afterLines="20"/>
              <w:ind w:left="110" w:leftChars="50" w:right="110" w:rightChars="50"/>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0850518D">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48252BAB">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6D1224C5">
            <w:pPr>
              <w:spacing w:beforeLines="20" w:afterLines="20"/>
              <w:ind w:left="110" w:leftChars="50" w:right="110" w:rightChars="50"/>
              <w:jc w:val="center"/>
              <w:rPr>
                <w:rFonts w:asciiTheme="minorEastAsia" w:hAnsiTheme="minorEastAsia" w:eastAsiaTheme="minorEastAsia"/>
                <w:highlight w:val="none"/>
              </w:rPr>
            </w:pPr>
          </w:p>
        </w:tc>
      </w:tr>
      <w:tr w14:paraId="26755B2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C617EFC">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53E9C229">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31DEF343">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7C3651E8">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2C1910A3">
            <w:pPr>
              <w:spacing w:beforeLines="20" w:afterLines="20"/>
              <w:ind w:left="110" w:leftChars="50" w:right="110" w:rightChars="50"/>
              <w:jc w:val="center"/>
              <w:rPr>
                <w:rFonts w:asciiTheme="minorEastAsia" w:hAnsiTheme="minorEastAsia" w:eastAsiaTheme="minorEastAsia"/>
                <w:highlight w:val="none"/>
              </w:rPr>
            </w:pPr>
          </w:p>
        </w:tc>
      </w:tr>
      <w:tr w14:paraId="1CFA763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F185CD1">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280A8B74">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4A8BBAF4">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3262A505">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10B59BBE">
            <w:pPr>
              <w:spacing w:beforeLines="20" w:afterLines="20"/>
              <w:ind w:left="110" w:leftChars="50" w:right="110" w:rightChars="50"/>
              <w:jc w:val="center"/>
              <w:rPr>
                <w:rFonts w:asciiTheme="minorEastAsia" w:hAnsiTheme="minorEastAsia" w:eastAsiaTheme="minorEastAsia"/>
                <w:highlight w:val="none"/>
              </w:rPr>
            </w:pPr>
          </w:p>
        </w:tc>
      </w:tr>
      <w:tr w14:paraId="1FEF576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7D61433">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638B35BE">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1FCB5EE6">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5BBFB71B">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52C64EFC">
            <w:pPr>
              <w:spacing w:beforeLines="20" w:afterLines="20"/>
              <w:ind w:left="110" w:leftChars="50" w:right="110" w:rightChars="50"/>
              <w:jc w:val="center"/>
              <w:rPr>
                <w:rFonts w:asciiTheme="minorEastAsia" w:hAnsiTheme="minorEastAsia" w:eastAsiaTheme="minorEastAsia"/>
                <w:highlight w:val="none"/>
              </w:rPr>
            </w:pPr>
          </w:p>
        </w:tc>
      </w:tr>
      <w:tr w14:paraId="38CF6A5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244A1CD">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200175F6">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7ED4C48D">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3D7D5F80">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22F548A8">
            <w:pPr>
              <w:spacing w:beforeLines="20" w:afterLines="20"/>
              <w:ind w:left="110" w:leftChars="50" w:right="110" w:rightChars="50"/>
              <w:jc w:val="center"/>
              <w:rPr>
                <w:rFonts w:asciiTheme="minorEastAsia" w:hAnsiTheme="minorEastAsia" w:eastAsiaTheme="minorEastAsia"/>
                <w:highlight w:val="none"/>
              </w:rPr>
            </w:pPr>
          </w:p>
        </w:tc>
      </w:tr>
    </w:tbl>
    <w:p w14:paraId="64012FF4">
      <w:pPr>
        <w:adjustRightInd w:val="0"/>
        <w:rPr>
          <w:rFonts w:asciiTheme="minorEastAsia" w:hAnsiTheme="minorEastAsia" w:eastAsiaTheme="minorEastAsia"/>
          <w:sz w:val="24"/>
          <w:szCs w:val="24"/>
          <w:highlight w:val="none"/>
        </w:rPr>
      </w:pPr>
    </w:p>
    <w:p w14:paraId="0992EC86">
      <w:pPr>
        <w:adjustRightInd w:val="0"/>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谈判供应商代表签字：谈判供应商公章：日期：</w:t>
      </w:r>
    </w:p>
    <w:p w14:paraId="58ABF700">
      <w:pPr>
        <w:adjustRightInd w:val="0"/>
        <w:rPr>
          <w:rFonts w:asciiTheme="minorEastAsia" w:hAnsiTheme="minorEastAsia" w:eastAsiaTheme="minorEastAsia"/>
          <w:sz w:val="24"/>
          <w:szCs w:val="24"/>
          <w:highlight w:val="none"/>
        </w:rPr>
      </w:pPr>
    </w:p>
    <w:p w14:paraId="00ED889F">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注：</w:t>
      </w:r>
      <w:r>
        <w:rPr>
          <w:rFonts w:cs="仿宋_GB2312" w:asciiTheme="minorEastAsia" w:hAnsiTheme="minorEastAsia" w:eastAsiaTheme="minorEastAsia"/>
          <w:sz w:val="24"/>
          <w:szCs w:val="24"/>
          <w:highlight w:val="none"/>
        </w:rPr>
        <w:t>1.</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偏差描述</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栏中详细注明响应文件参数与谈判文件中要求有何不同，并说明其符合性。</w:t>
      </w:r>
    </w:p>
    <w:p w14:paraId="12378E20">
      <w:pPr>
        <w:adjustRightInd w:val="0"/>
        <w:ind w:firstLine="517"/>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.谈判供应商可根据需要自行增减表格行数。</w:t>
      </w:r>
    </w:p>
    <w:p w14:paraId="1057F094">
      <w:pPr>
        <w:adjustRightInd w:val="0"/>
        <w:ind w:firstLine="390"/>
        <w:rPr>
          <w:rFonts w:asciiTheme="minorEastAsia" w:hAnsiTheme="minorEastAsia" w:eastAsiaTheme="minorEastAsia"/>
          <w:sz w:val="18"/>
          <w:szCs w:val="18"/>
          <w:highlight w:val="none"/>
        </w:rPr>
      </w:pPr>
    </w:p>
    <w:p w14:paraId="0715069F">
      <w:pPr>
        <w:adjustRightInd w:val="0"/>
        <w:rPr>
          <w:rFonts w:asciiTheme="minorEastAsia" w:hAnsiTheme="minorEastAsia" w:eastAsiaTheme="minorEastAsia"/>
          <w:sz w:val="28"/>
          <w:szCs w:val="28"/>
          <w:highlight w:val="none"/>
        </w:rPr>
      </w:pPr>
    </w:p>
    <w:p w14:paraId="738B08DF">
      <w:pPr>
        <w:adjustRightInd w:val="0"/>
        <w:rPr>
          <w:rFonts w:asciiTheme="minorEastAsia" w:hAnsiTheme="minorEastAsia" w:eastAsiaTheme="minorEastAsia"/>
          <w:highlight w:val="none"/>
        </w:rPr>
        <w:sectPr>
          <w:pgSz w:w="11907" w:h="16840"/>
          <w:pgMar w:top="1440" w:right="1797" w:bottom="1440" w:left="1797" w:header="720" w:footer="720" w:gutter="0"/>
          <w:cols w:space="720" w:num="1"/>
        </w:sectPr>
      </w:pPr>
    </w:p>
    <w:p w14:paraId="71C7FB03">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附件5：</w:t>
      </w:r>
    </w:p>
    <w:p w14:paraId="05B3DF38">
      <w:pPr>
        <w:adjustRightInd w:val="0"/>
        <w:jc w:val="center"/>
        <w:rPr>
          <w:rFonts w:cs="黑体" w:asciiTheme="minorEastAsia" w:hAnsiTheme="minorEastAsia" w:eastAsiaTheme="minorEastAsia"/>
          <w:b/>
          <w:bCs/>
          <w:sz w:val="32"/>
          <w:szCs w:val="32"/>
          <w:highlight w:val="none"/>
        </w:rPr>
      </w:pPr>
    </w:p>
    <w:p w14:paraId="4C7DA8E4">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服务承诺</w:t>
      </w:r>
    </w:p>
    <w:p w14:paraId="52D4CA41">
      <w:pPr>
        <w:adjustRightInd w:val="0"/>
        <w:jc w:val="center"/>
        <w:rPr>
          <w:rFonts w:asciiTheme="minorEastAsia" w:hAnsiTheme="minorEastAsia" w:eastAsiaTheme="minorEastAsia"/>
          <w:sz w:val="28"/>
          <w:szCs w:val="28"/>
          <w:highlight w:val="none"/>
        </w:rPr>
      </w:pPr>
    </w:p>
    <w:p w14:paraId="7879155F">
      <w:pPr>
        <w:keepNext w:val="0"/>
        <w:keepLines w:val="0"/>
        <w:pageBreakBefore w:val="0"/>
        <w:widowControl w:val="0"/>
        <w:kinsoku/>
        <w:wordWrap/>
        <w:overflowPunct/>
        <w:topLinePunct w:val="0"/>
        <w:autoSpaceDE w:val="0"/>
        <w:autoSpaceDN w:val="0"/>
        <w:bidi w:val="0"/>
        <w:adjustRightInd w:val="0"/>
        <w:snapToGrid/>
        <w:spacing w:line="360" w:lineRule="auto"/>
        <w:ind w:firstLine="585"/>
        <w:textAlignment w:val="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、详细说明售后服务的内容、形式，含免费服务时间。</w:t>
      </w:r>
    </w:p>
    <w:p w14:paraId="1CC1D578">
      <w:pPr>
        <w:keepNext w:val="0"/>
        <w:keepLines w:val="0"/>
        <w:pageBreakBefore w:val="0"/>
        <w:widowControl w:val="0"/>
        <w:kinsoku/>
        <w:wordWrap/>
        <w:overflowPunct/>
        <w:topLinePunct w:val="0"/>
        <w:autoSpaceDE w:val="0"/>
        <w:autoSpaceDN w:val="0"/>
        <w:bidi w:val="0"/>
        <w:adjustRightInd w:val="0"/>
        <w:snapToGrid/>
        <w:spacing w:line="360" w:lineRule="auto"/>
        <w:ind w:firstLine="585"/>
        <w:textAlignment w:val="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、解决质量或操作问题时间。</w:t>
      </w:r>
    </w:p>
    <w:p w14:paraId="0A2C1E58">
      <w:pPr>
        <w:keepNext w:val="0"/>
        <w:keepLines w:val="0"/>
        <w:pageBreakBefore w:val="0"/>
        <w:widowControl w:val="0"/>
        <w:kinsoku/>
        <w:wordWrap/>
        <w:overflowPunct/>
        <w:topLinePunct w:val="0"/>
        <w:autoSpaceDE w:val="0"/>
        <w:autoSpaceDN w:val="0"/>
        <w:bidi w:val="0"/>
        <w:adjustRightInd w:val="0"/>
        <w:snapToGrid/>
        <w:spacing w:line="360" w:lineRule="auto"/>
        <w:ind w:firstLine="630"/>
        <w:textAlignment w:val="auto"/>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、质量保证措施。</w:t>
      </w:r>
    </w:p>
    <w:p w14:paraId="1DC3DE66">
      <w:pPr>
        <w:keepNext w:val="0"/>
        <w:keepLines w:val="0"/>
        <w:pageBreakBefore w:val="0"/>
        <w:widowControl w:val="0"/>
        <w:kinsoku/>
        <w:wordWrap/>
        <w:overflowPunct/>
        <w:topLinePunct w:val="0"/>
        <w:autoSpaceDE w:val="0"/>
        <w:autoSpaceDN w:val="0"/>
        <w:bidi w:val="0"/>
        <w:adjustRightInd w:val="0"/>
        <w:snapToGrid/>
        <w:spacing w:line="360" w:lineRule="auto"/>
        <w:ind w:firstLine="630"/>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4、谈判供应商认为需要说明的其他服务承诺。</w:t>
      </w:r>
    </w:p>
    <w:p w14:paraId="5C84C6A9">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heme="minorEastAsia" w:hAnsiTheme="minorEastAsia" w:eastAsiaTheme="minorEastAsia"/>
          <w:sz w:val="28"/>
          <w:szCs w:val="28"/>
          <w:highlight w:val="none"/>
        </w:rPr>
      </w:pPr>
    </w:p>
    <w:p w14:paraId="6D5BC2C5">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heme="minorEastAsia" w:hAnsiTheme="minorEastAsia" w:eastAsiaTheme="minorEastAsia"/>
          <w:sz w:val="28"/>
          <w:szCs w:val="28"/>
          <w:highlight w:val="none"/>
        </w:rPr>
      </w:pPr>
    </w:p>
    <w:p w14:paraId="40100A29">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heme="minorEastAsia" w:hAnsiTheme="minorEastAsia" w:eastAsiaTheme="minorEastAsia"/>
          <w:sz w:val="24"/>
          <w:szCs w:val="24"/>
          <w:highlight w:val="none"/>
        </w:rPr>
      </w:pPr>
    </w:p>
    <w:p w14:paraId="4A031046">
      <w:pPr>
        <w:adjustRightInd w:val="0"/>
        <w:ind w:firstLine="240" w:firstLineChars="10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sz w:val="24"/>
          <w:szCs w:val="24"/>
          <w:highlight w:val="none"/>
        </w:rPr>
        <w:t>谈判供应商代表签名</w:t>
      </w:r>
      <w:r>
        <w:rPr>
          <w:rFonts w:hint="eastAsia" w:cs="仿宋_GB2312" w:asciiTheme="minorEastAsia" w:hAnsiTheme="minorEastAsia" w:eastAsiaTheme="minorEastAsia"/>
          <w:b/>
          <w:bCs/>
          <w:sz w:val="24"/>
          <w:szCs w:val="24"/>
          <w:highlight w:val="none"/>
        </w:rPr>
        <w:t>：</w:t>
      </w:r>
    </w:p>
    <w:p w14:paraId="16853FAC">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cs="楷体_GB2312" w:asciiTheme="minorEastAsia" w:hAnsiTheme="minorEastAsia" w:eastAsiaTheme="minorEastAsia"/>
          <w:sz w:val="24"/>
          <w:szCs w:val="24"/>
          <w:highlight w:val="none"/>
        </w:rPr>
      </w:pPr>
    </w:p>
    <w:p w14:paraId="4FF31278">
      <w:pPr>
        <w:keepNext w:val="0"/>
        <w:keepLines w:val="0"/>
        <w:pageBreakBefore w:val="0"/>
        <w:widowControl w:val="0"/>
        <w:kinsoku/>
        <w:wordWrap/>
        <w:overflowPunct/>
        <w:topLinePunct w:val="0"/>
        <w:autoSpaceDE w:val="0"/>
        <w:autoSpaceDN w:val="0"/>
        <w:bidi w:val="0"/>
        <w:adjustRightInd w:val="0"/>
        <w:snapToGrid/>
        <w:spacing w:line="360" w:lineRule="auto"/>
        <w:ind w:firstLine="280"/>
        <w:textAlignment w:val="auto"/>
        <w:rPr>
          <w:rFonts w:cs="楷体_GB2312" w:asciiTheme="minorEastAsia" w:hAnsiTheme="minorEastAsia" w:eastAsiaTheme="minorEastAsia"/>
          <w:sz w:val="24"/>
          <w:szCs w:val="24"/>
          <w:highlight w:val="none"/>
        </w:rPr>
      </w:pPr>
    </w:p>
    <w:p w14:paraId="3E9AE5A9">
      <w:pPr>
        <w:keepNext w:val="0"/>
        <w:keepLines w:val="0"/>
        <w:pageBreakBefore w:val="0"/>
        <w:widowControl w:val="0"/>
        <w:kinsoku/>
        <w:wordWrap/>
        <w:overflowPunct/>
        <w:topLinePunct w:val="0"/>
        <w:autoSpaceDE w:val="0"/>
        <w:autoSpaceDN w:val="0"/>
        <w:bidi w:val="0"/>
        <w:adjustRightInd w:val="0"/>
        <w:snapToGrid/>
        <w:spacing w:line="360" w:lineRule="auto"/>
        <w:ind w:firstLine="280"/>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公章：</w:t>
      </w:r>
    </w:p>
    <w:p w14:paraId="46807714">
      <w:pPr>
        <w:adjustRightInd w:val="0"/>
        <w:rPr>
          <w:rFonts w:asciiTheme="minorEastAsia" w:hAnsiTheme="minorEastAsia" w:eastAsiaTheme="minorEastAsia"/>
          <w:sz w:val="28"/>
          <w:szCs w:val="28"/>
          <w:highlight w:val="none"/>
        </w:rPr>
      </w:pPr>
    </w:p>
    <w:p w14:paraId="251E1722">
      <w:pPr>
        <w:adjustRightInd w:val="0"/>
        <w:rPr>
          <w:rFonts w:asciiTheme="minorEastAsia" w:hAnsiTheme="minorEastAsia" w:eastAsiaTheme="minorEastAsia"/>
          <w:sz w:val="28"/>
          <w:szCs w:val="28"/>
          <w:highlight w:val="none"/>
        </w:rPr>
      </w:pPr>
    </w:p>
    <w:p w14:paraId="1CA50F87">
      <w:pPr>
        <w:adjustRightInd w:val="0"/>
        <w:rPr>
          <w:rFonts w:asciiTheme="minorEastAsia" w:hAnsiTheme="minorEastAsia" w:eastAsiaTheme="minorEastAsia"/>
          <w:highlight w:val="none"/>
        </w:rPr>
        <w:sectPr>
          <w:pgSz w:w="12240" w:h="15840"/>
          <w:pgMar w:top="1440" w:right="1797" w:bottom="1440" w:left="1797" w:header="720" w:footer="720" w:gutter="0"/>
          <w:cols w:space="720" w:num="1"/>
        </w:sectPr>
      </w:pPr>
    </w:p>
    <w:p w14:paraId="44A8590C">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附件6：</w:t>
      </w:r>
    </w:p>
    <w:p w14:paraId="6028C5AB">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关于资格的声明函</w:t>
      </w:r>
    </w:p>
    <w:p w14:paraId="56B508FE">
      <w:pPr>
        <w:adjustRightInd w:val="0"/>
        <w:rPr>
          <w:rFonts w:asciiTheme="minorEastAsia" w:hAnsiTheme="minorEastAsia" w:eastAsiaTheme="minorEastAsia"/>
          <w:sz w:val="24"/>
          <w:szCs w:val="24"/>
          <w:highlight w:val="none"/>
        </w:rPr>
      </w:pPr>
    </w:p>
    <w:p w14:paraId="0F14B265">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周口市公共资源交易中心（政府采购中心）：</w:t>
      </w:r>
    </w:p>
    <w:p w14:paraId="23945BBD">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关于贵方的项目谈判邀请，本签字人愿意参加谈判，提供谈判项目一览表中规定的货物，并声明提交的下列文件是准确和真实的。</w:t>
      </w:r>
    </w:p>
    <w:p w14:paraId="34C23413">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、企业法人营业执照。</w:t>
      </w:r>
    </w:p>
    <w:p w14:paraId="0952BB36">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、税务登记证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lang w:val="en-US" w:eastAsia="zh-CN"/>
        </w:rPr>
        <w:t>三证合一的不需要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rPr>
        <w:t>。</w:t>
      </w:r>
    </w:p>
    <w:p w14:paraId="63320B72">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、组织机构代码证。</w:t>
      </w:r>
    </w:p>
    <w:p w14:paraId="2F03EAED">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、法定代表人授权委托书。</w:t>
      </w:r>
    </w:p>
    <w:p w14:paraId="4A6E41D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5、委托代理人身份证。</w:t>
      </w:r>
    </w:p>
    <w:p w14:paraId="1E7CC25A">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 </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6、其它证明文件或证件。</w:t>
      </w:r>
    </w:p>
    <w:p w14:paraId="5C443D42">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本签字人确认资格文件中的说明是真实的、准确的。</w:t>
      </w:r>
    </w:p>
    <w:p w14:paraId="00120434">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asciiTheme="minorEastAsia" w:hAnsiTheme="minorEastAsia" w:eastAsiaTheme="minorEastAsia"/>
          <w:sz w:val="24"/>
          <w:szCs w:val="24"/>
          <w:highlight w:val="none"/>
        </w:rPr>
      </w:pPr>
    </w:p>
    <w:p w14:paraId="472F61C7">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asciiTheme="minorEastAsia" w:hAnsiTheme="minorEastAsia" w:eastAsiaTheme="minorEastAsia"/>
          <w:sz w:val="24"/>
          <w:szCs w:val="24"/>
          <w:highlight w:val="none"/>
        </w:rPr>
      </w:pPr>
    </w:p>
    <w:p w14:paraId="5E128C42">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asciiTheme="minorEastAsia" w:hAnsiTheme="minorEastAsia" w:eastAsiaTheme="minorEastAsia"/>
          <w:sz w:val="24"/>
          <w:szCs w:val="24"/>
          <w:highlight w:val="none"/>
        </w:rPr>
      </w:pPr>
    </w:p>
    <w:p w14:paraId="1C0183DA">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asciiTheme="minorEastAsia" w:hAnsiTheme="minorEastAsia" w:eastAsiaTheme="minorEastAsia"/>
          <w:sz w:val="24"/>
          <w:szCs w:val="24"/>
          <w:highlight w:val="none"/>
        </w:rPr>
      </w:pPr>
    </w:p>
    <w:p w14:paraId="220C8226">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单位名称（签章）：</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法定代表人（签字）：</w:t>
      </w:r>
    </w:p>
    <w:p w14:paraId="0FB01D8A">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63739537">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签字人姓名、职务（印刷体）：</w:t>
      </w:r>
    </w:p>
    <w:p w14:paraId="0D46691B">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0E3E3EA5">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17C53FA6">
      <w:pPr>
        <w:adjustRightInd w:val="0"/>
        <w:rPr>
          <w:rFonts w:cs="仿宋_GB2312" w:asciiTheme="minorEastAsia" w:hAnsiTheme="minorEastAsia" w:eastAsiaTheme="minorEastAsia"/>
          <w:sz w:val="24"/>
          <w:szCs w:val="24"/>
          <w:highlight w:val="none"/>
        </w:rPr>
      </w:pPr>
    </w:p>
    <w:p w14:paraId="583867C5">
      <w:pPr>
        <w:adjustRightInd w:val="0"/>
        <w:rPr>
          <w:rFonts w:asciiTheme="minorEastAsia" w:hAnsiTheme="minorEastAsia" w:eastAsiaTheme="minorEastAsia"/>
          <w:sz w:val="28"/>
          <w:szCs w:val="28"/>
          <w:highlight w:val="none"/>
        </w:rPr>
      </w:pPr>
    </w:p>
    <w:p w14:paraId="40FD93B4">
      <w:pPr>
        <w:adjustRightInd w:val="0"/>
        <w:rPr>
          <w:rFonts w:asciiTheme="minorEastAsia" w:hAnsiTheme="minorEastAsia" w:eastAsiaTheme="minorEastAsia"/>
          <w:sz w:val="28"/>
          <w:szCs w:val="28"/>
          <w:highlight w:val="none"/>
        </w:rPr>
      </w:pPr>
    </w:p>
    <w:p w14:paraId="49FD4CDA">
      <w:pPr>
        <w:adjustRightInd w:val="0"/>
        <w:rPr>
          <w:rFonts w:asciiTheme="minorEastAsia" w:hAnsiTheme="minorEastAsia" w:eastAsiaTheme="minorEastAsia"/>
          <w:highlight w:val="none"/>
        </w:rPr>
        <w:sectPr>
          <w:pgSz w:w="12240" w:h="15840"/>
          <w:pgMar w:top="1440" w:right="1797" w:bottom="1440" w:left="1797" w:header="720" w:footer="720" w:gutter="0"/>
          <w:cols w:space="720" w:num="1"/>
        </w:sectPr>
      </w:pPr>
    </w:p>
    <w:p w14:paraId="0F79ED4B">
      <w:pPr>
        <w:adjustRightInd w:val="0"/>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附件7：</w:t>
      </w:r>
    </w:p>
    <w:p w14:paraId="4CABC00B">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授权委托书</w:t>
      </w:r>
    </w:p>
    <w:p w14:paraId="6774356D">
      <w:pPr>
        <w:adjustRightInd w:val="0"/>
        <w:jc w:val="center"/>
        <w:rPr>
          <w:rFonts w:asciiTheme="minorEastAsia" w:hAnsiTheme="minorEastAsia" w:eastAsiaTheme="minorEastAsia"/>
          <w:b/>
          <w:bCs/>
          <w:sz w:val="24"/>
          <w:szCs w:val="24"/>
          <w:highlight w:val="none"/>
        </w:rPr>
      </w:pPr>
    </w:p>
    <w:p w14:paraId="59FCE241">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p>
    <w:p w14:paraId="455CD403">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cs="仿宋_GB2312" w:asciiTheme="minorEastAsia" w:hAnsiTheme="minorEastAsia" w:eastAsiaTheme="minorEastAsia"/>
          <w:sz w:val="24"/>
          <w:szCs w:val="24"/>
          <w:highlight w:val="none"/>
        </w:rPr>
      </w:pPr>
    </w:p>
    <w:p w14:paraId="34EA3C1F">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地址：法定代表人：</w:t>
      </w:r>
    </w:p>
    <w:p w14:paraId="5ECDCFFD">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cs="仿宋_GB2312" w:asciiTheme="minorEastAsia" w:hAnsiTheme="minorEastAsia" w:eastAsiaTheme="minorEastAsia"/>
          <w:sz w:val="24"/>
          <w:szCs w:val="24"/>
          <w:highlight w:val="none"/>
        </w:rPr>
      </w:pPr>
    </w:p>
    <w:p w14:paraId="34AC4718">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受托人姓名：性别：出生日期：年月日</w:t>
      </w:r>
    </w:p>
    <w:p w14:paraId="36F65917">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cs="仿宋_GB2312" w:asciiTheme="minorEastAsia" w:hAnsiTheme="minorEastAsia" w:eastAsiaTheme="minorEastAsia"/>
          <w:sz w:val="24"/>
          <w:szCs w:val="24"/>
          <w:highlight w:val="none"/>
        </w:rPr>
      </w:pPr>
    </w:p>
    <w:p w14:paraId="41160F8F">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所在单位：职务：</w:t>
      </w:r>
    </w:p>
    <w:p w14:paraId="009CAE59">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cs="仿宋_GB2312" w:asciiTheme="minorEastAsia" w:hAnsiTheme="minorEastAsia" w:eastAsiaTheme="minorEastAsia"/>
          <w:sz w:val="24"/>
          <w:szCs w:val="24"/>
          <w:highlight w:val="none"/>
        </w:rPr>
      </w:pPr>
    </w:p>
    <w:p w14:paraId="1F276C33">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身份证：现住：</w:t>
      </w:r>
    </w:p>
    <w:p w14:paraId="57B183C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兹委托受托人代表我单位参加项目谈判事宜，并授权其全权办理以下事宜：</w:t>
      </w:r>
    </w:p>
    <w:p w14:paraId="366D3C4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、参加谈判活动。</w:t>
      </w:r>
    </w:p>
    <w:p w14:paraId="2ECB886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、出席谈判会议。</w:t>
      </w:r>
    </w:p>
    <w:p w14:paraId="0DAA347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、确定谈判采购的最终报价。</w:t>
      </w:r>
    </w:p>
    <w:p w14:paraId="00E214A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、签订与成交事宜有关的合同。</w:t>
      </w:r>
    </w:p>
    <w:p w14:paraId="1C63246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5</w:t>
      </w:r>
      <w:r>
        <w:rPr>
          <w:rFonts w:hint="eastAsia" w:cs="仿宋_GB2312" w:asciiTheme="minorEastAsia" w:hAnsiTheme="minorEastAsia" w:eastAsiaTheme="minorEastAsia"/>
          <w:sz w:val="24"/>
          <w:szCs w:val="24"/>
          <w:highlight w:val="none"/>
        </w:rPr>
        <w:t>、负责合同的履行、服务以及在合同履行过程中有关事宜的洽谈和处理。</w:t>
      </w:r>
    </w:p>
    <w:p w14:paraId="157DC90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受托人在办理上述事宜过程中以其自己的名义签署的所有文件我单位均予以承认。</w:t>
      </w:r>
    </w:p>
    <w:p w14:paraId="4A0FE6E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受托人无转委托权。</w:t>
      </w:r>
    </w:p>
    <w:p w14:paraId="31D8B81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委托期限：至上述事宜处理完毕止。</w:t>
      </w:r>
    </w:p>
    <w:p w14:paraId="4CFE662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r>
        <w:rPr>
          <w:rFonts w:hint="eastAsia" w:cs="仿宋_GB2312" w:asciiTheme="minorEastAsia" w:hAnsiTheme="minorEastAsia" w:eastAsiaTheme="minorEastAsia"/>
          <w:sz w:val="24"/>
          <w:szCs w:val="24"/>
          <w:highlight w:val="none"/>
          <w:u w:val="single"/>
        </w:rPr>
        <w:t>（公章）</w:t>
      </w:r>
    </w:p>
    <w:p w14:paraId="00825F1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法定代表人：</w:t>
      </w:r>
      <w:r>
        <w:rPr>
          <w:rFonts w:hint="eastAsia" w:cs="仿宋_GB2312" w:asciiTheme="minorEastAsia" w:hAnsiTheme="minorEastAsia" w:eastAsiaTheme="minorEastAsia"/>
          <w:sz w:val="24"/>
          <w:szCs w:val="24"/>
          <w:highlight w:val="none"/>
          <w:u w:val="single"/>
        </w:rPr>
        <w:t>（签</w:t>
      </w:r>
      <w:r>
        <w:rPr>
          <w:rFonts w:hint="eastAsia" w:cs="仿宋_GB2312" w:asciiTheme="minorEastAsia" w:hAnsiTheme="minorEastAsia" w:eastAsiaTheme="minorEastAsia"/>
          <w:sz w:val="24"/>
          <w:szCs w:val="24"/>
          <w:highlight w:val="none"/>
          <w:u w:val="single"/>
          <w:lang w:val="en-US" w:eastAsia="zh-CN"/>
        </w:rPr>
        <w:t>字</w:t>
      </w:r>
      <w:r>
        <w:rPr>
          <w:rFonts w:hint="eastAsia" w:cs="仿宋_GB2312" w:asciiTheme="minorEastAsia" w:hAnsiTheme="minorEastAsia" w:eastAsiaTheme="minorEastAsia"/>
          <w:sz w:val="24"/>
          <w:szCs w:val="24"/>
          <w:highlight w:val="none"/>
          <w:u w:val="single"/>
        </w:rPr>
        <w:t>）</w:t>
      </w:r>
    </w:p>
    <w:p w14:paraId="55A3CB8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default" w:cs="仿宋_GB2312" w:asciiTheme="minorEastAsia" w:hAnsiTheme="minorEastAsia" w:eastAsiaTheme="minorEastAsia"/>
          <w:sz w:val="24"/>
          <w:szCs w:val="24"/>
          <w:highlight w:val="none"/>
          <w:u w:val="single"/>
          <w:lang w:val="en-US" w:eastAsia="zh-CN"/>
        </w:rPr>
      </w:pPr>
      <w:r>
        <w:rPr>
          <w:rFonts w:hint="eastAsia" w:cs="仿宋_GB2312" w:asciiTheme="minorEastAsia" w:hAnsiTheme="minorEastAsia" w:eastAsiaTheme="minorEastAsia"/>
          <w:sz w:val="24"/>
          <w:szCs w:val="24"/>
          <w:highlight w:val="none"/>
        </w:rPr>
        <w:t>受托人：</w:t>
      </w:r>
      <w:r>
        <w:rPr>
          <w:rFonts w:hint="eastAsia" w:cs="仿宋_GB2312" w:asciiTheme="minorEastAsia" w:hAnsiTheme="minorEastAsia" w:eastAsiaTheme="minorEastAsia"/>
          <w:sz w:val="24"/>
          <w:szCs w:val="24"/>
          <w:highlight w:val="none"/>
          <w:u w:val="single"/>
          <w:lang w:val="en-US" w:eastAsia="zh-CN"/>
        </w:rPr>
        <w:t xml:space="preserve">      </w:t>
      </w:r>
    </w:p>
    <w:p w14:paraId="1C5A46A8">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heme="minorEastAsia" w:hAnsiTheme="minorEastAsia" w:eastAsiaTheme="minorEastAsia"/>
          <w:sz w:val="24"/>
          <w:szCs w:val="24"/>
          <w:highlight w:val="none"/>
        </w:rPr>
      </w:pPr>
    </w:p>
    <w:p w14:paraId="7496E617">
      <w:pPr>
        <w:keepNext w:val="0"/>
        <w:keepLines w:val="0"/>
        <w:pageBreakBefore w:val="0"/>
        <w:widowControl w:val="0"/>
        <w:kinsoku/>
        <w:wordWrap/>
        <w:overflowPunct/>
        <w:topLinePunct w:val="0"/>
        <w:autoSpaceDE w:val="0"/>
        <w:autoSpaceDN w:val="0"/>
        <w:bidi w:val="0"/>
        <w:adjustRightInd w:val="0"/>
        <w:snapToGrid/>
        <w:spacing w:line="360" w:lineRule="auto"/>
        <w:ind w:firstLine="5520" w:firstLineChars="2300"/>
        <w:textAlignment w:val="auto"/>
        <w:rPr>
          <w:rFonts w:cs="仿宋_GB2312" w:asciiTheme="minorEastAsia" w:hAnsiTheme="minorEastAsia" w:eastAsiaTheme="minorEastAsia"/>
          <w:sz w:val="24"/>
          <w:szCs w:val="24"/>
          <w:highlight w:val="none"/>
        </w:rPr>
      </w:pPr>
    </w:p>
    <w:p w14:paraId="6A1EFADE">
      <w:pPr>
        <w:keepNext w:val="0"/>
        <w:keepLines w:val="0"/>
        <w:pageBreakBefore w:val="0"/>
        <w:widowControl w:val="0"/>
        <w:kinsoku/>
        <w:wordWrap/>
        <w:overflowPunct/>
        <w:topLinePunct w:val="0"/>
        <w:autoSpaceDE w:val="0"/>
        <w:autoSpaceDN w:val="0"/>
        <w:bidi w:val="0"/>
        <w:adjustRightInd w:val="0"/>
        <w:snapToGrid/>
        <w:spacing w:line="360" w:lineRule="auto"/>
        <w:ind w:firstLine="6120" w:firstLineChars="2550"/>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年月日</w:t>
      </w:r>
    </w:p>
    <w:p w14:paraId="6714935B">
      <w:pPr>
        <w:adjustRightInd w:val="0"/>
        <w:spacing w:line="320" w:lineRule="exact"/>
        <w:ind w:firstLine="6120" w:firstLineChars="2550"/>
        <w:rPr>
          <w:rFonts w:cs="仿宋_GB2312" w:asciiTheme="minorEastAsia" w:hAnsiTheme="minorEastAsia" w:eastAsiaTheme="minorEastAsia"/>
          <w:sz w:val="24"/>
          <w:szCs w:val="24"/>
          <w:highlight w:val="none"/>
        </w:rPr>
      </w:pPr>
    </w:p>
    <w:p w14:paraId="70E0DB1F">
      <w:pPr>
        <w:adjustRightInd w:val="0"/>
        <w:spacing w:line="320" w:lineRule="exact"/>
        <w:ind w:firstLine="6120" w:firstLineChars="2550"/>
        <w:rPr>
          <w:rFonts w:cs="仿宋_GB2312" w:asciiTheme="minorEastAsia" w:hAnsiTheme="minorEastAsia" w:eastAsiaTheme="minorEastAsia"/>
          <w:sz w:val="24"/>
          <w:szCs w:val="24"/>
          <w:highlight w:val="none"/>
        </w:rPr>
      </w:pPr>
    </w:p>
    <w:p w14:paraId="353C7684">
      <w:pPr>
        <w:adjustRightInd w:val="0"/>
        <w:spacing w:line="320" w:lineRule="exact"/>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附：法定代表人和被授权人身份证复印件</w:t>
      </w:r>
    </w:p>
    <w:p w14:paraId="2265FF90">
      <w:pPr>
        <w:adjustRightInd w:val="0"/>
        <w:spacing w:line="320" w:lineRule="exact"/>
        <w:ind w:firstLine="6120" w:firstLineChars="2550"/>
        <w:rPr>
          <w:rFonts w:cs="仿宋_GB2312" w:asciiTheme="minorEastAsia" w:hAnsiTheme="minorEastAsia" w:eastAsiaTheme="minorEastAsia"/>
          <w:sz w:val="24"/>
          <w:szCs w:val="24"/>
          <w:highlight w:val="none"/>
        </w:rPr>
      </w:pPr>
    </w:p>
    <w:p w14:paraId="665BC52E">
      <w:pPr>
        <w:adjustRightInd w:val="0"/>
        <w:spacing w:line="320" w:lineRule="exact"/>
        <w:ind w:firstLine="6120" w:firstLineChars="2550"/>
        <w:rPr>
          <w:rFonts w:cs="仿宋_GB2312" w:asciiTheme="minorEastAsia" w:hAnsiTheme="minorEastAsia" w:eastAsiaTheme="minorEastAsia"/>
          <w:sz w:val="24"/>
          <w:szCs w:val="24"/>
          <w:highlight w:val="none"/>
        </w:rPr>
      </w:pPr>
    </w:p>
    <w:p w14:paraId="51E03E91">
      <w:pPr>
        <w:adjustRightInd w:val="0"/>
        <w:spacing w:line="320" w:lineRule="exact"/>
        <w:ind w:firstLine="6120" w:firstLineChars="2550"/>
        <w:rPr>
          <w:rFonts w:cs="仿宋_GB2312" w:asciiTheme="minorEastAsia" w:hAnsiTheme="minorEastAsia" w:eastAsiaTheme="minorEastAsia"/>
          <w:sz w:val="24"/>
          <w:szCs w:val="24"/>
          <w:highlight w:val="none"/>
        </w:rPr>
      </w:pPr>
    </w:p>
    <w:p w14:paraId="713C12A0">
      <w:pPr>
        <w:adjustRightInd w:val="0"/>
        <w:spacing w:line="320" w:lineRule="exact"/>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8</w:t>
      </w:r>
      <w:r>
        <w:rPr>
          <w:rFonts w:hint="eastAsia" w:cs="黑体" w:asciiTheme="minorEastAsia" w:hAnsiTheme="minorEastAsia" w:eastAsiaTheme="minorEastAsia"/>
          <w:sz w:val="28"/>
          <w:szCs w:val="28"/>
          <w:highlight w:val="none"/>
        </w:rPr>
        <w:t>：</w:t>
      </w:r>
    </w:p>
    <w:p w14:paraId="7254E01D">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资格证明文件</w:t>
      </w:r>
    </w:p>
    <w:p w14:paraId="5287D838">
      <w:pPr>
        <w:pStyle w:val="9"/>
        <w:keepNext w:val="0"/>
        <w:keepLines w:val="0"/>
        <w:pageBreakBefore w:val="0"/>
        <w:widowControl w:val="0"/>
        <w:kinsoku/>
        <w:wordWrap/>
        <w:overflowPunct/>
        <w:topLinePunct w:val="0"/>
        <w:autoSpaceDE w:val="0"/>
        <w:autoSpaceDN w:val="0"/>
        <w:bidi w:val="0"/>
        <w:snapToGrid/>
        <w:spacing w:line="360" w:lineRule="auto"/>
        <w:textAlignment w:val="auto"/>
        <w:rPr>
          <w:rFonts w:asciiTheme="minorEastAsia" w:hAnsiTheme="minorEastAsia" w:eastAsiaTheme="minorEastAsia"/>
          <w:highlight w:val="none"/>
        </w:rPr>
      </w:pPr>
    </w:p>
    <w:p w14:paraId="5D23A42F">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08F4B982">
      <w:pPr>
        <w:keepNext w:val="0"/>
        <w:keepLines w:val="0"/>
        <w:pageBreakBefore w:val="0"/>
        <w:widowControl w:val="0"/>
        <w:kinsoku/>
        <w:wordWrap/>
        <w:overflowPunct/>
        <w:topLinePunct w:val="0"/>
        <w:autoSpaceDE w:val="0"/>
        <w:autoSpaceDN w:val="0"/>
        <w:bidi w:val="0"/>
        <w:adjustRightInd w:val="0"/>
        <w:snapToGrid/>
        <w:spacing w:line="360" w:lineRule="auto"/>
        <w:ind w:firstLine="6120" w:firstLineChars="2550"/>
        <w:textAlignment w:val="auto"/>
        <w:rPr>
          <w:rFonts w:cs="仿宋_GB2312" w:asciiTheme="minorEastAsia" w:hAnsiTheme="minorEastAsia" w:eastAsiaTheme="minorEastAsia"/>
          <w:sz w:val="24"/>
          <w:szCs w:val="24"/>
          <w:highlight w:val="none"/>
        </w:rPr>
      </w:pPr>
    </w:p>
    <w:p w14:paraId="55F0E43F">
      <w:pPr>
        <w:adjustRightInd w:val="0"/>
        <w:spacing w:line="320" w:lineRule="exact"/>
        <w:ind w:firstLine="6120" w:firstLineChars="2550"/>
        <w:rPr>
          <w:rFonts w:cs="仿宋_GB2312" w:asciiTheme="minorEastAsia" w:hAnsiTheme="minorEastAsia" w:eastAsiaTheme="minorEastAsia"/>
          <w:sz w:val="24"/>
          <w:szCs w:val="24"/>
          <w:highlight w:val="none"/>
        </w:rPr>
      </w:pPr>
    </w:p>
    <w:p w14:paraId="4B7BCE49">
      <w:pPr>
        <w:pStyle w:val="2"/>
        <w:rPr>
          <w:rFonts w:cs="仿宋_GB2312" w:asciiTheme="minorEastAsia" w:hAnsiTheme="minorEastAsia" w:eastAsiaTheme="minorEastAsia"/>
          <w:sz w:val="24"/>
          <w:szCs w:val="24"/>
          <w:highlight w:val="none"/>
        </w:rPr>
      </w:pPr>
    </w:p>
    <w:p w14:paraId="2B0ABDDC">
      <w:pPr>
        <w:pStyle w:val="2"/>
        <w:rPr>
          <w:rFonts w:cs="仿宋_GB2312" w:asciiTheme="minorEastAsia" w:hAnsiTheme="minorEastAsia" w:eastAsiaTheme="minorEastAsia"/>
          <w:sz w:val="24"/>
          <w:szCs w:val="24"/>
          <w:highlight w:val="none"/>
        </w:rPr>
      </w:pPr>
    </w:p>
    <w:p w14:paraId="5B05DE58">
      <w:pPr>
        <w:pStyle w:val="2"/>
        <w:rPr>
          <w:rFonts w:cs="仿宋_GB2312" w:asciiTheme="minorEastAsia" w:hAnsiTheme="minorEastAsia" w:eastAsiaTheme="minorEastAsia"/>
          <w:sz w:val="24"/>
          <w:szCs w:val="24"/>
          <w:highlight w:val="none"/>
        </w:rPr>
      </w:pPr>
    </w:p>
    <w:p w14:paraId="4DF5FDC0">
      <w:pPr>
        <w:pStyle w:val="2"/>
        <w:rPr>
          <w:rFonts w:cs="仿宋_GB2312" w:asciiTheme="minorEastAsia" w:hAnsiTheme="minorEastAsia" w:eastAsiaTheme="minorEastAsia"/>
          <w:sz w:val="24"/>
          <w:szCs w:val="24"/>
          <w:highlight w:val="none"/>
        </w:rPr>
      </w:pPr>
    </w:p>
    <w:p w14:paraId="1DB47C3E">
      <w:pPr>
        <w:pStyle w:val="2"/>
        <w:rPr>
          <w:rFonts w:cs="仿宋_GB2312" w:asciiTheme="minorEastAsia" w:hAnsiTheme="minorEastAsia" w:eastAsiaTheme="minorEastAsia"/>
          <w:sz w:val="24"/>
          <w:szCs w:val="24"/>
          <w:highlight w:val="none"/>
        </w:rPr>
      </w:pPr>
    </w:p>
    <w:p w14:paraId="1B6D8C0D">
      <w:pPr>
        <w:pStyle w:val="2"/>
        <w:rPr>
          <w:rFonts w:cs="仿宋_GB2312" w:asciiTheme="minorEastAsia" w:hAnsiTheme="minorEastAsia" w:eastAsiaTheme="minorEastAsia"/>
          <w:sz w:val="24"/>
          <w:szCs w:val="24"/>
          <w:highlight w:val="none"/>
        </w:rPr>
      </w:pPr>
    </w:p>
    <w:p w14:paraId="4E5A8F32">
      <w:pPr>
        <w:pStyle w:val="2"/>
        <w:rPr>
          <w:rFonts w:cs="仿宋_GB2312" w:asciiTheme="minorEastAsia" w:hAnsiTheme="minorEastAsia" w:eastAsiaTheme="minorEastAsia"/>
          <w:sz w:val="24"/>
          <w:szCs w:val="24"/>
          <w:highlight w:val="none"/>
        </w:rPr>
      </w:pPr>
    </w:p>
    <w:p w14:paraId="71DF37AB">
      <w:pPr>
        <w:pStyle w:val="2"/>
        <w:rPr>
          <w:rFonts w:cs="仿宋_GB2312" w:asciiTheme="minorEastAsia" w:hAnsiTheme="minorEastAsia" w:eastAsiaTheme="minorEastAsia"/>
          <w:sz w:val="24"/>
          <w:szCs w:val="24"/>
          <w:highlight w:val="none"/>
        </w:rPr>
      </w:pPr>
    </w:p>
    <w:p w14:paraId="7F6B9722">
      <w:pPr>
        <w:pStyle w:val="2"/>
        <w:rPr>
          <w:rFonts w:cs="仿宋_GB2312" w:asciiTheme="minorEastAsia" w:hAnsiTheme="minorEastAsia" w:eastAsiaTheme="minorEastAsia"/>
          <w:sz w:val="24"/>
          <w:szCs w:val="24"/>
          <w:highlight w:val="none"/>
        </w:rPr>
      </w:pPr>
    </w:p>
    <w:p w14:paraId="220E72E7">
      <w:pPr>
        <w:pStyle w:val="2"/>
        <w:rPr>
          <w:rFonts w:cs="仿宋_GB2312" w:asciiTheme="minorEastAsia" w:hAnsiTheme="minorEastAsia" w:eastAsiaTheme="minorEastAsia"/>
          <w:sz w:val="24"/>
          <w:szCs w:val="24"/>
          <w:highlight w:val="none"/>
        </w:rPr>
      </w:pPr>
    </w:p>
    <w:p w14:paraId="05BDFB6E">
      <w:pPr>
        <w:pStyle w:val="2"/>
        <w:rPr>
          <w:rFonts w:cs="仿宋_GB2312" w:asciiTheme="minorEastAsia" w:hAnsiTheme="minorEastAsia" w:eastAsiaTheme="minorEastAsia"/>
          <w:sz w:val="24"/>
          <w:szCs w:val="24"/>
          <w:highlight w:val="none"/>
        </w:rPr>
      </w:pPr>
    </w:p>
    <w:p w14:paraId="75EED048">
      <w:pPr>
        <w:pStyle w:val="2"/>
        <w:rPr>
          <w:rFonts w:cs="仿宋_GB2312" w:asciiTheme="minorEastAsia" w:hAnsiTheme="minorEastAsia" w:eastAsiaTheme="minorEastAsia"/>
          <w:sz w:val="24"/>
          <w:szCs w:val="24"/>
          <w:highlight w:val="none"/>
        </w:rPr>
      </w:pPr>
    </w:p>
    <w:p w14:paraId="299732F4">
      <w:pPr>
        <w:pStyle w:val="2"/>
        <w:rPr>
          <w:rFonts w:cs="仿宋_GB2312" w:asciiTheme="minorEastAsia" w:hAnsiTheme="minorEastAsia" w:eastAsiaTheme="minorEastAsia"/>
          <w:sz w:val="24"/>
          <w:szCs w:val="24"/>
          <w:highlight w:val="none"/>
        </w:rPr>
      </w:pPr>
    </w:p>
    <w:p w14:paraId="204F7407">
      <w:pPr>
        <w:pStyle w:val="2"/>
        <w:rPr>
          <w:rFonts w:cs="仿宋_GB2312" w:asciiTheme="minorEastAsia" w:hAnsiTheme="minorEastAsia" w:eastAsiaTheme="minorEastAsia"/>
          <w:sz w:val="24"/>
          <w:szCs w:val="24"/>
          <w:highlight w:val="none"/>
        </w:rPr>
      </w:pPr>
    </w:p>
    <w:p w14:paraId="6D682689">
      <w:pPr>
        <w:pStyle w:val="2"/>
        <w:rPr>
          <w:rFonts w:cs="仿宋_GB2312" w:asciiTheme="minorEastAsia" w:hAnsiTheme="minorEastAsia" w:eastAsiaTheme="minorEastAsia"/>
          <w:sz w:val="24"/>
          <w:szCs w:val="24"/>
          <w:highlight w:val="none"/>
        </w:rPr>
      </w:pPr>
    </w:p>
    <w:p w14:paraId="0861580A">
      <w:pPr>
        <w:pStyle w:val="2"/>
        <w:rPr>
          <w:rFonts w:cs="仿宋_GB2312" w:asciiTheme="minorEastAsia" w:hAnsiTheme="minorEastAsia" w:eastAsiaTheme="minorEastAsia"/>
          <w:sz w:val="24"/>
          <w:szCs w:val="24"/>
          <w:highlight w:val="none"/>
        </w:rPr>
      </w:pPr>
    </w:p>
    <w:p w14:paraId="0520D8E3">
      <w:pPr>
        <w:pStyle w:val="2"/>
        <w:rPr>
          <w:rFonts w:cs="仿宋_GB2312" w:asciiTheme="minorEastAsia" w:hAnsiTheme="minorEastAsia" w:eastAsiaTheme="minorEastAsia"/>
          <w:sz w:val="24"/>
          <w:szCs w:val="24"/>
          <w:highlight w:val="none"/>
        </w:rPr>
      </w:pPr>
    </w:p>
    <w:p w14:paraId="36AA3FE3">
      <w:pPr>
        <w:pStyle w:val="2"/>
        <w:rPr>
          <w:rFonts w:cs="仿宋_GB2312" w:asciiTheme="minorEastAsia" w:hAnsiTheme="minorEastAsia" w:eastAsiaTheme="minorEastAsia"/>
          <w:sz w:val="24"/>
          <w:szCs w:val="24"/>
          <w:highlight w:val="none"/>
        </w:rPr>
      </w:pPr>
    </w:p>
    <w:p w14:paraId="2D89DA12">
      <w:pPr>
        <w:pStyle w:val="2"/>
        <w:rPr>
          <w:rFonts w:cs="仿宋_GB2312" w:asciiTheme="minorEastAsia" w:hAnsiTheme="minorEastAsia" w:eastAsiaTheme="minorEastAsia"/>
          <w:sz w:val="24"/>
          <w:szCs w:val="24"/>
          <w:highlight w:val="none"/>
        </w:rPr>
      </w:pPr>
    </w:p>
    <w:p w14:paraId="7D64FA7A">
      <w:pPr>
        <w:pStyle w:val="2"/>
        <w:rPr>
          <w:rFonts w:cs="仿宋_GB2312" w:asciiTheme="minorEastAsia" w:hAnsiTheme="minorEastAsia" w:eastAsiaTheme="minorEastAsia"/>
          <w:sz w:val="24"/>
          <w:szCs w:val="24"/>
          <w:highlight w:val="none"/>
        </w:rPr>
      </w:pPr>
    </w:p>
    <w:p w14:paraId="034B33BA">
      <w:pPr>
        <w:pStyle w:val="2"/>
        <w:rPr>
          <w:rFonts w:cs="仿宋_GB2312" w:asciiTheme="minorEastAsia" w:hAnsiTheme="minorEastAsia" w:eastAsiaTheme="minorEastAsia"/>
          <w:sz w:val="24"/>
          <w:szCs w:val="24"/>
          <w:highlight w:val="none"/>
        </w:rPr>
      </w:pPr>
    </w:p>
    <w:p w14:paraId="1A7A10C1">
      <w:pPr>
        <w:pStyle w:val="2"/>
        <w:rPr>
          <w:rFonts w:cs="仿宋_GB2312" w:asciiTheme="minorEastAsia" w:hAnsiTheme="minorEastAsia" w:eastAsiaTheme="minorEastAsia"/>
          <w:sz w:val="24"/>
          <w:szCs w:val="24"/>
          <w:highlight w:val="none"/>
        </w:rPr>
      </w:pPr>
    </w:p>
    <w:p w14:paraId="665F7D30">
      <w:pPr>
        <w:pStyle w:val="2"/>
        <w:rPr>
          <w:rFonts w:cs="仿宋_GB2312" w:asciiTheme="minorEastAsia" w:hAnsiTheme="minorEastAsia" w:eastAsiaTheme="minorEastAsia"/>
          <w:sz w:val="24"/>
          <w:szCs w:val="24"/>
          <w:highlight w:val="none"/>
        </w:rPr>
      </w:pPr>
    </w:p>
    <w:p w14:paraId="49BF9AB1">
      <w:pPr>
        <w:pStyle w:val="2"/>
        <w:rPr>
          <w:rFonts w:cs="仿宋_GB2312" w:asciiTheme="minorEastAsia" w:hAnsiTheme="minorEastAsia" w:eastAsiaTheme="minorEastAsia"/>
          <w:sz w:val="24"/>
          <w:szCs w:val="24"/>
          <w:highlight w:val="none"/>
        </w:rPr>
      </w:pPr>
    </w:p>
    <w:p w14:paraId="67D3B906">
      <w:pPr>
        <w:pStyle w:val="2"/>
        <w:rPr>
          <w:rFonts w:cs="仿宋_GB2312" w:asciiTheme="minorEastAsia" w:hAnsiTheme="minorEastAsia" w:eastAsiaTheme="minorEastAsia"/>
          <w:sz w:val="24"/>
          <w:szCs w:val="24"/>
          <w:highlight w:val="none"/>
        </w:rPr>
      </w:pPr>
    </w:p>
    <w:p w14:paraId="2343D7A9">
      <w:pPr>
        <w:pStyle w:val="2"/>
        <w:rPr>
          <w:rFonts w:cs="仿宋_GB2312" w:asciiTheme="minorEastAsia" w:hAnsiTheme="minorEastAsia" w:eastAsiaTheme="minorEastAsia"/>
          <w:sz w:val="24"/>
          <w:szCs w:val="24"/>
          <w:highlight w:val="none"/>
        </w:rPr>
      </w:pPr>
    </w:p>
    <w:p w14:paraId="13CDC884">
      <w:pPr>
        <w:jc w:val="center"/>
        <w:rPr>
          <w:rFonts w:hint="eastAsia" w:cs="黑体"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w:t>
      </w:r>
      <w:r>
        <w:rPr>
          <w:rFonts w:hint="eastAsia" w:cs="黑体" w:asciiTheme="minorEastAsia" w:hAnsiTheme="minorEastAsia" w:eastAsiaTheme="minorEastAsia"/>
          <w:b/>
          <w:bCs/>
          <w:sz w:val="28"/>
          <w:szCs w:val="28"/>
          <w:highlight w:val="none"/>
          <w:lang w:val="en-US" w:eastAsia="zh-CN"/>
        </w:rPr>
        <w:t>9</w:t>
      </w:r>
      <w:r>
        <w:rPr>
          <w:rFonts w:hint="eastAsia" w:cs="黑体" w:asciiTheme="minorEastAsia" w:hAnsiTheme="minorEastAsia" w:eastAsiaTheme="minorEastAsia"/>
          <w:b/>
          <w:bCs/>
          <w:sz w:val="28"/>
          <w:szCs w:val="28"/>
          <w:highlight w:val="none"/>
        </w:rPr>
        <w:t>：中小企业声明函（货物）</w:t>
      </w:r>
    </w:p>
    <w:p w14:paraId="2FBA5681">
      <w:pPr>
        <w:pStyle w:val="2"/>
        <w:rPr>
          <w:rFonts w:hint="eastAsia"/>
          <w:highlight w:val="none"/>
        </w:rPr>
      </w:pPr>
    </w:p>
    <w:p w14:paraId="6085C63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1A05670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4EF71C3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0B326F75">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07DCED3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1DC5D39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6ECA7A51">
      <w:pPr>
        <w:keepNext w:val="0"/>
        <w:keepLines w:val="0"/>
        <w:pageBreakBefore w:val="0"/>
        <w:widowControl w:val="0"/>
        <w:kinsoku/>
        <w:wordWrap/>
        <w:overflowPunct/>
        <w:topLinePunct w:val="0"/>
        <w:bidi w:val="0"/>
        <w:snapToGrid/>
        <w:spacing w:line="360" w:lineRule="auto"/>
        <w:ind w:firstLine="3840" w:firstLineChars="16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2CFFBB72">
      <w:pPr>
        <w:keepNext w:val="0"/>
        <w:keepLines w:val="0"/>
        <w:pageBreakBefore w:val="0"/>
        <w:widowControl w:val="0"/>
        <w:kinsoku/>
        <w:wordWrap/>
        <w:overflowPunct/>
        <w:topLinePunct w:val="0"/>
        <w:bidi w:val="0"/>
        <w:snapToGrid/>
        <w:spacing w:before="0" w:after="0" w:line="360" w:lineRule="auto"/>
        <w:ind w:left="0" w:right="0" w:firstLine="5040" w:firstLineChars="21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1026FE58">
      <w:pPr>
        <w:keepNext w:val="0"/>
        <w:keepLines w:val="0"/>
        <w:pageBreakBefore w:val="0"/>
        <w:widowControl w:val="0"/>
        <w:kinsoku/>
        <w:wordWrap/>
        <w:overflowPunct/>
        <w:topLinePunct w:val="0"/>
        <w:bidi w:val="0"/>
        <w:snapToGrid/>
        <w:spacing w:before="0" w:after="0" w:line="360" w:lineRule="auto"/>
        <w:ind w:left="0" w:right="0" w:firstLine="0"/>
        <w:jc w:val="both"/>
        <w:textAlignment w:val="auto"/>
        <w:rPr>
          <w:rFonts w:ascii="宋体" w:hAnsi="宋体" w:eastAsia="宋体" w:cs="宋体"/>
          <w:color w:val="auto"/>
          <w:spacing w:val="0"/>
          <w:position w:val="0"/>
          <w:sz w:val="24"/>
          <w:szCs w:val="24"/>
          <w:highlight w:val="none"/>
          <w:shd w:val="clear" w:fill="auto"/>
        </w:rPr>
      </w:pPr>
    </w:p>
    <w:p w14:paraId="197AC598">
      <w:pPr>
        <w:keepNext w:val="0"/>
        <w:keepLines w:val="0"/>
        <w:pageBreakBefore w:val="0"/>
        <w:widowControl w:val="0"/>
        <w:kinsoku/>
        <w:wordWrap/>
        <w:overflowPunct/>
        <w:topLinePunct w:val="0"/>
        <w:bidi w:val="0"/>
        <w:snapToGrid/>
        <w:spacing w:line="360" w:lineRule="auto"/>
        <w:textAlignment w:val="auto"/>
        <w:rPr>
          <w:rFonts w:hint="eastAsia"/>
          <w:sz w:val="24"/>
          <w:szCs w:val="24"/>
          <w:highlight w:val="none"/>
        </w:rPr>
      </w:pPr>
    </w:p>
    <w:p w14:paraId="524125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注：1.从业人员、营业收入、资产总额填报上一年度数据，无上一年度数据的新成立企业可不填报。</w:t>
      </w:r>
    </w:p>
    <w:p w14:paraId="6D79AF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2.本项目如是只面向中小企业采购的应当必须提供。</w:t>
      </w:r>
    </w:p>
    <w:p w14:paraId="701E9E7D">
      <w:pPr>
        <w:keepNext w:val="0"/>
        <w:keepLines w:val="0"/>
        <w:pageBreakBefore w:val="0"/>
        <w:widowControl w:val="0"/>
        <w:kinsoku/>
        <w:wordWrap/>
        <w:overflowPunct/>
        <w:topLinePunct w:val="0"/>
        <w:bidi w:val="0"/>
        <w:adjustRightInd w:val="0"/>
        <w:snapToGrid/>
        <w:spacing w:line="360" w:lineRule="auto"/>
        <w:ind w:firstLine="6120" w:firstLineChars="2550"/>
        <w:textAlignment w:val="auto"/>
        <w:rPr>
          <w:rFonts w:cs="仿宋_GB2312" w:asciiTheme="minorEastAsia" w:hAnsiTheme="minorEastAsia" w:eastAsiaTheme="minorEastAsia"/>
          <w:sz w:val="24"/>
          <w:szCs w:val="24"/>
          <w:highlight w:val="none"/>
        </w:rPr>
      </w:pPr>
    </w:p>
    <w:p w14:paraId="200E335F">
      <w:pPr>
        <w:pStyle w:val="2"/>
        <w:keepNext w:val="0"/>
        <w:keepLines w:val="0"/>
        <w:pageBreakBefore w:val="0"/>
        <w:widowControl w:val="0"/>
        <w:kinsoku/>
        <w:wordWrap/>
        <w:overflowPunct/>
        <w:topLinePunct w:val="0"/>
        <w:bidi w:val="0"/>
        <w:snapToGrid/>
        <w:spacing w:line="360" w:lineRule="auto"/>
        <w:textAlignment w:val="auto"/>
        <w:rPr>
          <w:highlight w:val="none"/>
        </w:rPr>
      </w:pPr>
    </w:p>
    <w:p w14:paraId="5A2945C5">
      <w:pPr>
        <w:pStyle w:val="2"/>
        <w:keepNext w:val="0"/>
        <w:keepLines w:val="0"/>
        <w:pageBreakBefore w:val="0"/>
        <w:widowControl w:val="0"/>
        <w:kinsoku/>
        <w:wordWrap/>
        <w:overflowPunct/>
        <w:topLinePunct w:val="0"/>
        <w:bidi w:val="0"/>
        <w:snapToGrid/>
        <w:spacing w:line="360" w:lineRule="auto"/>
        <w:textAlignment w:val="auto"/>
        <w:rPr>
          <w:highlight w:val="none"/>
        </w:rPr>
      </w:pPr>
    </w:p>
    <w:p w14:paraId="38BAE2C4">
      <w:pPr>
        <w:pStyle w:val="2"/>
        <w:rPr>
          <w:highlight w:val="none"/>
        </w:rPr>
      </w:pPr>
    </w:p>
    <w:p w14:paraId="22585D14">
      <w:pPr>
        <w:pStyle w:val="2"/>
        <w:rPr>
          <w:highlight w:val="none"/>
        </w:rPr>
      </w:pPr>
    </w:p>
    <w:p w14:paraId="75A89748">
      <w:pPr>
        <w:pStyle w:val="2"/>
        <w:rPr>
          <w:highlight w:val="none"/>
        </w:rPr>
      </w:pPr>
    </w:p>
    <w:p w14:paraId="2F3FA7B1">
      <w:pPr>
        <w:pStyle w:val="2"/>
        <w:rPr>
          <w:highlight w:val="none"/>
        </w:rPr>
      </w:pPr>
    </w:p>
    <w:p w14:paraId="260040C5">
      <w:pPr>
        <w:pStyle w:val="2"/>
        <w:rPr>
          <w:highlight w:val="none"/>
        </w:rPr>
      </w:pPr>
    </w:p>
    <w:p w14:paraId="7B4CC456">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10</w:t>
      </w:r>
      <w:r>
        <w:rPr>
          <w:rFonts w:hint="eastAsia" w:cs="黑体" w:asciiTheme="minorEastAsia" w:hAnsiTheme="minorEastAsia" w:eastAsiaTheme="minorEastAsia"/>
          <w:sz w:val="28"/>
          <w:szCs w:val="28"/>
          <w:highlight w:val="none"/>
        </w:rPr>
        <w:t>：</w:t>
      </w:r>
    </w:p>
    <w:p w14:paraId="4A9D50A1">
      <w:pPr>
        <w:keepNext w:val="0"/>
        <w:keepLines w:val="0"/>
        <w:pageBreakBefore w:val="0"/>
        <w:widowControl w:val="0"/>
        <w:kinsoku/>
        <w:wordWrap/>
        <w:overflowPunct/>
        <w:topLinePunct w:val="0"/>
        <w:autoSpaceDE w:val="0"/>
        <w:autoSpaceDN w:val="0"/>
        <w:bidi w:val="0"/>
        <w:adjustRightInd w:val="0"/>
        <w:snapToGrid/>
        <w:spacing w:line="360" w:lineRule="auto"/>
        <w:ind w:firstLine="2530" w:firstLineChars="900"/>
        <w:jc w:val="both"/>
        <w:textAlignment w:val="auto"/>
        <w:rPr>
          <w:rFonts w:cs="黑体" w:asciiTheme="minorEastAsia" w:hAnsiTheme="minorEastAsia" w:eastAsiaTheme="minorEastAsia"/>
          <w:sz w:val="24"/>
          <w:szCs w:val="24"/>
          <w:highlight w:val="none"/>
          <w:lang w:val="en-US"/>
        </w:rPr>
      </w:pPr>
      <w:r>
        <w:rPr>
          <w:rFonts w:hint="eastAsia" w:cs="黑体" w:asciiTheme="minorEastAsia" w:hAnsiTheme="minorEastAsia" w:eastAsiaTheme="minorEastAsia"/>
          <w:b/>
          <w:bCs/>
          <w:sz w:val="28"/>
          <w:szCs w:val="28"/>
          <w:highlight w:val="none"/>
          <w:lang w:val="en-US"/>
        </w:rPr>
        <w:t>其他资料（如需）</w:t>
      </w:r>
    </w:p>
    <w:p w14:paraId="7316B8BF">
      <w:pPr>
        <w:keepNext w:val="0"/>
        <w:keepLines w:val="0"/>
        <w:pageBreakBefore w:val="0"/>
        <w:widowControl w:val="0"/>
        <w:kinsoku/>
        <w:wordWrap/>
        <w:overflowPunct/>
        <w:topLinePunct w:val="0"/>
        <w:autoSpaceDE w:val="0"/>
        <w:autoSpaceDN w:val="0"/>
        <w:bidi w:val="0"/>
        <w:adjustRightInd w:val="0"/>
        <w:snapToGrid/>
        <w:spacing w:line="360" w:lineRule="auto"/>
        <w:ind w:firstLine="6120" w:firstLineChars="2550"/>
        <w:textAlignment w:val="auto"/>
        <w:rPr>
          <w:rFonts w:cs="仿宋_GB2312" w:asciiTheme="minorEastAsia" w:hAnsiTheme="minorEastAsia" w:eastAsiaTheme="minorEastAsia"/>
          <w:sz w:val="24"/>
          <w:szCs w:val="24"/>
          <w:highlight w:val="none"/>
        </w:rPr>
      </w:pPr>
    </w:p>
    <w:p w14:paraId="6B4BCAEE">
      <w:pPr>
        <w:keepNext w:val="0"/>
        <w:keepLines w:val="0"/>
        <w:pageBreakBefore w:val="0"/>
        <w:widowControl w:val="0"/>
        <w:kinsoku/>
        <w:wordWrap/>
        <w:overflowPunct/>
        <w:topLinePunct w:val="0"/>
        <w:autoSpaceDE w:val="0"/>
        <w:autoSpaceDN w:val="0"/>
        <w:bidi w:val="0"/>
        <w:adjustRightInd w:val="0"/>
        <w:snapToGrid/>
        <w:spacing w:line="360" w:lineRule="auto"/>
        <w:ind w:firstLine="6120" w:firstLineChars="2550"/>
        <w:textAlignment w:val="auto"/>
        <w:rPr>
          <w:rFonts w:cs="仿宋_GB2312" w:asciiTheme="minorEastAsia" w:hAnsiTheme="minorEastAsia" w:eastAsiaTheme="minorEastAsia"/>
          <w:sz w:val="24"/>
          <w:szCs w:val="24"/>
          <w:highlight w:val="none"/>
        </w:rPr>
      </w:pPr>
    </w:p>
    <w:p w14:paraId="6F92A7F6">
      <w:pPr>
        <w:keepNext w:val="0"/>
        <w:keepLines w:val="0"/>
        <w:pageBreakBefore w:val="0"/>
        <w:widowControl w:val="0"/>
        <w:kinsoku/>
        <w:wordWrap/>
        <w:overflowPunct/>
        <w:topLinePunct w:val="0"/>
        <w:autoSpaceDE w:val="0"/>
        <w:autoSpaceDN w:val="0"/>
        <w:bidi w:val="0"/>
        <w:adjustRightInd w:val="0"/>
        <w:snapToGrid/>
        <w:spacing w:line="360" w:lineRule="auto"/>
        <w:ind w:firstLine="6120" w:firstLineChars="2550"/>
        <w:textAlignment w:val="auto"/>
        <w:rPr>
          <w:rFonts w:cs="仿宋_GB2312" w:asciiTheme="minorEastAsia" w:hAnsiTheme="minorEastAsia" w:eastAsiaTheme="minorEastAsia"/>
          <w:sz w:val="24"/>
          <w:szCs w:val="24"/>
          <w:highlight w:val="none"/>
        </w:rPr>
      </w:pPr>
    </w:p>
    <w:p w14:paraId="2F4BCFA0">
      <w:pPr>
        <w:keepNext w:val="0"/>
        <w:keepLines w:val="0"/>
        <w:pageBreakBefore w:val="0"/>
        <w:widowControl w:val="0"/>
        <w:kinsoku/>
        <w:wordWrap/>
        <w:overflowPunct/>
        <w:topLinePunct w:val="0"/>
        <w:autoSpaceDE w:val="0"/>
        <w:autoSpaceDN w:val="0"/>
        <w:bidi w:val="0"/>
        <w:adjustRightInd w:val="0"/>
        <w:snapToGrid/>
        <w:spacing w:line="360" w:lineRule="auto"/>
        <w:ind w:firstLine="6120" w:firstLineChars="2550"/>
        <w:textAlignment w:val="auto"/>
        <w:rPr>
          <w:rFonts w:cs="仿宋_GB2312" w:asciiTheme="minorEastAsia" w:hAnsiTheme="minorEastAsia" w:eastAsiaTheme="minorEastAsia"/>
          <w:sz w:val="24"/>
          <w:szCs w:val="24"/>
          <w:highlight w:val="none"/>
        </w:rPr>
      </w:pPr>
    </w:p>
    <w:p w14:paraId="3F6948C2">
      <w:pPr>
        <w:adjustRightInd w:val="0"/>
        <w:spacing w:line="320" w:lineRule="exact"/>
        <w:ind w:firstLine="6120" w:firstLineChars="2550"/>
        <w:rPr>
          <w:rFonts w:cs="仿宋_GB2312" w:asciiTheme="minorEastAsia" w:hAnsiTheme="minorEastAsia" w:eastAsiaTheme="minorEastAsia"/>
          <w:sz w:val="24"/>
          <w:szCs w:val="24"/>
          <w:highlight w:val="none"/>
        </w:rPr>
      </w:pPr>
    </w:p>
    <w:p w14:paraId="7D9E8F4A">
      <w:pPr>
        <w:adjustRightInd w:val="0"/>
        <w:spacing w:line="320" w:lineRule="exact"/>
        <w:ind w:firstLine="6120" w:firstLineChars="2550"/>
        <w:rPr>
          <w:rFonts w:cs="仿宋_GB2312" w:asciiTheme="minorEastAsia" w:hAnsiTheme="minorEastAsia" w:eastAsiaTheme="minorEastAsia"/>
          <w:sz w:val="24"/>
          <w:szCs w:val="24"/>
          <w:highlight w:val="none"/>
        </w:rPr>
      </w:pPr>
    </w:p>
    <w:p w14:paraId="2FEAA6EA">
      <w:pPr>
        <w:adjustRightInd w:val="0"/>
        <w:spacing w:line="320" w:lineRule="exact"/>
        <w:ind w:firstLine="6120" w:firstLineChars="2550"/>
        <w:rPr>
          <w:rFonts w:cs="仿宋_GB2312" w:asciiTheme="minorEastAsia" w:hAnsiTheme="minorEastAsia" w:eastAsiaTheme="minorEastAsia"/>
          <w:sz w:val="24"/>
          <w:szCs w:val="24"/>
          <w:highlight w:val="none"/>
        </w:rPr>
      </w:pPr>
    </w:p>
    <w:p w14:paraId="60A0569C">
      <w:pPr>
        <w:adjustRightInd w:val="0"/>
        <w:spacing w:line="320" w:lineRule="exact"/>
        <w:ind w:firstLine="6120" w:firstLineChars="2550"/>
        <w:rPr>
          <w:rFonts w:cs="仿宋_GB2312" w:asciiTheme="minorEastAsia" w:hAnsiTheme="minorEastAsia" w:eastAsiaTheme="minorEastAsia"/>
          <w:sz w:val="24"/>
          <w:szCs w:val="24"/>
          <w:highlight w:val="none"/>
        </w:rPr>
      </w:pPr>
    </w:p>
    <w:p w14:paraId="690DFFF4">
      <w:pPr>
        <w:adjustRightInd w:val="0"/>
        <w:spacing w:line="320" w:lineRule="exact"/>
        <w:ind w:firstLine="6120" w:firstLineChars="2550"/>
        <w:rPr>
          <w:rFonts w:cs="仿宋_GB2312" w:asciiTheme="minorEastAsia" w:hAnsiTheme="minorEastAsia" w:eastAsiaTheme="minorEastAsia"/>
          <w:sz w:val="24"/>
          <w:szCs w:val="24"/>
          <w:highlight w:val="none"/>
        </w:rPr>
      </w:pPr>
    </w:p>
    <w:p w14:paraId="39968E10">
      <w:pPr>
        <w:adjustRightInd w:val="0"/>
        <w:spacing w:line="320" w:lineRule="exact"/>
        <w:ind w:firstLine="6120" w:firstLineChars="2550"/>
        <w:rPr>
          <w:rFonts w:cs="仿宋_GB2312" w:asciiTheme="minorEastAsia" w:hAnsiTheme="minorEastAsia" w:eastAsiaTheme="minorEastAsia"/>
          <w:sz w:val="24"/>
          <w:szCs w:val="24"/>
          <w:highlight w:val="none"/>
        </w:rPr>
      </w:pPr>
    </w:p>
    <w:p w14:paraId="108367FC">
      <w:pPr>
        <w:adjustRightInd w:val="0"/>
        <w:spacing w:line="320" w:lineRule="exact"/>
        <w:ind w:firstLine="6120" w:firstLineChars="2550"/>
        <w:rPr>
          <w:rFonts w:cs="仿宋_GB2312" w:asciiTheme="minorEastAsia" w:hAnsiTheme="minorEastAsia" w:eastAsiaTheme="minorEastAsia"/>
          <w:sz w:val="24"/>
          <w:szCs w:val="24"/>
          <w:highlight w:val="none"/>
        </w:rPr>
      </w:pPr>
    </w:p>
    <w:p w14:paraId="5813FE35">
      <w:pPr>
        <w:adjustRightInd w:val="0"/>
        <w:spacing w:line="320" w:lineRule="exact"/>
        <w:ind w:firstLine="6120" w:firstLineChars="2550"/>
        <w:rPr>
          <w:rFonts w:cs="仿宋_GB2312" w:asciiTheme="minorEastAsia" w:hAnsiTheme="minorEastAsia" w:eastAsiaTheme="minorEastAsia"/>
          <w:sz w:val="24"/>
          <w:szCs w:val="24"/>
          <w:highlight w:val="none"/>
        </w:rPr>
      </w:pPr>
    </w:p>
    <w:p w14:paraId="4B49C79D">
      <w:pPr>
        <w:adjustRightInd w:val="0"/>
        <w:spacing w:line="320" w:lineRule="exact"/>
        <w:ind w:firstLine="6120" w:firstLineChars="2550"/>
        <w:rPr>
          <w:rFonts w:cs="仿宋_GB2312" w:asciiTheme="minorEastAsia" w:hAnsiTheme="minorEastAsia" w:eastAsiaTheme="minorEastAsia"/>
          <w:sz w:val="24"/>
          <w:szCs w:val="24"/>
          <w:highlight w:val="none"/>
        </w:rPr>
      </w:pPr>
    </w:p>
    <w:p w14:paraId="44382980">
      <w:pPr>
        <w:adjustRightInd w:val="0"/>
        <w:spacing w:line="320" w:lineRule="exact"/>
        <w:ind w:firstLine="6120" w:firstLineChars="2550"/>
        <w:rPr>
          <w:rFonts w:cs="仿宋_GB2312" w:asciiTheme="minorEastAsia" w:hAnsiTheme="minorEastAsia" w:eastAsiaTheme="minorEastAsia"/>
          <w:sz w:val="24"/>
          <w:szCs w:val="24"/>
          <w:highlight w:val="none"/>
        </w:rPr>
      </w:pPr>
    </w:p>
    <w:p w14:paraId="55186364">
      <w:pPr>
        <w:adjustRightInd w:val="0"/>
        <w:spacing w:line="320" w:lineRule="exact"/>
        <w:ind w:firstLine="6120" w:firstLineChars="2550"/>
        <w:rPr>
          <w:rFonts w:cs="仿宋_GB2312" w:asciiTheme="minorEastAsia" w:hAnsiTheme="minorEastAsia" w:eastAsiaTheme="minorEastAsia"/>
          <w:sz w:val="24"/>
          <w:szCs w:val="24"/>
          <w:highlight w:val="none"/>
        </w:rPr>
      </w:pPr>
    </w:p>
    <w:p w14:paraId="4937CE5D">
      <w:pPr>
        <w:adjustRightInd w:val="0"/>
        <w:spacing w:line="320" w:lineRule="exact"/>
        <w:ind w:firstLine="6120" w:firstLineChars="2550"/>
        <w:rPr>
          <w:rFonts w:cs="仿宋_GB2312" w:asciiTheme="minorEastAsia" w:hAnsiTheme="minorEastAsia" w:eastAsiaTheme="minorEastAsia"/>
          <w:sz w:val="24"/>
          <w:szCs w:val="24"/>
          <w:highlight w:val="none"/>
        </w:rPr>
      </w:pPr>
    </w:p>
    <w:p w14:paraId="39591BA9">
      <w:pPr>
        <w:adjustRightInd w:val="0"/>
        <w:spacing w:line="320" w:lineRule="exact"/>
        <w:ind w:firstLine="6120" w:firstLineChars="2550"/>
        <w:rPr>
          <w:rFonts w:cs="仿宋_GB2312" w:asciiTheme="minorEastAsia" w:hAnsiTheme="minorEastAsia" w:eastAsiaTheme="minorEastAsia"/>
          <w:sz w:val="24"/>
          <w:szCs w:val="24"/>
          <w:highlight w:val="none"/>
        </w:rPr>
      </w:pPr>
    </w:p>
    <w:p w14:paraId="2112F90D">
      <w:pPr>
        <w:adjustRightInd w:val="0"/>
        <w:spacing w:line="320" w:lineRule="exact"/>
        <w:ind w:firstLine="6120" w:firstLineChars="2550"/>
        <w:rPr>
          <w:rFonts w:cs="仿宋_GB2312" w:asciiTheme="minorEastAsia" w:hAnsiTheme="minorEastAsia" w:eastAsiaTheme="minorEastAsia"/>
          <w:sz w:val="24"/>
          <w:szCs w:val="24"/>
          <w:highlight w:val="none"/>
        </w:rPr>
      </w:pPr>
    </w:p>
    <w:p w14:paraId="2BC5B4D4">
      <w:pPr>
        <w:adjustRightInd w:val="0"/>
        <w:spacing w:line="320" w:lineRule="exact"/>
        <w:ind w:firstLine="6120" w:firstLineChars="2550"/>
        <w:rPr>
          <w:rFonts w:cs="仿宋_GB2312" w:asciiTheme="minorEastAsia" w:hAnsiTheme="minorEastAsia" w:eastAsiaTheme="minorEastAsia"/>
          <w:sz w:val="24"/>
          <w:szCs w:val="24"/>
          <w:highlight w:val="none"/>
        </w:rPr>
      </w:pPr>
    </w:p>
    <w:p w14:paraId="1875289B">
      <w:pPr>
        <w:adjustRightInd w:val="0"/>
        <w:spacing w:line="320" w:lineRule="exact"/>
        <w:ind w:firstLine="6120" w:firstLineChars="2550"/>
        <w:rPr>
          <w:rFonts w:cs="仿宋_GB2312" w:asciiTheme="minorEastAsia" w:hAnsiTheme="minorEastAsia" w:eastAsiaTheme="minorEastAsia"/>
          <w:sz w:val="24"/>
          <w:szCs w:val="24"/>
          <w:highlight w:val="none"/>
        </w:rPr>
      </w:pPr>
    </w:p>
    <w:p w14:paraId="6D817BEA">
      <w:pPr>
        <w:adjustRightInd w:val="0"/>
        <w:spacing w:line="320" w:lineRule="exact"/>
        <w:ind w:firstLine="6120" w:firstLineChars="2550"/>
        <w:rPr>
          <w:rFonts w:cs="仿宋_GB2312" w:asciiTheme="minorEastAsia" w:hAnsiTheme="minorEastAsia" w:eastAsiaTheme="minorEastAsia"/>
          <w:sz w:val="24"/>
          <w:szCs w:val="24"/>
          <w:highlight w:val="none"/>
        </w:rPr>
      </w:pPr>
    </w:p>
    <w:p w14:paraId="7D688D94">
      <w:pPr>
        <w:adjustRightInd w:val="0"/>
        <w:spacing w:line="320" w:lineRule="exact"/>
        <w:ind w:firstLine="6120" w:firstLineChars="2550"/>
        <w:rPr>
          <w:rFonts w:cs="仿宋_GB2312" w:asciiTheme="minorEastAsia" w:hAnsiTheme="minorEastAsia" w:eastAsiaTheme="minorEastAsia"/>
          <w:sz w:val="24"/>
          <w:szCs w:val="24"/>
          <w:highlight w:val="none"/>
        </w:rPr>
      </w:pPr>
    </w:p>
    <w:p w14:paraId="08530A39">
      <w:pPr>
        <w:adjustRightInd w:val="0"/>
        <w:spacing w:line="320" w:lineRule="exact"/>
        <w:ind w:firstLine="6120" w:firstLineChars="2550"/>
        <w:rPr>
          <w:rFonts w:cs="仿宋_GB2312" w:asciiTheme="minorEastAsia" w:hAnsiTheme="minorEastAsia" w:eastAsiaTheme="minorEastAsia"/>
          <w:sz w:val="24"/>
          <w:szCs w:val="24"/>
          <w:highlight w:val="none"/>
        </w:rPr>
      </w:pPr>
    </w:p>
    <w:p w14:paraId="036D29CB">
      <w:pPr>
        <w:adjustRightInd w:val="0"/>
        <w:spacing w:line="320" w:lineRule="exact"/>
        <w:ind w:firstLine="6120" w:firstLineChars="2550"/>
        <w:rPr>
          <w:rFonts w:cs="仿宋_GB2312" w:asciiTheme="minorEastAsia" w:hAnsiTheme="minorEastAsia" w:eastAsiaTheme="minorEastAsia"/>
          <w:sz w:val="24"/>
          <w:szCs w:val="24"/>
          <w:highlight w:val="none"/>
        </w:rPr>
      </w:pPr>
    </w:p>
    <w:p w14:paraId="648A9FD1">
      <w:pPr>
        <w:adjustRightInd w:val="0"/>
        <w:spacing w:line="320" w:lineRule="exact"/>
        <w:ind w:firstLine="6120" w:firstLineChars="2550"/>
        <w:rPr>
          <w:rFonts w:cs="仿宋_GB2312" w:asciiTheme="minorEastAsia" w:hAnsiTheme="minorEastAsia" w:eastAsiaTheme="minorEastAsia"/>
          <w:sz w:val="24"/>
          <w:szCs w:val="24"/>
          <w:highlight w:val="none"/>
        </w:rPr>
      </w:pPr>
    </w:p>
    <w:p w14:paraId="79C0CF76">
      <w:pPr>
        <w:adjustRightInd w:val="0"/>
        <w:spacing w:line="320" w:lineRule="exact"/>
        <w:ind w:firstLine="6120" w:firstLineChars="2550"/>
        <w:rPr>
          <w:rFonts w:cs="仿宋_GB2312" w:asciiTheme="minorEastAsia" w:hAnsiTheme="minorEastAsia" w:eastAsiaTheme="minorEastAsia"/>
          <w:sz w:val="24"/>
          <w:szCs w:val="24"/>
          <w:highlight w:val="none"/>
        </w:rPr>
      </w:pPr>
    </w:p>
    <w:p w14:paraId="41B49FF8">
      <w:pPr>
        <w:pStyle w:val="2"/>
        <w:rPr>
          <w:rFonts w:cs="仿宋_GB2312" w:asciiTheme="minorEastAsia" w:hAnsiTheme="minorEastAsia" w:eastAsiaTheme="minorEastAsia"/>
          <w:sz w:val="24"/>
          <w:szCs w:val="24"/>
          <w:highlight w:val="none"/>
        </w:rPr>
      </w:pPr>
    </w:p>
    <w:p w14:paraId="10015696">
      <w:pPr>
        <w:pStyle w:val="2"/>
        <w:rPr>
          <w:rFonts w:cs="仿宋_GB2312" w:asciiTheme="minorEastAsia" w:hAnsiTheme="minorEastAsia" w:eastAsiaTheme="minorEastAsia"/>
          <w:sz w:val="24"/>
          <w:szCs w:val="24"/>
          <w:highlight w:val="none"/>
        </w:rPr>
      </w:pPr>
    </w:p>
    <w:p w14:paraId="70D1647F">
      <w:pPr>
        <w:pStyle w:val="2"/>
        <w:rPr>
          <w:rFonts w:cs="仿宋_GB2312" w:asciiTheme="minorEastAsia" w:hAnsiTheme="minorEastAsia" w:eastAsiaTheme="minorEastAsia"/>
          <w:sz w:val="24"/>
          <w:szCs w:val="24"/>
          <w:highlight w:val="none"/>
        </w:rPr>
      </w:pPr>
    </w:p>
    <w:p w14:paraId="08C248FB">
      <w:pPr>
        <w:pStyle w:val="2"/>
        <w:rPr>
          <w:rFonts w:cs="仿宋_GB2312" w:asciiTheme="minorEastAsia" w:hAnsiTheme="minorEastAsia" w:eastAsiaTheme="minorEastAsia"/>
          <w:sz w:val="24"/>
          <w:szCs w:val="24"/>
          <w:highlight w:val="none"/>
        </w:rPr>
      </w:pPr>
    </w:p>
    <w:p w14:paraId="2464A1C6">
      <w:pPr>
        <w:pStyle w:val="2"/>
        <w:rPr>
          <w:rFonts w:cs="仿宋_GB2312" w:asciiTheme="minorEastAsia" w:hAnsiTheme="minorEastAsia" w:eastAsiaTheme="minorEastAsia"/>
          <w:sz w:val="24"/>
          <w:szCs w:val="24"/>
          <w:highlight w:val="none"/>
        </w:rPr>
      </w:pPr>
    </w:p>
    <w:p w14:paraId="61857416">
      <w:pPr>
        <w:pStyle w:val="2"/>
        <w:rPr>
          <w:rFonts w:cs="仿宋_GB2312" w:asciiTheme="minorEastAsia" w:hAnsiTheme="minorEastAsia" w:eastAsiaTheme="minorEastAsia"/>
          <w:sz w:val="24"/>
          <w:szCs w:val="24"/>
          <w:highlight w:val="none"/>
        </w:rPr>
      </w:pPr>
    </w:p>
    <w:p w14:paraId="0487F6D7">
      <w:pPr>
        <w:pStyle w:val="2"/>
        <w:rPr>
          <w:rFonts w:cs="仿宋_GB2312" w:asciiTheme="minorEastAsia" w:hAnsiTheme="minorEastAsia" w:eastAsiaTheme="minorEastAsia"/>
          <w:sz w:val="24"/>
          <w:szCs w:val="24"/>
          <w:highlight w:val="none"/>
        </w:rPr>
      </w:pPr>
    </w:p>
    <w:p w14:paraId="25E41DCC">
      <w:pPr>
        <w:pStyle w:val="2"/>
        <w:rPr>
          <w:rFonts w:cs="仿宋_GB2312" w:asciiTheme="minorEastAsia" w:hAnsiTheme="minorEastAsia" w:eastAsiaTheme="minorEastAsia"/>
          <w:sz w:val="24"/>
          <w:szCs w:val="24"/>
          <w:highlight w:val="none"/>
        </w:rPr>
      </w:pPr>
    </w:p>
    <w:p w14:paraId="77F11D52">
      <w:pPr>
        <w:pStyle w:val="2"/>
        <w:rPr>
          <w:rFonts w:cs="仿宋_GB2312" w:asciiTheme="minorEastAsia" w:hAnsiTheme="minorEastAsia" w:eastAsiaTheme="minorEastAsia"/>
          <w:sz w:val="24"/>
          <w:szCs w:val="24"/>
          <w:highlight w:val="none"/>
        </w:rPr>
      </w:pPr>
    </w:p>
    <w:p w14:paraId="33F8A75D">
      <w:pPr>
        <w:adjustRightInd w:val="0"/>
        <w:spacing w:line="320" w:lineRule="exact"/>
        <w:ind w:firstLine="6120" w:firstLineChars="2550"/>
        <w:rPr>
          <w:rFonts w:cs="仿宋_GB2312" w:asciiTheme="minorEastAsia" w:hAnsiTheme="minorEastAsia" w:eastAsiaTheme="minorEastAsia"/>
          <w:sz w:val="24"/>
          <w:szCs w:val="24"/>
          <w:highlight w:val="none"/>
        </w:rPr>
      </w:pPr>
    </w:p>
    <w:p w14:paraId="43EAB621">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11</w:t>
      </w:r>
      <w:r>
        <w:rPr>
          <w:rFonts w:hint="eastAsia" w:cs="黑体" w:asciiTheme="minorEastAsia" w:hAnsiTheme="minorEastAsia" w:eastAsiaTheme="minorEastAsia"/>
          <w:sz w:val="28"/>
          <w:szCs w:val="28"/>
          <w:highlight w:val="none"/>
        </w:rPr>
        <w:t>：</w:t>
      </w:r>
    </w:p>
    <w:p w14:paraId="40033AA1">
      <w:pPr>
        <w:adjustRightInd w:val="0"/>
        <w:spacing w:line="360" w:lineRule="auto"/>
        <w:ind w:firstLine="562" w:firstLineChars="200"/>
        <w:jc w:val="center"/>
        <w:rPr>
          <w:rFonts w:asciiTheme="minorEastAsia" w:hAnsiTheme="minorEastAsia" w:eastAsiaTheme="minorEastAsia"/>
          <w:b/>
          <w:bCs/>
          <w:sz w:val="28"/>
          <w:szCs w:val="28"/>
          <w:highlight w:val="none"/>
        </w:rPr>
      </w:pPr>
      <w:r>
        <w:rPr>
          <w:rFonts w:hint="eastAsia" w:asciiTheme="minorEastAsia" w:hAnsiTheme="minorEastAsia" w:eastAsiaTheme="minorEastAsia"/>
          <w:b/>
          <w:bCs/>
          <w:sz w:val="28"/>
          <w:szCs w:val="28"/>
          <w:highlight w:val="none"/>
        </w:rPr>
        <w:t>政府采购供应商诚信承诺书</w:t>
      </w:r>
    </w:p>
    <w:p w14:paraId="0FDF7651">
      <w:pPr>
        <w:adjustRightInd w:val="0"/>
        <w:spacing w:line="360" w:lineRule="auto"/>
        <w:jc w:val="center"/>
        <w:rPr>
          <w:rFonts w:asciiTheme="minorEastAsia" w:hAnsiTheme="minorEastAsia" w:eastAsiaTheme="minorEastAsia"/>
          <w:b/>
          <w:sz w:val="24"/>
          <w:szCs w:val="24"/>
          <w:highlight w:val="none"/>
        </w:rPr>
      </w:pPr>
    </w:p>
    <w:p w14:paraId="0F3A0A2A">
      <w:pPr>
        <w:adjustRightInd w:val="0"/>
        <w:spacing w:line="360" w:lineRule="auto"/>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7106666">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（一）提供虚假材料谋取中标;</w:t>
      </w:r>
    </w:p>
    <w:p w14:paraId="0FFCFB0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（二）采取不正当手段诋毁、排挤其他供应商;</w:t>
      </w:r>
    </w:p>
    <w:p w14:paraId="0591C93C">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（三）与招标采购单位、其他投标人恶意串通;</w:t>
      </w:r>
    </w:p>
    <w:p w14:paraId="5518BF10">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（四）向招标采购单位或提供其他不正当利益;</w:t>
      </w:r>
    </w:p>
    <w:p w14:paraId="4F2EF767">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（五）在招标过程中与招标采购单位进行协商谈判、不按照招标文件和投标文件订立合同，或者与采购人另立背离合同实质性内容协议;</w:t>
      </w:r>
    </w:p>
    <w:p w14:paraId="6BABDFCA">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（六）开标后擅自撤销投标，影响招标继续进行的或领取招标文件纳投标保证金后不投标导致废标;</w:t>
      </w:r>
    </w:p>
    <w:p w14:paraId="211BF056">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（七）中标后无正当理由，在规定时间内不与采购单位签订合同;</w:t>
      </w:r>
    </w:p>
    <w:p w14:paraId="03D47C9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（八）将中标项目转让给他人或非法分包他人;</w:t>
      </w:r>
    </w:p>
    <w:p w14:paraId="1B38BC34">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（九）无正当理由，拒绝履行合同义务;</w:t>
      </w:r>
    </w:p>
    <w:p w14:paraId="563AD4F2">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（十）无正当理由放弃中标（成交）项目;</w:t>
      </w:r>
    </w:p>
    <w:p w14:paraId="28111E4C">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444F9CC4">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（十二）与采购人串通，对尚未履约完毕的采购项目出具虚假验收报告；</w:t>
      </w:r>
    </w:p>
    <w:p w14:paraId="048C9D20">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（十三）无不可抗力因素，拒绝提供售后服务、售后服务态度恶劣、故意提高维修配件价格（高于市场平均价）；</w:t>
      </w:r>
    </w:p>
    <w:p w14:paraId="1A53FC48">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（十四）开标后对招标文件的相关内容再进行质疑；</w:t>
      </w:r>
    </w:p>
    <w:p w14:paraId="4753566F">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（十五）恶意投诉的行为：投诉经查无实据的、捏造事实或者提供虚假设诉材料；</w:t>
      </w:r>
    </w:p>
    <w:p w14:paraId="1266C007">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（十六）拒绝有关部门监督检查或者提供虚假情况；</w:t>
      </w:r>
    </w:p>
    <w:p w14:paraId="12AB198F">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（十七）政府采购监管部门认定的其他政府采购活动中的不诚信行为。</w:t>
      </w:r>
    </w:p>
    <w:p w14:paraId="2C1D60DF">
      <w:pPr>
        <w:adjustRightInd w:val="0"/>
        <w:spacing w:line="360" w:lineRule="auto"/>
        <w:rPr>
          <w:rFonts w:asciiTheme="minorEastAsia" w:hAnsiTheme="minorEastAsia" w:eastAsiaTheme="minorEastAsia"/>
          <w:sz w:val="24"/>
          <w:szCs w:val="24"/>
          <w:highlight w:val="none"/>
        </w:rPr>
      </w:pPr>
    </w:p>
    <w:p w14:paraId="4F3B7DAD">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供应商名称：（盖章）</w:t>
      </w:r>
    </w:p>
    <w:p w14:paraId="165A77BF">
      <w:pPr>
        <w:adjustRightInd w:val="0"/>
        <w:spacing w:line="360" w:lineRule="auto"/>
        <w:ind w:right="640" w:firstLine="1560" w:firstLineChars="650"/>
        <w:rPr>
          <w:rFonts w:asciiTheme="minorEastAsia" w:hAnsiTheme="minorEastAsia" w:eastAsiaTheme="minorEastAsia"/>
          <w:sz w:val="24"/>
          <w:szCs w:val="24"/>
          <w:highlight w:val="none"/>
        </w:rPr>
      </w:pPr>
    </w:p>
    <w:p w14:paraId="4ACEDDD9">
      <w:pPr>
        <w:adjustRightInd w:val="0"/>
        <w:spacing w:line="360" w:lineRule="auto"/>
        <w:ind w:right="640"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法人代表或授权委托人：（签字）</w:t>
      </w:r>
    </w:p>
    <w:p w14:paraId="1F8EBA3B">
      <w:pPr>
        <w:adjustRightInd w:val="0"/>
        <w:spacing w:line="360" w:lineRule="auto"/>
        <w:jc w:val="center"/>
        <w:rPr>
          <w:rFonts w:asciiTheme="minorEastAsia" w:hAnsiTheme="minorEastAsia" w:eastAsiaTheme="minorEastAsia"/>
          <w:sz w:val="24"/>
          <w:szCs w:val="24"/>
          <w:highlight w:val="none"/>
        </w:rPr>
      </w:pPr>
    </w:p>
    <w:p w14:paraId="72BB69C7">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日期：      年   月    日</w:t>
      </w:r>
    </w:p>
    <w:p w14:paraId="3E0599F3">
      <w:pPr>
        <w:pStyle w:val="38"/>
        <w:adjustRightInd w:val="0"/>
        <w:spacing w:line="360" w:lineRule="auto"/>
        <w:ind w:firstLine="480"/>
        <w:rPr>
          <w:rFonts w:asciiTheme="minorEastAsia" w:hAnsiTheme="minorEastAsia" w:eastAsiaTheme="minorEastAsia"/>
          <w:sz w:val="24"/>
          <w:szCs w:val="24"/>
          <w:highlight w:val="none"/>
        </w:rPr>
      </w:pPr>
    </w:p>
    <w:p w14:paraId="59C6D047">
      <w:pPr>
        <w:pStyle w:val="38"/>
        <w:adjustRightInd w:val="0"/>
        <w:spacing w:line="360" w:lineRule="auto"/>
        <w:ind w:firstLine="1440" w:firstLineChars="6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注：投标人须将此承诺书放进投标文件里。</w:t>
      </w:r>
    </w:p>
    <w:p w14:paraId="4CAE18F8">
      <w:pPr>
        <w:pStyle w:val="38"/>
        <w:adjustRightInd w:val="0"/>
        <w:spacing w:line="360" w:lineRule="auto"/>
        <w:ind w:firstLine="1440" w:firstLineChars="600"/>
        <w:rPr>
          <w:rFonts w:asciiTheme="minorEastAsia" w:hAnsiTheme="minorEastAsia" w:eastAsiaTheme="minorEastAsia"/>
          <w:sz w:val="24"/>
          <w:szCs w:val="24"/>
          <w:highlight w:val="none"/>
        </w:rPr>
      </w:pPr>
    </w:p>
    <w:p w14:paraId="5E5AE20D">
      <w:pPr>
        <w:rPr>
          <w:rFonts w:hint="eastAsia" w:asciiTheme="minorEastAsia" w:hAnsiTheme="minorEastAsia" w:eastAsiaTheme="minorEastAsia"/>
          <w:b/>
          <w:bCs/>
          <w:sz w:val="24"/>
          <w:szCs w:val="24"/>
          <w:highlight w:val="none"/>
          <w:lang w:val="en-US"/>
        </w:rPr>
      </w:pPr>
      <w:r>
        <w:rPr>
          <w:rFonts w:hint="eastAsia" w:asciiTheme="minorEastAsia" w:hAnsiTheme="minorEastAsia" w:eastAsiaTheme="minorEastAsia"/>
          <w:b/>
          <w:bCs/>
          <w:sz w:val="24"/>
          <w:szCs w:val="24"/>
          <w:highlight w:val="none"/>
          <w:lang w:val="en-US"/>
        </w:rPr>
        <w:br w:type="page"/>
      </w:r>
    </w:p>
    <w:p w14:paraId="6046931F">
      <w:pPr>
        <w:pStyle w:val="5"/>
        <w:spacing w:before="0" w:after="0" w:line="500" w:lineRule="exact"/>
        <w:ind w:firstLine="0"/>
        <w:rPr>
          <w:rFonts w:hint="eastAsia" w:ascii="方正小标宋简体" w:hAnsi="黑体" w:eastAsia="方正小标宋简体" w:cs="黑体"/>
          <w:b w:val="0"/>
          <w:sz w:val="44"/>
          <w:szCs w:val="44"/>
          <w:highlight w:val="none"/>
          <w:lang w:val="en-US"/>
        </w:rPr>
      </w:pPr>
      <w:r>
        <w:rPr>
          <w:rFonts w:hint="eastAsia" w:asciiTheme="minorEastAsia" w:hAnsiTheme="minorEastAsia" w:eastAsiaTheme="minorEastAsia"/>
          <w:b/>
          <w:bCs/>
          <w:sz w:val="32"/>
          <w:szCs w:val="32"/>
          <w:highlight w:val="none"/>
          <w:lang w:val="en-US"/>
        </w:rPr>
        <w:t xml:space="preserve">第六部分  </w:t>
      </w:r>
      <w:r>
        <w:rPr>
          <w:rFonts w:hint="eastAsia" w:cs="宋体" w:asciiTheme="minorEastAsia" w:hAnsiTheme="minorEastAsia" w:eastAsiaTheme="minorEastAsia"/>
          <w:b/>
          <w:bCs/>
          <w:sz w:val="32"/>
          <w:szCs w:val="32"/>
          <w:highlight w:val="none"/>
          <w:lang w:val="en-US"/>
        </w:rPr>
        <w:t>周口市政府采购合同（货物类）标准文本</w:t>
      </w:r>
    </w:p>
    <w:p w14:paraId="6FEA9A30">
      <w:pPr>
        <w:rPr>
          <w:rFonts w:ascii="黑体" w:hAnsi="黑体" w:eastAsia="黑体" w:cs="黑体"/>
          <w:sz w:val="32"/>
          <w:szCs w:val="32"/>
          <w:highlight w:val="none"/>
          <w:lang w:val="en-US"/>
        </w:rPr>
      </w:pPr>
    </w:p>
    <w:p w14:paraId="37B81DE8">
      <w:pPr>
        <w:pStyle w:val="41"/>
        <w:spacing w:beforeLines="0" w:afterLines="0"/>
        <w:ind w:left="0"/>
        <w:rPr>
          <w:rFonts w:ascii="黑体" w:hAnsi="黑体" w:eastAsia="黑体" w:cs="黑体"/>
          <w:sz w:val="32"/>
          <w:szCs w:val="32"/>
          <w:highlight w:val="none"/>
          <w:lang w:val="en-US"/>
        </w:rPr>
      </w:pPr>
    </w:p>
    <w:p w14:paraId="54790BD0">
      <w:pPr>
        <w:pStyle w:val="41"/>
        <w:spacing w:beforeLines="0" w:afterLines="0"/>
        <w:ind w:left="0"/>
        <w:rPr>
          <w:rFonts w:ascii="黑体" w:hAnsi="黑体" w:eastAsia="黑体" w:cs="黑体"/>
          <w:sz w:val="32"/>
          <w:szCs w:val="32"/>
          <w:highlight w:val="none"/>
          <w:lang w:val="en-US"/>
        </w:rPr>
      </w:pPr>
    </w:p>
    <w:p w14:paraId="4219C4A7">
      <w:pPr>
        <w:pStyle w:val="41"/>
        <w:spacing w:beforeLines="0" w:afterLines="0"/>
        <w:ind w:left="0"/>
        <w:rPr>
          <w:rFonts w:ascii="黑体" w:hAnsi="黑体" w:eastAsia="黑体" w:cs="黑体"/>
          <w:sz w:val="30"/>
          <w:szCs w:val="30"/>
          <w:highlight w:val="none"/>
          <w:lang w:val="en-US"/>
        </w:rPr>
      </w:pPr>
    </w:p>
    <w:p w14:paraId="228D5777">
      <w:pPr>
        <w:pStyle w:val="41"/>
        <w:spacing w:beforeLines="0" w:afterLines="0"/>
        <w:ind w:left="0"/>
        <w:rPr>
          <w:rFonts w:hint="eastAsia" w:ascii="黑体" w:hAnsi="黑体" w:eastAsia="黑体" w:cs="黑体"/>
          <w:sz w:val="30"/>
          <w:szCs w:val="30"/>
          <w:highlight w:val="none"/>
          <w:lang w:val="en-US"/>
        </w:rPr>
      </w:pPr>
    </w:p>
    <w:p w14:paraId="78D28B34">
      <w:pPr>
        <w:pStyle w:val="41"/>
        <w:spacing w:beforeLines="0" w:afterLines="0"/>
        <w:ind w:left="0"/>
        <w:rPr>
          <w:rFonts w:hint="eastAsia" w:ascii="黑体" w:hAnsi="黑体" w:eastAsia="黑体" w:cs="黑体"/>
          <w:sz w:val="30"/>
          <w:szCs w:val="30"/>
          <w:highlight w:val="none"/>
          <w:lang w:val="en-US"/>
        </w:rPr>
      </w:pPr>
    </w:p>
    <w:p w14:paraId="6D93D4E8">
      <w:pPr>
        <w:pStyle w:val="41"/>
        <w:spacing w:beforeLines="0" w:afterLines="0"/>
        <w:ind w:left="0"/>
        <w:rPr>
          <w:rFonts w:ascii="黑体" w:hAnsi="黑体" w:eastAsia="黑体" w:cs="黑体"/>
          <w:sz w:val="30"/>
          <w:szCs w:val="30"/>
          <w:highlight w:val="none"/>
          <w:lang w:val="en-US"/>
        </w:rPr>
      </w:pPr>
    </w:p>
    <w:p w14:paraId="7612201F">
      <w:pPr>
        <w:pStyle w:val="41"/>
        <w:spacing w:beforeLines="0" w:afterLines="0"/>
        <w:ind w:left="0"/>
        <w:rPr>
          <w:rFonts w:ascii="黑体" w:hAnsi="黑体" w:eastAsia="黑体" w:cs="黑体"/>
          <w:sz w:val="30"/>
          <w:szCs w:val="30"/>
          <w:highlight w:val="none"/>
          <w:lang w:val="en-US"/>
        </w:rPr>
      </w:pPr>
    </w:p>
    <w:p w14:paraId="796E93DC">
      <w:pPr>
        <w:pStyle w:val="41"/>
        <w:spacing w:beforeLines="0" w:afterLines="0"/>
        <w:ind w:left="0"/>
        <w:rPr>
          <w:rFonts w:ascii="黑体" w:hAnsi="黑体" w:eastAsia="黑体" w:cs="黑体"/>
          <w:sz w:val="30"/>
          <w:szCs w:val="30"/>
          <w:highlight w:val="none"/>
          <w:lang w:val="en-US"/>
        </w:rPr>
      </w:pPr>
    </w:p>
    <w:p w14:paraId="5F547DC7">
      <w:pPr>
        <w:pStyle w:val="4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4B82A0EF">
      <w:pPr>
        <w:pStyle w:val="4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0260608A">
      <w:pPr>
        <w:pStyle w:val="4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72AEA404">
      <w:pPr>
        <w:pStyle w:val="4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04BB5E77">
      <w:pPr>
        <w:pStyle w:val="4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74212D0C">
      <w:pPr>
        <w:pStyle w:val="41"/>
        <w:spacing w:beforeLines="0" w:afterLines="0"/>
        <w:ind w:left="0"/>
        <w:rPr>
          <w:rFonts w:hint="eastAsia"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6B1FAFE2">
      <w:pPr>
        <w:pStyle w:val="41"/>
        <w:spacing w:beforeLines="0" w:afterLines="0"/>
        <w:ind w:left="0"/>
        <w:rPr>
          <w:rFonts w:hint="eastAsia" w:ascii="黑体" w:hAnsi="黑体" w:eastAsia="黑体" w:cs="黑体"/>
          <w:sz w:val="30"/>
          <w:szCs w:val="30"/>
          <w:highlight w:val="none"/>
          <w:lang w:val="en-US"/>
        </w:rPr>
      </w:pPr>
    </w:p>
    <w:p w14:paraId="6064E5C6">
      <w:pPr>
        <w:pStyle w:val="41"/>
        <w:spacing w:beforeLines="0" w:afterLines="0"/>
        <w:ind w:left="0"/>
        <w:rPr>
          <w:rFonts w:ascii="黑体" w:hAnsi="黑体" w:eastAsia="黑体" w:cs="黑体"/>
          <w:sz w:val="30"/>
          <w:szCs w:val="30"/>
          <w:highlight w:val="none"/>
          <w:lang w:val="en-US"/>
        </w:rPr>
      </w:pPr>
    </w:p>
    <w:p w14:paraId="69FEB6D1">
      <w:pPr>
        <w:pStyle w:val="41"/>
        <w:spacing w:beforeLines="0" w:afterLines="0"/>
        <w:ind w:left="0"/>
        <w:jc w:val="center"/>
        <w:rPr>
          <w:rFonts w:hint="eastAsia" w:ascii="方正小标宋简体" w:eastAsia="方正小标宋简体"/>
          <w:sz w:val="32"/>
          <w:szCs w:val="32"/>
          <w:highlight w:val="none"/>
        </w:rPr>
      </w:pPr>
    </w:p>
    <w:p w14:paraId="1994DC81">
      <w:pPr>
        <w:pStyle w:val="41"/>
        <w:spacing w:beforeLines="0" w:afterLines="0" w:line="46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5C66002B">
      <w:pPr>
        <w:pStyle w:val="41"/>
        <w:spacing w:beforeLines="0" w:afterLines="0" w:line="460" w:lineRule="exact"/>
        <w:ind w:left="0" w:firstLine="420" w:firstLineChars="200"/>
        <w:jc w:val="both"/>
        <w:rPr>
          <w:rFonts w:hint="eastAsia"/>
          <w:sz w:val="21"/>
          <w:szCs w:val="21"/>
          <w:highlight w:val="none"/>
        </w:rPr>
      </w:pPr>
    </w:p>
    <w:p w14:paraId="4A03CBC2">
      <w:pPr>
        <w:pStyle w:val="41"/>
        <w:spacing w:beforeLines="0" w:afterLines="0" w:line="46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35FA0E71">
      <w:pPr>
        <w:pStyle w:val="41"/>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13FD099B">
      <w:pPr>
        <w:pStyle w:val="41"/>
        <w:spacing w:beforeLines="0" w:afterLines="0" w:line="46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1A9E4AC8">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023C1C29">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797B0483">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152CE997">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14:paraId="0B3E6A35">
      <w:pPr>
        <w:pStyle w:val="41"/>
        <w:spacing w:beforeLines="0" w:afterLines="0" w:line="46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0FF0817D">
      <w:pPr>
        <w:pStyle w:val="41"/>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28155772">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4E94487D">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1E5B1FEE">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52C032CA">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1218180B">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3079488F">
      <w:pPr>
        <w:pStyle w:val="41"/>
        <w:spacing w:beforeLines="0" w:afterLines="0" w:line="46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08DBE370">
      <w:pPr>
        <w:pStyle w:val="41"/>
        <w:spacing w:beforeLines="0" w:afterLines="0" w:line="460" w:lineRule="exact"/>
        <w:ind w:left="0" w:firstLine="640" w:firstLineChars="200"/>
        <w:jc w:val="center"/>
        <w:rPr>
          <w:rFonts w:hint="eastAsia" w:ascii="方正小标宋简体" w:eastAsia="方正小标宋简体"/>
          <w:bCs/>
          <w:sz w:val="32"/>
          <w:szCs w:val="32"/>
          <w:highlight w:val="none"/>
        </w:rPr>
      </w:pPr>
    </w:p>
    <w:p w14:paraId="27D7847F">
      <w:pPr>
        <w:pStyle w:val="41"/>
        <w:spacing w:beforeLines="0" w:afterLines="0" w:line="460" w:lineRule="exact"/>
        <w:ind w:left="0" w:firstLine="640" w:firstLineChars="200"/>
        <w:jc w:val="center"/>
        <w:rPr>
          <w:rFonts w:hint="eastAsia"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14:paraId="7C5AF66F">
      <w:pPr>
        <w:pStyle w:val="41"/>
        <w:numPr>
          <w:ilvl w:val="0"/>
          <w:numId w:val="21"/>
        </w:numPr>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供应商不得</w:t>
      </w:r>
      <w:r>
        <w:rPr>
          <w:rFonts w:hint="eastAsia" w:ascii="宋体" w:eastAsia="宋体"/>
          <w:sz w:val="21"/>
          <w:szCs w:val="21"/>
          <w:highlight w:val="none"/>
        </w:rPr>
        <w:t>擅自变更合同标的物内容；</w:t>
      </w:r>
    </w:p>
    <w:p w14:paraId="7FF3625B">
      <w:pPr>
        <w:pStyle w:val="41"/>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不得以次充好、高投低配，确因在合同执行中不可抗力因素造成的，应提供相关依据；</w:t>
      </w:r>
    </w:p>
    <w:p w14:paraId="1B21629E">
      <w:pPr>
        <w:pStyle w:val="41"/>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21A9C10F">
      <w:pPr>
        <w:pStyle w:val="41"/>
        <w:spacing w:beforeLines="0" w:afterLines="0" w:line="46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413066CE">
      <w:pPr>
        <w:pStyle w:val="41"/>
        <w:spacing w:beforeLines="0" w:afterLines="0" w:line="46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供应商应提供需验收物品的清单、参数、使用手册、人员培训情况等资料；</w:t>
      </w:r>
    </w:p>
    <w:p w14:paraId="10003B49">
      <w:pPr>
        <w:pStyle w:val="41"/>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2CCE71AB">
      <w:pPr>
        <w:pStyle w:val="41"/>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3549DF22">
      <w:pPr>
        <w:rPr>
          <w:rFonts w:hint="eastAsia" w:ascii="方正小标宋简体" w:hAnsi="宋体" w:eastAsia="方正小标宋简体"/>
          <w:b w:val="0"/>
          <w:highlight w:val="none"/>
        </w:rPr>
      </w:pPr>
      <w:r>
        <w:rPr>
          <w:rFonts w:hint="eastAsia" w:ascii="方正小标宋简体" w:hAnsi="宋体" w:eastAsia="方正小标宋简体"/>
          <w:b w:val="0"/>
          <w:highlight w:val="none"/>
        </w:rPr>
        <w:br w:type="page"/>
      </w:r>
    </w:p>
    <w:p w14:paraId="6ECC8BB1">
      <w:pPr>
        <w:pStyle w:val="5"/>
        <w:spacing w:before="0" w:after="0" w:line="520" w:lineRule="exact"/>
        <w:ind w:firstLine="0"/>
        <w:rPr>
          <w:rFonts w:hint="eastAsia" w:ascii="方正小标宋简体" w:hAnsi="宋体" w:eastAsia="方正小标宋简体"/>
          <w:b w:val="0"/>
          <w:szCs w:val="36"/>
          <w:highlight w:val="none"/>
        </w:rPr>
      </w:pPr>
      <w:r>
        <w:rPr>
          <w:rFonts w:hint="eastAsia" w:ascii="方正小标宋简体" w:hAnsi="宋体" w:eastAsia="方正小标宋简体"/>
          <w:b w:val="0"/>
          <w:highlight w:val="none"/>
        </w:rPr>
        <w:t>采购合同内容</w:t>
      </w:r>
    </w:p>
    <w:p w14:paraId="251A7DFF">
      <w:pPr>
        <w:spacing w:line="520" w:lineRule="exact"/>
        <w:ind w:firstLine="440" w:firstLineChars="200"/>
        <w:jc w:val="both"/>
        <w:rPr>
          <w:rFonts w:hint="eastAsia"/>
          <w:szCs w:val="27"/>
          <w:highlight w:val="none"/>
        </w:rPr>
      </w:pPr>
    </w:p>
    <w:p w14:paraId="16617E7A">
      <w:pPr>
        <w:spacing w:line="360" w:lineRule="auto"/>
        <w:ind w:firstLine="440" w:firstLineChars="200"/>
        <w:jc w:val="both"/>
        <w:rPr>
          <w:szCs w:val="27"/>
          <w:highlight w:val="none"/>
          <w:u w:val="single"/>
        </w:rPr>
      </w:pPr>
      <w:r>
        <w:rPr>
          <w:rFonts w:hint="eastAsia"/>
          <w:szCs w:val="27"/>
          <w:highlight w:val="none"/>
        </w:rPr>
        <w:t>采购人</w:t>
      </w:r>
      <w:r>
        <w:rPr>
          <w:szCs w:val="27"/>
          <w:highlight w:val="none"/>
        </w:rPr>
        <w:t>（甲方）：</w:t>
      </w:r>
      <w:r>
        <w:rPr>
          <w:rFonts w:hint="eastAsia"/>
          <w:szCs w:val="27"/>
          <w:highlight w:val="none"/>
        </w:rPr>
        <w:t xml:space="preserve"> </w:t>
      </w:r>
    </w:p>
    <w:p w14:paraId="2EB2CB44">
      <w:pPr>
        <w:spacing w:line="360" w:lineRule="auto"/>
        <w:ind w:firstLine="440" w:firstLineChars="200"/>
        <w:jc w:val="both"/>
        <w:rPr>
          <w:szCs w:val="27"/>
          <w:highlight w:val="none"/>
        </w:rPr>
      </w:pPr>
      <w:r>
        <w:rPr>
          <w:rFonts w:hint="eastAsia"/>
          <w:szCs w:val="27"/>
          <w:highlight w:val="none"/>
        </w:rPr>
        <w:t>供应商</w:t>
      </w:r>
      <w:r>
        <w:rPr>
          <w:szCs w:val="27"/>
          <w:highlight w:val="none"/>
        </w:rPr>
        <w:t>（乙方）</w:t>
      </w:r>
      <w:r>
        <w:rPr>
          <w:rFonts w:hint="eastAsia"/>
          <w:szCs w:val="27"/>
          <w:highlight w:val="none"/>
        </w:rPr>
        <w:t>：</w:t>
      </w:r>
    </w:p>
    <w:p w14:paraId="38C571FE">
      <w:pPr>
        <w:spacing w:line="360" w:lineRule="auto"/>
        <w:ind w:firstLine="440" w:firstLineChars="200"/>
        <w:jc w:val="both"/>
        <w:rPr>
          <w:szCs w:val="27"/>
          <w:highlight w:val="none"/>
          <w:u w:val="single"/>
        </w:rPr>
      </w:pPr>
      <w:r>
        <w:rPr>
          <w:rFonts w:hint="eastAsia"/>
          <w:szCs w:val="27"/>
          <w:highlight w:val="none"/>
        </w:rPr>
        <w:t>签订地点：</w:t>
      </w:r>
    </w:p>
    <w:p w14:paraId="78B3FCD9">
      <w:pPr>
        <w:spacing w:line="360" w:lineRule="auto"/>
        <w:ind w:firstLine="440" w:firstLineChars="200"/>
        <w:jc w:val="both"/>
        <w:rPr>
          <w:szCs w:val="27"/>
          <w:highlight w:val="none"/>
          <w:u w:val="single"/>
        </w:rPr>
      </w:pPr>
      <w:r>
        <w:rPr>
          <w:rFonts w:hint="eastAsia"/>
          <w:szCs w:val="27"/>
          <w:highlight w:val="none"/>
        </w:rPr>
        <w:t>项目名称：</w:t>
      </w:r>
    </w:p>
    <w:p w14:paraId="05C883C3">
      <w:pPr>
        <w:spacing w:line="360" w:lineRule="auto"/>
        <w:ind w:firstLine="440" w:firstLineChars="200"/>
        <w:jc w:val="both"/>
        <w:rPr>
          <w:szCs w:val="27"/>
          <w:highlight w:val="none"/>
          <w:u w:val="single"/>
        </w:rPr>
      </w:pPr>
      <w:r>
        <w:rPr>
          <w:rFonts w:hint="eastAsia"/>
          <w:szCs w:val="27"/>
          <w:highlight w:val="none"/>
        </w:rPr>
        <w:t>项目编号：</w:t>
      </w:r>
    </w:p>
    <w:p w14:paraId="71A61C2D">
      <w:pPr>
        <w:spacing w:line="360" w:lineRule="auto"/>
        <w:ind w:firstLine="44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szCs w:val="27"/>
          <w:highlight w:val="none"/>
        </w:rPr>
        <w:t>(财政资金项目必须填写)</w:t>
      </w:r>
    </w:p>
    <w:p w14:paraId="6BFBF12F">
      <w:pPr>
        <w:spacing w:line="360" w:lineRule="auto"/>
        <w:ind w:firstLine="44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国采购法</w:t>
      </w:r>
      <w:r>
        <w:rPr>
          <w:szCs w:val="27"/>
          <w:highlight w:val="none"/>
        </w:rPr>
        <w:t>》</w:t>
      </w:r>
      <w:r>
        <w:rPr>
          <w:rFonts w:hint="eastAsia"/>
          <w:szCs w:val="27"/>
          <w:highlight w:val="none"/>
        </w:rPr>
        <w:t>、</w:t>
      </w:r>
      <w:r>
        <w:rPr>
          <w:szCs w:val="27"/>
          <w:highlight w:val="none"/>
        </w:rPr>
        <w:t>《中华人民共和国</w:t>
      </w:r>
      <w:r>
        <w:rPr>
          <w:rFonts w:hint="eastAsia"/>
          <w:szCs w:val="27"/>
          <w:highlight w:val="none"/>
          <w:lang w:val="en-US" w:eastAsia="zh-CN"/>
        </w:rPr>
        <w:t>民法典</w:t>
      </w:r>
      <w:r>
        <w:rPr>
          <w:szCs w:val="27"/>
          <w:highlight w:val="none"/>
        </w:rPr>
        <w:t>》之规定，经甲乙双方充分协商，特订立</w:t>
      </w:r>
      <w:r>
        <w:rPr>
          <w:rFonts w:hint="eastAsia"/>
          <w:szCs w:val="27"/>
          <w:highlight w:val="none"/>
        </w:rPr>
        <w:t>本</w:t>
      </w:r>
      <w:r>
        <w:rPr>
          <w:szCs w:val="27"/>
          <w:highlight w:val="none"/>
        </w:rPr>
        <w:t>合同，以便共同遵守。</w:t>
      </w:r>
    </w:p>
    <w:p w14:paraId="70A554A3">
      <w:pPr>
        <w:spacing w:line="360" w:lineRule="auto"/>
        <w:ind w:firstLine="442"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2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14A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AEEA54B">
            <w:pPr>
              <w:spacing w:line="360" w:lineRule="auto"/>
              <w:ind w:firstLine="440" w:firstLineChars="200"/>
              <w:jc w:val="both"/>
              <w:rPr>
                <w:highlight w:val="none"/>
              </w:rPr>
            </w:pPr>
            <w:r>
              <w:rPr>
                <w:rFonts w:hint="eastAsia"/>
                <w:highlight w:val="none"/>
              </w:rPr>
              <w:t>产品名称</w:t>
            </w:r>
          </w:p>
        </w:tc>
        <w:tc>
          <w:tcPr>
            <w:tcW w:w="1623" w:type="dxa"/>
          </w:tcPr>
          <w:p w14:paraId="714EF731">
            <w:pPr>
              <w:spacing w:line="360" w:lineRule="auto"/>
              <w:ind w:firstLine="440" w:firstLineChars="200"/>
              <w:jc w:val="both"/>
              <w:rPr>
                <w:highlight w:val="none"/>
              </w:rPr>
            </w:pPr>
            <w:r>
              <w:rPr>
                <w:rFonts w:hint="eastAsia"/>
                <w:highlight w:val="none"/>
              </w:rPr>
              <w:t>规格型号</w:t>
            </w:r>
          </w:p>
        </w:tc>
        <w:tc>
          <w:tcPr>
            <w:tcW w:w="902" w:type="dxa"/>
          </w:tcPr>
          <w:p w14:paraId="6540715E">
            <w:pPr>
              <w:spacing w:line="360" w:lineRule="auto"/>
              <w:jc w:val="both"/>
              <w:rPr>
                <w:highlight w:val="none"/>
              </w:rPr>
            </w:pPr>
            <w:r>
              <w:rPr>
                <w:rFonts w:hint="eastAsia"/>
                <w:highlight w:val="none"/>
              </w:rPr>
              <w:t>单位</w:t>
            </w:r>
          </w:p>
        </w:tc>
        <w:tc>
          <w:tcPr>
            <w:tcW w:w="902" w:type="dxa"/>
          </w:tcPr>
          <w:p w14:paraId="7D1C7050">
            <w:pPr>
              <w:spacing w:line="360" w:lineRule="auto"/>
              <w:jc w:val="both"/>
              <w:rPr>
                <w:highlight w:val="none"/>
              </w:rPr>
            </w:pPr>
            <w:r>
              <w:rPr>
                <w:rFonts w:hint="eastAsia"/>
                <w:highlight w:val="none"/>
              </w:rPr>
              <w:t>数量</w:t>
            </w:r>
          </w:p>
        </w:tc>
        <w:tc>
          <w:tcPr>
            <w:tcW w:w="1071" w:type="dxa"/>
          </w:tcPr>
          <w:p w14:paraId="58322B4B">
            <w:pPr>
              <w:spacing w:line="360" w:lineRule="auto"/>
              <w:jc w:val="both"/>
              <w:rPr>
                <w:highlight w:val="none"/>
              </w:rPr>
            </w:pPr>
            <w:r>
              <w:rPr>
                <w:rFonts w:hint="eastAsia"/>
                <w:highlight w:val="none"/>
              </w:rPr>
              <w:t>单价</w:t>
            </w:r>
          </w:p>
        </w:tc>
        <w:tc>
          <w:tcPr>
            <w:tcW w:w="1250" w:type="dxa"/>
          </w:tcPr>
          <w:p w14:paraId="179BAD93">
            <w:pPr>
              <w:spacing w:line="360" w:lineRule="auto"/>
              <w:ind w:firstLine="440" w:firstLineChars="200"/>
              <w:jc w:val="both"/>
              <w:rPr>
                <w:highlight w:val="none"/>
              </w:rPr>
            </w:pPr>
            <w:r>
              <w:rPr>
                <w:rFonts w:hint="eastAsia"/>
                <w:highlight w:val="none"/>
              </w:rPr>
              <w:t>小计</w:t>
            </w:r>
          </w:p>
        </w:tc>
        <w:tc>
          <w:tcPr>
            <w:tcW w:w="1106" w:type="dxa"/>
          </w:tcPr>
          <w:p w14:paraId="143B8ED4">
            <w:pPr>
              <w:spacing w:line="360" w:lineRule="auto"/>
              <w:ind w:firstLine="440" w:firstLineChars="200"/>
              <w:jc w:val="both"/>
              <w:rPr>
                <w:highlight w:val="none"/>
              </w:rPr>
            </w:pPr>
            <w:r>
              <w:rPr>
                <w:rFonts w:hint="eastAsia"/>
                <w:highlight w:val="none"/>
              </w:rPr>
              <w:t>备注</w:t>
            </w:r>
          </w:p>
        </w:tc>
      </w:tr>
      <w:tr w14:paraId="3A84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EA600F2">
            <w:pPr>
              <w:spacing w:line="360" w:lineRule="auto"/>
              <w:ind w:firstLine="440" w:firstLineChars="200"/>
              <w:jc w:val="both"/>
              <w:rPr>
                <w:highlight w:val="none"/>
              </w:rPr>
            </w:pPr>
          </w:p>
        </w:tc>
        <w:tc>
          <w:tcPr>
            <w:tcW w:w="1623" w:type="dxa"/>
          </w:tcPr>
          <w:p w14:paraId="2A8A4258">
            <w:pPr>
              <w:spacing w:line="360" w:lineRule="auto"/>
              <w:ind w:firstLine="440" w:firstLineChars="200"/>
              <w:jc w:val="both"/>
              <w:rPr>
                <w:highlight w:val="none"/>
              </w:rPr>
            </w:pPr>
          </w:p>
        </w:tc>
        <w:tc>
          <w:tcPr>
            <w:tcW w:w="902" w:type="dxa"/>
          </w:tcPr>
          <w:p w14:paraId="7A606BE4">
            <w:pPr>
              <w:spacing w:line="360" w:lineRule="auto"/>
              <w:ind w:firstLine="440" w:firstLineChars="200"/>
              <w:jc w:val="both"/>
              <w:rPr>
                <w:highlight w:val="none"/>
              </w:rPr>
            </w:pPr>
          </w:p>
        </w:tc>
        <w:tc>
          <w:tcPr>
            <w:tcW w:w="902" w:type="dxa"/>
          </w:tcPr>
          <w:p w14:paraId="675DCF2D">
            <w:pPr>
              <w:spacing w:line="360" w:lineRule="auto"/>
              <w:ind w:firstLine="440" w:firstLineChars="200"/>
              <w:jc w:val="both"/>
              <w:rPr>
                <w:highlight w:val="none"/>
              </w:rPr>
            </w:pPr>
          </w:p>
        </w:tc>
        <w:tc>
          <w:tcPr>
            <w:tcW w:w="1071" w:type="dxa"/>
          </w:tcPr>
          <w:p w14:paraId="3BB258ED">
            <w:pPr>
              <w:spacing w:line="360" w:lineRule="auto"/>
              <w:ind w:firstLine="440" w:firstLineChars="200"/>
              <w:jc w:val="both"/>
              <w:rPr>
                <w:highlight w:val="none"/>
              </w:rPr>
            </w:pPr>
          </w:p>
        </w:tc>
        <w:tc>
          <w:tcPr>
            <w:tcW w:w="1250" w:type="dxa"/>
          </w:tcPr>
          <w:p w14:paraId="7E296E8B">
            <w:pPr>
              <w:spacing w:line="360" w:lineRule="auto"/>
              <w:ind w:firstLine="440" w:firstLineChars="200"/>
              <w:jc w:val="both"/>
              <w:rPr>
                <w:highlight w:val="none"/>
              </w:rPr>
            </w:pPr>
          </w:p>
        </w:tc>
        <w:tc>
          <w:tcPr>
            <w:tcW w:w="1106" w:type="dxa"/>
          </w:tcPr>
          <w:p w14:paraId="50B07BE4">
            <w:pPr>
              <w:spacing w:line="360" w:lineRule="auto"/>
              <w:ind w:firstLine="440" w:firstLineChars="200"/>
              <w:jc w:val="both"/>
              <w:rPr>
                <w:highlight w:val="none"/>
              </w:rPr>
            </w:pPr>
          </w:p>
        </w:tc>
      </w:tr>
      <w:tr w14:paraId="2357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89A626C">
            <w:pPr>
              <w:spacing w:line="360" w:lineRule="auto"/>
              <w:ind w:firstLine="440" w:firstLineChars="200"/>
              <w:jc w:val="both"/>
              <w:rPr>
                <w:highlight w:val="none"/>
              </w:rPr>
            </w:pPr>
          </w:p>
        </w:tc>
        <w:tc>
          <w:tcPr>
            <w:tcW w:w="1623" w:type="dxa"/>
          </w:tcPr>
          <w:p w14:paraId="13185B21">
            <w:pPr>
              <w:spacing w:line="360" w:lineRule="auto"/>
              <w:ind w:firstLine="440" w:firstLineChars="200"/>
              <w:jc w:val="both"/>
              <w:rPr>
                <w:highlight w:val="none"/>
              </w:rPr>
            </w:pPr>
          </w:p>
        </w:tc>
        <w:tc>
          <w:tcPr>
            <w:tcW w:w="902" w:type="dxa"/>
          </w:tcPr>
          <w:p w14:paraId="31FF77B9">
            <w:pPr>
              <w:spacing w:line="360" w:lineRule="auto"/>
              <w:ind w:firstLine="440" w:firstLineChars="200"/>
              <w:jc w:val="both"/>
              <w:rPr>
                <w:highlight w:val="none"/>
              </w:rPr>
            </w:pPr>
          </w:p>
        </w:tc>
        <w:tc>
          <w:tcPr>
            <w:tcW w:w="902" w:type="dxa"/>
          </w:tcPr>
          <w:p w14:paraId="1A2B6A9D">
            <w:pPr>
              <w:spacing w:line="360" w:lineRule="auto"/>
              <w:ind w:firstLine="440" w:firstLineChars="200"/>
              <w:jc w:val="both"/>
              <w:rPr>
                <w:highlight w:val="none"/>
              </w:rPr>
            </w:pPr>
          </w:p>
        </w:tc>
        <w:tc>
          <w:tcPr>
            <w:tcW w:w="1071" w:type="dxa"/>
          </w:tcPr>
          <w:p w14:paraId="5DD1C006">
            <w:pPr>
              <w:spacing w:line="360" w:lineRule="auto"/>
              <w:ind w:firstLine="440" w:firstLineChars="200"/>
              <w:jc w:val="both"/>
              <w:rPr>
                <w:highlight w:val="none"/>
              </w:rPr>
            </w:pPr>
          </w:p>
        </w:tc>
        <w:tc>
          <w:tcPr>
            <w:tcW w:w="1250" w:type="dxa"/>
          </w:tcPr>
          <w:p w14:paraId="08B6B76D">
            <w:pPr>
              <w:spacing w:line="360" w:lineRule="auto"/>
              <w:ind w:firstLine="440" w:firstLineChars="200"/>
              <w:jc w:val="both"/>
              <w:rPr>
                <w:highlight w:val="none"/>
              </w:rPr>
            </w:pPr>
          </w:p>
        </w:tc>
        <w:tc>
          <w:tcPr>
            <w:tcW w:w="1106" w:type="dxa"/>
          </w:tcPr>
          <w:p w14:paraId="5C494508">
            <w:pPr>
              <w:spacing w:line="360" w:lineRule="auto"/>
              <w:ind w:firstLine="440" w:firstLineChars="200"/>
              <w:jc w:val="both"/>
              <w:rPr>
                <w:highlight w:val="none"/>
              </w:rPr>
            </w:pPr>
          </w:p>
        </w:tc>
      </w:tr>
      <w:tr w14:paraId="6DF41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F96B0B8">
            <w:pPr>
              <w:spacing w:line="360" w:lineRule="auto"/>
              <w:ind w:firstLine="440" w:firstLineChars="200"/>
              <w:jc w:val="both"/>
              <w:rPr>
                <w:highlight w:val="none"/>
              </w:rPr>
            </w:pPr>
          </w:p>
        </w:tc>
        <w:tc>
          <w:tcPr>
            <w:tcW w:w="1623" w:type="dxa"/>
          </w:tcPr>
          <w:p w14:paraId="1BECC7D3">
            <w:pPr>
              <w:spacing w:line="360" w:lineRule="auto"/>
              <w:ind w:firstLine="440" w:firstLineChars="200"/>
              <w:jc w:val="both"/>
              <w:rPr>
                <w:highlight w:val="none"/>
              </w:rPr>
            </w:pPr>
          </w:p>
        </w:tc>
        <w:tc>
          <w:tcPr>
            <w:tcW w:w="902" w:type="dxa"/>
          </w:tcPr>
          <w:p w14:paraId="0F678EAA">
            <w:pPr>
              <w:spacing w:line="360" w:lineRule="auto"/>
              <w:ind w:firstLine="440" w:firstLineChars="200"/>
              <w:jc w:val="both"/>
              <w:rPr>
                <w:highlight w:val="none"/>
              </w:rPr>
            </w:pPr>
          </w:p>
        </w:tc>
        <w:tc>
          <w:tcPr>
            <w:tcW w:w="902" w:type="dxa"/>
          </w:tcPr>
          <w:p w14:paraId="5980F78A">
            <w:pPr>
              <w:spacing w:line="360" w:lineRule="auto"/>
              <w:ind w:firstLine="440" w:firstLineChars="200"/>
              <w:jc w:val="both"/>
              <w:rPr>
                <w:highlight w:val="none"/>
              </w:rPr>
            </w:pPr>
          </w:p>
        </w:tc>
        <w:tc>
          <w:tcPr>
            <w:tcW w:w="1071" w:type="dxa"/>
          </w:tcPr>
          <w:p w14:paraId="113D2745">
            <w:pPr>
              <w:spacing w:line="360" w:lineRule="auto"/>
              <w:ind w:firstLine="440" w:firstLineChars="200"/>
              <w:jc w:val="both"/>
              <w:rPr>
                <w:highlight w:val="none"/>
              </w:rPr>
            </w:pPr>
          </w:p>
        </w:tc>
        <w:tc>
          <w:tcPr>
            <w:tcW w:w="1250" w:type="dxa"/>
          </w:tcPr>
          <w:p w14:paraId="63B832AA">
            <w:pPr>
              <w:spacing w:line="360" w:lineRule="auto"/>
              <w:ind w:firstLine="440" w:firstLineChars="200"/>
              <w:jc w:val="both"/>
              <w:rPr>
                <w:highlight w:val="none"/>
              </w:rPr>
            </w:pPr>
          </w:p>
        </w:tc>
        <w:tc>
          <w:tcPr>
            <w:tcW w:w="1106" w:type="dxa"/>
          </w:tcPr>
          <w:p w14:paraId="6C05E5AC">
            <w:pPr>
              <w:spacing w:line="360" w:lineRule="auto"/>
              <w:ind w:firstLine="440" w:firstLineChars="200"/>
              <w:jc w:val="both"/>
              <w:rPr>
                <w:highlight w:val="none"/>
              </w:rPr>
            </w:pPr>
          </w:p>
        </w:tc>
      </w:tr>
      <w:tr w14:paraId="3437C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756661F">
            <w:pPr>
              <w:spacing w:line="360" w:lineRule="auto"/>
              <w:ind w:firstLine="440" w:firstLineChars="200"/>
              <w:jc w:val="both"/>
              <w:rPr>
                <w:highlight w:val="none"/>
              </w:rPr>
            </w:pPr>
            <w:r>
              <w:rPr>
                <w:rFonts w:hint="eastAsia"/>
                <w:highlight w:val="none"/>
              </w:rPr>
              <w:t>合同总价款（大小写）：</w:t>
            </w:r>
          </w:p>
          <w:p w14:paraId="1C5E302B">
            <w:pPr>
              <w:spacing w:line="360" w:lineRule="auto"/>
              <w:ind w:firstLine="44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14:paraId="5474786D">
      <w:pPr>
        <w:spacing w:line="360" w:lineRule="auto"/>
        <w:ind w:firstLine="442" w:firstLineChars="200"/>
        <w:jc w:val="both"/>
        <w:rPr>
          <w:highlight w:val="none"/>
        </w:rPr>
      </w:pPr>
      <w:r>
        <w:rPr>
          <w:rFonts w:hint="eastAsia"/>
          <w:b/>
          <w:bCs/>
          <w:szCs w:val="27"/>
          <w:highlight w:val="none"/>
        </w:rPr>
        <w:t xml:space="preserve">第二条  </w:t>
      </w:r>
      <w:r>
        <w:rPr>
          <w:szCs w:val="27"/>
          <w:highlight w:val="none"/>
        </w:rPr>
        <w:t>产品的技术标准（包括质量要求），按下列第（ ）项执行：</w:t>
      </w:r>
    </w:p>
    <w:p w14:paraId="7CD2F1F3">
      <w:pPr>
        <w:spacing w:line="360" w:lineRule="auto"/>
        <w:ind w:firstLine="44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14:paraId="53BEEB15">
      <w:pPr>
        <w:spacing w:line="360" w:lineRule="auto"/>
        <w:ind w:firstLine="440" w:firstLineChars="200"/>
        <w:jc w:val="both"/>
        <w:rPr>
          <w:sz w:val="22"/>
          <w:szCs w:val="22"/>
          <w:highlight w:val="none"/>
        </w:rPr>
      </w:pPr>
      <w:r>
        <w:rPr>
          <w:rFonts w:hint="eastAsia"/>
          <w:sz w:val="22"/>
          <w:szCs w:val="22"/>
          <w:highlight w:val="none"/>
        </w:rPr>
        <w:t>乙方需保证提供的服务标准和水平应与招标采购文件规定的标准和水平相</w:t>
      </w:r>
      <w:r>
        <w:rPr>
          <w:rFonts w:hint="eastAsia"/>
          <w:sz w:val="22"/>
          <w:szCs w:val="22"/>
          <w:highlight w:val="none"/>
          <w:lang w:val="en-US" w:eastAsia="zh-CN"/>
        </w:rPr>
        <w:t>一致供应商须在响应文件中出具保 证书，否则视为投标无效</w:t>
      </w:r>
      <w:r>
        <w:rPr>
          <w:rFonts w:hint="eastAsia"/>
          <w:sz w:val="22"/>
          <w:szCs w:val="22"/>
          <w:highlight w:val="none"/>
        </w:rPr>
        <w:t>。若技术标准中无相应规定，所投货物应符合相应的国际标准或原产地国家有关部门最新颁布的相应的正式标准。</w:t>
      </w:r>
    </w:p>
    <w:p w14:paraId="28F352F5">
      <w:pPr>
        <w:spacing w:line="360" w:lineRule="auto"/>
        <w:ind w:firstLine="440" w:firstLineChars="200"/>
        <w:jc w:val="both"/>
        <w:rPr>
          <w:szCs w:val="27"/>
          <w:highlight w:val="none"/>
          <w:u w:val="single"/>
        </w:rPr>
      </w:pPr>
      <w:r>
        <w:rPr>
          <w:rFonts w:hint="eastAsia"/>
          <w:szCs w:val="27"/>
          <w:highlight w:val="none"/>
        </w:rPr>
        <w:t>进口产品的质量标准为</w:t>
      </w:r>
      <w:r>
        <w:rPr>
          <w:rFonts w:hint="eastAsia"/>
          <w:szCs w:val="27"/>
          <w:highlight w:val="none"/>
          <w:u w:val="single"/>
        </w:rPr>
        <w:t xml:space="preserve">                                             </w:t>
      </w:r>
      <w:r>
        <w:rPr>
          <w:rFonts w:hint="eastAsia"/>
          <w:highlight w:val="none"/>
        </w:rPr>
        <w:t>。</w:t>
      </w:r>
    </w:p>
    <w:p w14:paraId="5B612FC4">
      <w:pPr>
        <w:pStyle w:val="12"/>
        <w:spacing w:line="360" w:lineRule="auto"/>
        <w:ind w:left="0" w:firstLine="480" w:firstLineChars="200"/>
        <w:jc w:val="both"/>
        <w:rPr>
          <w:rFonts w:ascii="宋体" w:hAnsi="宋体" w:eastAsia="宋体"/>
          <w:sz w:val="24"/>
          <w:highlight w:val="none"/>
        </w:rPr>
      </w:pPr>
      <w:r>
        <w:rPr>
          <w:rFonts w:hint="eastAsia" w:ascii="宋体" w:hAnsi="宋体" w:eastAsia="宋体"/>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F921CD7">
      <w:pPr>
        <w:pStyle w:val="12"/>
        <w:spacing w:line="360" w:lineRule="auto"/>
        <w:ind w:left="0" w:firstLine="482" w:firstLineChars="200"/>
        <w:jc w:val="both"/>
        <w:rPr>
          <w:rFonts w:ascii="宋体" w:hAnsi="宋体" w:eastAsia="宋体"/>
          <w:sz w:val="24"/>
          <w:highlight w:val="none"/>
        </w:rPr>
      </w:pPr>
      <w:r>
        <w:rPr>
          <w:rFonts w:hint="eastAsia" w:ascii="宋体" w:hAnsi="宋体" w:eastAsia="宋体"/>
          <w:b/>
          <w:bCs/>
          <w:sz w:val="24"/>
          <w:highlight w:val="none"/>
        </w:rPr>
        <w:t>第</w:t>
      </w:r>
      <w:r>
        <w:rPr>
          <w:rFonts w:ascii="宋体" w:hAnsi="宋体" w:eastAsia="宋体"/>
          <w:b/>
          <w:bCs/>
          <w:sz w:val="24"/>
          <w:highlight w:val="none"/>
        </w:rPr>
        <w:t>三</w:t>
      </w:r>
      <w:r>
        <w:rPr>
          <w:rFonts w:hint="eastAsia" w:ascii="宋体" w:hAnsi="宋体" w:eastAsia="宋体"/>
          <w:b/>
          <w:bCs/>
          <w:sz w:val="24"/>
          <w:highlight w:val="none"/>
        </w:rPr>
        <w:t>条</w:t>
      </w:r>
      <w:r>
        <w:rPr>
          <w:rFonts w:ascii="宋体" w:hAnsi="宋体" w:eastAsia="宋体"/>
          <w:sz w:val="24"/>
          <w:highlight w:val="none"/>
        </w:rPr>
        <w:t>产品的包装标准和包装物的供应与回收</w:t>
      </w:r>
      <w:r>
        <w:rPr>
          <w:rFonts w:ascii="宋体" w:hAnsi="宋体" w:eastAsia="宋体"/>
          <w:sz w:val="24"/>
          <w:highlight w:val="none"/>
          <w:u w:val="single"/>
        </w:rPr>
        <w:t>       </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06F2A39C">
      <w:pPr>
        <w:spacing w:line="360" w:lineRule="auto"/>
        <w:ind w:firstLine="440" w:firstLineChars="200"/>
        <w:jc w:val="both"/>
        <w:rPr>
          <w:szCs w:val="27"/>
          <w:highlight w:val="none"/>
        </w:rPr>
      </w:pPr>
      <w:r>
        <w:rPr>
          <w:szCs w:val="27"/>
          <w:highlight w:val="none"/>
        </w:rPr>
        <w:t>（国家或</w:t>
      </w:r>
      <w:r>
        <w:rPr>
          <w:rFonts w:hint="eastAsia"/>
          <w:szCs w:val="27"/>
          <w:highlight w:val="none"/>
        </w:rPr>
        <w:t>行业</w:t>
      </w:r>
      <w:r>
        <w:rPr>
          <w:szCs w:val="27"/>
          <w:highlight w:val="none"/>
        </w:rPr>
        <w:t>主管部门有技术规定的，按技术规定执行；国家与</w:t>
      </w:r>
      <w:r>
        <w:rPr>
          <w:rFonts w:hint="eastAsia"/>
          <w:szCs w:val="27"/>
          <w:highlight w:val="none"/>
        </w:rPr>
        <w:t>行业</w:t>
      </w:r>
      <w:r>
        <w:rPr>
          <w:szCs w:val="27"/>
          <w:highlight w:val="none"/>
        </w:rPr>
        <w:t>主管部门无技术规定的，由甲乙双方商定。）</w:t>
      </w:r>
    </w:p>
    <w:p w14:paraId="716B1AAF">
      <w:pPr>
        <w:spacing w:line="360" w:lineRule="auto"/>
        <w:ind w:firstLine="440" w:firstLineChars="200"/>
        <w:jc w:val="both"/>
        <w:rPr>
          <w:highlight w:val="none"/>
        </w:rPr>
      </w:pPr>
      <w:r>
        <w:rPr>
          <w:rFonts w:hint="eastAsia"/>
          <w:szCs w:val="27"/>
          <w:highlight w:val="none"/>
        </w:rPr>
        <w:t>【注：合同中约定的包装标准应与乙方在投标文件中承诺的一致，且投标文件应作为合同附件与合同具有同等法律效力。】</w:t>
      </w:r>
    </w:p>
    <w:p w14:paraId="3A422C1F">
      <w:pPr>
        <w:spacing w:line="360" w:lineRule="auto"/>
        <w:ind w:firstLine="442" w:firstLineChars="200"/>
        <w:jc w:val="both"/>
        <w:rPr>
          <w:szCs w:val="27"/>
          <w:highlight w:val="none"/>
        </w:rPr>
      </w:pPr>
      <w:r>
        <w:rPr>
          <w:rFonts w:hint="eastAsia"/>
          <w:b/>
          <w:bCs/>
          <w:szCs w:val="27"/>
          <w:highlight w:val="none"/>
        </w:rPr>
        <w:t xml:space="preserve">第四条  </w:t>
      </w:r>
      <w:r>
        <w:rPr>
          <w:szCs w:val="27"/>
          <w:highlight w:val="none"/>
        </w:rPr>
        <w:t>产品的交货方法、到货地点</w:t>
      </w:r>
      <w:r>
        <w:rPr>
          <w:rFonts w:hint="eastAsia"/>
          <w:szCs w:val="27"/>
          <w:highlight w:val="none"/>
        </w:rPr>
        <w:t>和交货期限</w:t>
      </w:r>
    </w:p>
    <w:p w14:paraId="4828D346">
      <w:pPr>
        <w:spacing w:line="360" w:lineRule="auto"/>
        <w:ind w:firstLine="440" w:firstLineChars="200"/>
        <w:jc w:val="both"/>
        <w:rPr>
          <w:highlight w:val="none"/>
        </w:rPr>
      </w:pPr>
      <w:r>
        <w:rPr>
          <w:rFonts w:hint="eastAsia"/>
          <w:szCs w:val="27"/>
          <w:highlight w:val="none"/>
        </w:rPr>
        <w:t>1.</w:t>
      </w:r>
      <w:r>
        <w:rPr>
          <w:szCs w:val="27"/>
          <w:highlight w:val="none"/>
        </w:rPr>
        <w:t>交货方法，按下列第（ ）项执行：</w:t>
      </w:r>
    </w:p>
    <w:p w14:paraId="669B66F3">
      <w:pPr>
        <w:spacing w:line="360" w:lineRule="auto"/>
        <w:ind w:firstLine="440" w:firstLineChars="200"/>
        <w:jc w:val="both"/>
        <w:rPr>
          <w:highlight w:val="none"/>
        </w:rPr>
      </w:pPr>
      <w:r>
        <w:rPr>
          <w:rFonts w:hint="eastAsia"/>
          <w:szCs w:val="27"/>
          <w:highlight w:val="none"/>
        </w:rPr>
        <w:t>①</w:t>
      </w:r>
      <w:r>
        <w:rPr>
          <w:szCs w:val="27"/>
          <w:highlight w:val="none"/>
        </w:rPr>
        <w:t>乙方送货</w:t>
      </w:r>
      <w:r>
        <w:rPr>
          <w:rFonts w:hint="eastAsia"/>
          <w:szCs w:val="27"/>
          <w:highlight w:val="none"/>
        </w:rPr>
        <w:t>上门；②</w:t>
      </w:r>
      <w:r>
        <w:rPr>
          <w:szCs w:val="27"/>
          <w:highlight w:val="none"/>
        </w:rPr>
        <w:t>乙方代运；</w:t>
      </w:r>
      <w:r>
        <w:rPr>
          <w:rFonts w:hint="eastAsia"/>
          <w:szCs w:val="27"/>
          <w:highlight w:val="none"/>
        </w:rPr>
        <w:t>③</w:t>
      </w:r>
      <w:r>
        <w:rPr>
          <w:szCs w:val="27"/>
          <w:highlight w:val="none"/>
        </w:rPr>
        <w:t>甲方自提自运。</w:t>
      </w:r>
    </w:p>
    <w:p w14:paraId="3F0D1D24">
      <w:pPr>
        <w:spacing w:line="360" w:lineRule="auto"/>
        <w:ind w:firstLine="440" w:firstLineChars="200"/>
        <w:jc w:val="both"/>
        <w:rPr>
          <w:szCs w:val="27"/>
          <w:highlight w:val="none"/>
        </w:rPr>
      </w:pPr>
      <w:r>
        <w:rPr>
          <w:rFonts w:hint="eastAsia"/>
          <w:szCs w:val="27"/>
          <w:highlight w:val="none"/>
        </w:rPr>
        <w:t>2.</w:t>
      </w:r>
      <w:r>
        <w:rPr>
          <w:szCs w:val="27"/>
          <w:highlight w:val="none"/>
        </w:rPr>
        <w:t>到货地点</w:t>
      </w:r>
      <w:r>
        <w:rPr>
          <w:rFonts w:hint="eastAsia"/>
          <w:szCs w:val="27"/>
          <w:highlight w:val="none"/>
        </w:rPr>
        <w:t>：</w:t>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u w:val="single"/>
        </w:rPr>
        <w:t xml:space="preserve">                 (</w:t>
      </w:r>
      <w:r>
        <w:rPr>
          <w:rFonts w:hint="eastAsia"/>
          <w:szCs w:val="27"/>
          <w:highlight w:val="none"/>
        </w:rPr>
        <w:t>甲方指定的任何地点，安装并调试.)</w:t>
      </w:r>
    </w:p>
    <w:p w14:paraId="1FC7EE9F">
      <w:pPr>
        <w:spacing w:line="360" w:lineRule="auto"/>
        <w:ind w:firstLine="440" w:firstLineChars="200"/>
        <w:jc w:val="both"/>
        <w:rPr>
          <w:szCs w:val="27"/>
          <w:highlight w:val="none"/>
        </w:rPr>
      </w:pPr>
      <w:r>
        <w:rPr>
          <w:rFonts w:hint="eastAsia"/>
          <w:szCs w:val="27"/>
          <w:highlight w:val="none"/>
        </w:rPr>
        <w:t>3.</w:t>
      </w:r>
      <w:r>
        <w:rPr>
          <w:szCs w:val="27"/>
          <w:highlight w:val="none"/>
        </w:rPr>
        <w:t>产品</w:t>
      </w:r>
      <w:r>
        <w:rPr>
          <w:rFonts w:hint="eastAsia"/>
          <w:szCs w:val="27"/>
          <w:highlight w:val="none"/>
        </w:rPr>
        <w:t>的交货期限</w:t>
      </w:r>
      <w:r>
        <w:rPr>
          <w:szCs w:val="27"/>
          <w:highlight w:val="none"/>
          <w:u w:val="single"/>
        </w:rPr>
        <w:t>                         </w:t>
      </w:r>
      <w:r>
        <w:rPr>
          <w:szCs w:val="27"/>
          <w:highlight w:val="none"/>
        </w:rPr>
        <w:t>。</w:t>
      </w:r>
    </w:p>
    <w:p w14:paraId="6F5BCC56">
      <w:pPr>
        <w:spacing w:line="360" w:lineRule="auto"/>
        <w:ind w:firstLine="442" w:firstLineChars="200"/>
        <w:jc w:val="both"/>
        <w:rPr>
          <w:szCs w:val="27"/>
          <w:highlight w:val="none"/>
        </w:rPr>
      </w:pPr>
      <w:r>
        <w:rPr>
          <w:rFonts w:hint="eastAsia"/>
          <w:b/>
          <w:bCs/>
          <w:szCs w:val="27"/>
          <w:highlight w:val="none"/>
        </w:rPr>
        <w:t>第五条</w:t>
      </w:r>
      <w:r>
        <w:rPr>
          <w:rFonts w:hint="eastAsia"/>
          <w:szCs w:val="27"/>
          <w:highlight w:val="none"/>
        </w:rPr>
        <w:t xml:space="preserve">  合同总价款</w:t>
      </w:r>
    </w:p>
    <w:p w14:paraId="6196DF69">
      <w:pPr>
        <w:spacing w:line="360" w:lineRule="auto"/>
        <w:ind w:firstLine="440" w:firstLineChars="200"/>
        <w:jc w:val="both"/>
        <w:rPr>
          <w:szCs w:val="27"/>
          <w:highlight w:val="none"/>
          <w:u w:val="single"/>
        </w:rPr>
      </w:pPr>
      <w:r>
        <w:rPr>
          <w:rFonts w:hint="eastAsia"/>
          <w:szCs w:val="27"/>
          <w:highlight w:val="none"/>
        </w:rPr>
        <w:t>合同总价款（大小写）：</w:t>
      </w:r>
      <w:r>
        <w:rPr>
          <w:rFonts w:hint="eastAsia"/>
          <w:szCs w:val="27"/>
          <w:highlight w:val="none"/>
          <w:u w:val="single"/>
        </w:rPr>
        <w:t xml:space="preserve">                        </w:t>
      </w:r>
    </w:p>
    <w:p w14:paraId="2A8CD29E">
      <w:pPr>
        <w:numPr>
          <w:ilvl w:val="0"/>
          <w:numId w:val="22"/>
        </w:numPr>
        <w:spacing w:line="360" w:lineRule="auto"/>
        <w:ind w:left="0" w:firstLine="440" w:firstLineChars="200"/>
        <w:jc w:val="both"/>
        <w:rPr>
          <w:highlight w:val="none"/>
        </w:rPr>
      </w:pPr>
      <w:r>
        <w:rPr>
          <w:rFonts w:hint="eastAsia"/>
          <w:highlight w:val="none"/>
        </w:rPr>
        <w:t xml:space="preserve">付款条件                  </w:t>
      </w:r>
    </w:p>
    <w:p w14:paraId="65A66A46">
      <w:pPr>
        <w:spacing w:line="360" w:lineRule="auto"/>
        <w:ind w:firstLine="440" w:firstLineChars="200"/>
        <w:jc w:val="both"/>
        <w:rPr>
          <w:highlight w:val="none"/>
        </w:rPr>
      </w:pPr>
      <w:r>
        <w:rPr>
          <w:rFonts w:hint="eastAsia"/>
          <w:highlight w:val="none"/>
        </w:rPr>
        <w:t>本合同以人民币付款。</w:t>
      </w:r>
    </w:p>
    <w:p w14:paraId="1425DB7B">
      <w:pPr>
        <w:spacing w:line="360" w:lineRule="auto"/>
        <w:ind w:firstLine="440" w:firstLineChars="200"/>
        <w:jc w:val="both"/>
        <w:rPr>
          <w:highlight w:val="none"/>
        </w:rPr>
      </w:pPr>
      <w:r>
        <w:rPr>
          <w:rFonts w:hint="eastAsia"/>
          <w:highlight w:val="none"/>
        </w:rPr>
        <w:t>该项目是否实行预付款：</w:t>
      </w:r>
    </w:p>
    <w:p w14:paraId="29E461AB">
      <w:pPr>
        <w:spacing w:line="360" w:lineRule="auto"/>
        <w:ind w:firstLine="440" w:firstLineChars="200"/>
        <w:jc w:val="both"/>
        <w:rPr>
          <w:highlight w:val="none"/>
        </w:rPr>
      </w:pPr>
      <w:r>
        <w:rPr>
          <w:rFonts w:hint="eastAsia"/>
          <w:highlight w:val="none"/>
        </w:rPr>
        <w:t>实行预付款的条件和比例：</w:t>
      </w:r>
    </w:p>
    <w:p w14:paraId="0E3A9396">
      <w:pPr>
        <w:spacing w:line="360" w:lineRule="auto"/>
        <w:ind w:firstLine="440" w:firstLineChars="200"/>
        <w:jc w:val="both"/>
        <w:rPr>
          <w:highlight w:val="none"/>
        </w:rPr>
      </w:pPr>
      <w:r>
        <w:rPr>
          <w:rFonts w:hint="eastAsia"/>
          <w:highlight w:val="none"/>
        </w:rPr>
        <w:t>合同款项结算方式和支付比例：</w:t>
      </w:r>
      <w:r>
        <w:rPr>
          <w:rFonts w:hint="eastAsia"/>
          <w:highlight w:val="none"/>
          <w:lang w:val="en-US"/>
        </w:rPr>
        <w:t xml:space="preserve">   </w:t>
      </w:r>
    </w:p>
    <w:p w14:paraId="1D045F62">
      <w:pPr>
        <w:spacing w:line="360" w:lineRule="auto"/>
        <w:ind w:firstLine="440" w:firstLineChars="200"/>
        <w:jc w:val="both"/>
        <w:rPr>
          <w:b/>
          <w:bCs/>
          <w:szCs w:val="27"/>
          <w:highlight w:val="none"/>
        </w:rPr>
      </w:pPr>
      <w:r>
        <w:rPr>
          <w:rFonts w:hint="eastAsia"/>
          <w:highlight w:val="none"/>
          <w:lang w:val="en-US"/>
        </w:rPr>
        <w:t>(</w:t>
      </w:r>
      <w:r>
        <w:rPr>
          <w:rFonts w:hint="eastAsia"/>
          <w:highlight w:val="none"/>
        </w:rPr>
        <w:t>具体付款方式</w:t>
      </w:r>
      <w:r>
        <w:rPr>
          <w:rFonts w:hint="eastAsia"/>
          <w:highlight w:val="none"/>
          <w:u w:val="single"/>
        </w:rPr>
        <w:t>按投标人须知前附表以及采、购双方的具体约定</w:t>
      </w:r>
    </w:p>
    <w:p w14:paraId="6ABF970D">
      <w:pPr>
        <w:numPr>
          <w:ilvl w:val="0"/>
          <w:numId w:val="22"/>
        </w:numPr>
        <w:spacing w:line="360" w:lineRule="auto"/>
        <w:ind w:left="0" w:firstLine="440" w:firstLineChars="200"/>
        <w:jc w:val="both"/>
        <w:rPr>
          <w:szCs w:val="27"/>
          <w:highlight w:val="none"/>
        </w:rPr>
      </w:pPr>
      <w:r>
        <w:rPr>
          <w:szCs w:val="27"/>
          <w:highlight w:val="none"/>
        </w:rPr>
        <w:t>验收方法</w:t>
      </w:r>
    </w:p>
    <w:p w14:paraId="79D8114A">
      <w:pPr>
        <w:spacing w:line="360" w:lineRule="auto"/>
        <w:ind w:firstLine="440" w:firstLineChars="200"/>
        <w:jc w:val="both"/>
        <w:rPr>
          <w:szCs w:val="27"/>
          <w:highlight w:val="none"/>
        </w:rPr>
      </w:pPr>
      <w:r>
        <w:rPr>
          <w:rFonts w:hint="eastAsia"/>
          <w:szCs w:val="27"/>
          <w:highlight w:val="none"/>
        </w:rPr>
        <w:t>1.乙方安装调试后，在</w:t>
      </w:r>
      <w:r>
        <w:rPr>
          <w:rFonts w:hint="eastAsia"/>
          <w:szCs w:val="27"/>
          <w:highlight w:val="none"/>
          <w:u w:val="single"/>
        </w:rPr>
        <w:t xml:space="preserve">      </w:t>
      </w:r>
      <w:r>
        <w:rPr>
          <w:rFonts w:hint="eastAsia"/>
          <w:szCs w:val="27"/>
          <w:highlight w:val="none"/>
        </w:rPr>
        <w:t>天内通知甲方组织验收，采购代理机构保留受托参与本项目验收的权利。验收不合格的，乙方应负责重新提供达到本合同约定的质量要求的产品。</w:t>
      </w:r>
    </w:p>
    <w:p w14:paraId="7D704E13">
      <w:pPr>
        <w:pStyle w:val="10"/>
        <w:spacing w:line="360" w:lineRule="auto"/>
        <w:ind w:firstLine="480" w:firstLineChars="200"/>
        <w:jc w:val="both"/>
        <w:rPr>
          <w:rFonts w:ascii="宋体" w:eastAsia="宋体"/>
          <w:sz w:val="24"/>
          <w:szCs w:val="27"/>
          <w:highlight w:val="none"/>
        </w:rPr>
      </w:pPr>
      <w:r>
        <w:rPr>
          <w:rFonts w:hint="eastAsia" w:ascii="宋体"/>
          <w:sz w:val="24"/>
          <w:szCs w:val="27"/>
          <w:highlight w:val="none"/>
        </w:rPr>
        <w:t>2.</w:t>
      </w:r>
      <w:r>
        <w:rPr>
          <w:rFonts w:hint="eastAsia" w:ascii="宋体" w:eastAsia="宋体"/>
          <w:sz w:val="24"/>
          <w:szCs w:val="27"/>
          <w:highlight w:val="none"/>
        </w:rPr>
        <w:t>甲、乙双方应严格履行合同有关条款，如果验收过程中发现乙方在没有征得采购人同意的情况下擅自变更合同标的物，将拒绝通过验收，由此引起的一切后果及损失由乙方承担。</w:t>
      </w:r>
    </w:p>
    <w:p w14:paraId="551ED936">
      <w:pPr>
        <w:pStyle w:val="10"/>
        <w:spacing w:line="360" w:lineRule="auto"/>
        <w:ind w:firstLine="480" w:firstLineChars="200"/>
        <w:jc w:val="both"/>
        <w:rPr>
          <w:rFonts w:ascii="宋体" w:eastAsia="宋体"/>
          <w:sz w:val="24"/>
          <w:szCs w:val="27"/>
          <w:highlight w:val="none"/>
        </w:rPr>
      </w:pPr>
      <w:r>
        <w:rPr>
          <w:rFonts w:hint="eastAsia" w:ascii="宋体"/>
          <w:sz w:val="24"/>
          <w:szCs w:val="27"/>
          <w:highlight w:val="none"/>
        </w:rPr>
        <w:t>3.</w:t>
      </w:r>
      <w:r>
        <w:rPr>
          <w:rFonts w:hint="eastAsia" w:ascii="宋体" w:eastAsia="宋体"/>
          <w:sz w:val="24"/>
          <w:szCs w:val="27"/>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0A82C03">
      <w:pPr>
        <w:pStyle w:val="10"/>
        <w:spacing w:line="360" w:lineRule="auto"/>
        <w:ind w:firstLine="480" w:firstLineChars="200"/>
        <w:jc w:val="both"/>
        <w:rPr>
          <w:rFonts w:ascii="宋体" w:eastAsia="宋体"/>
          <w:sz w:val="24"/>
          <w:szCs w:val="27"/>
          <w:highlight w:val="none"/>
          <w:lang w:val="en-US"/>
        </w:rPr>
      </w:pPr>
      <w:r>
        <w:rPr>
          <w:rFonts w:hint="eastAsia" w:ascii="宋体" w:eastAsia="宋体"/>
          <w:sz w:val="24"/>
          <w:szCs w:val="27"/>
          <w:highlight w:val="none"/>
          <w:lang w:val="en-US"/>
        </w:rPr>
        <w:t>4、甲方视情况可以邀请参加本项目的其他投标人或者第三方机构参与验收，参与验收的投标人或者第三方机构的意见作为验收书的参考资料一并存档。</w:t>
      </w:r>
    </w:p>
    <w:p w14:paraId="183F9D81">
      <w:pPr>
        <w:pStyle w:val="10"/>
        <w:spacing w:line="360" w:lineRule="auto"/>
        <w:ind w:firstLine="480" w:firstLineChars="200"/>
        <w:jc w:val="both"/>
        <w:rPr>
          <w:rFonts w:ascii="宋体" w:eastAsia="宋体"/>
          <w:sz w:val="24"/>
          <w:szCs w:val="27"/>
          <w:highlight w:val="none"/>
        </w:rPr>
      </w:pPr>
      <w:r>
        <w:rPr>
          <w:rFonts w:hint="eastAsia" w:ascii="宋体" w:eastAsia="宋体"/>
          <w:sz w:val="24"/>
          <w:szCs w:val="27"/>
          <w:highlight w:val="none"/>
          <w:lang w:val="en-US"/>
        </w:rPr>
        <w:t xml:space="preserve">   </w:t>
      </w:r>
      <w:r>
        <w:rPr>
          <w:rFonts w:hint="eastAsia" w:ascii="宋体" w:eastAsia="宋体"/>
          <w:sz w:val="24"/>
          <w:szCs w:val="27"/>
          <w:highlight w:val="none"/>
        </w:rPr>
        <w:t>涉及安全、消防、环保等其他需要由质检或行业主管部门进行验收的项目，必须邀请相关部门或相关专家参与验收。</w:t>
      </w:r>
    </w:p>
    <w:p w14:paraId="0E3DE94B">
      <w:pPr>
        <w:pStyle w:val="10"/>
        <w:spacing w:line="360" w:lineRule="auto"/>
        <w:ind w:firstLine="480" w:firstLineChars="200"/>
        <w:jc w:val="both"/>
        <w:rPr>
          <w:rFonts w:ascii="宋体" w:eastAsia="宋体"/>
          <w:b/>
          <w:bCs/>
          <w:sz w:val="24"/>
          <w:highlight w:val="none"/>
          <w:u w:val="single"/>
        </w:rPr>
      </w:pPr>
      <w:r>
        <w:rPr>
          <w:rFonts w:hint="eastAsia" w:ascii="宋体" w:eastAsia="宋体"/>
          <w:sz w:val="24"/>
          <w:szCs w:val="27"/>
          <w:highlight w:val="none"/>
        </w:rPr>
        <w:t>检测、验收费用承担方式：</w:t>
      </w:r>
    </w:p>
    <w:p w14:paraId="29295C3F">
      <w:pPr>
        <w:spacing w:line="360" w:lineRule="auto"/>
        <w:ind w:firstLine="442" w:firstLineChars="200"/>
        <w:jc w:val="both"/>
        <w:rPr>
          <w:highlight w:val="none"/>
        </w:rPr>
      </w:pPr>
      <w:r>
        <w:rPr>
          <w:b/>
          <w:bCs/>
          <w:szCs w:val="27"/>
          <w:highlight w:val="none"/>
        </w:rPr>
        <w:t>第八条 </w:t>
      </w:r>
      <w:r>
        <w:rPr>
          <w:szCs w:val="27"/>
          <w:highlight w:val="none"/>
        </w:rPr>
        <w:t xml:space="preserve"> 对产品提出异议的时间和办法</w:t>
      </w:r>
    </w:p>
    <w:p w14:paraId="307A245D">
      <w:pPr>
        <w:spacing w:line="360" w:lineRule="auto"/>
        <w:ind w:firstLine="440" w:firstLineChars="200"/>
        <w:jc w:val="both"/>
        <w:rPr>
          <w:highlight w:val="none"/>
        </w:rPr>
      </w:pPr>
      <w:r>
        <w:rPr>
          <w:rFonts w:hint="eastAsia"/>
          <w:szCs w:val="27"/>
          <w:highlight w:val="none"/>
        </w:rPr>
        <w:t>1.</w:t>
      </w:r>
      <w:r>
        <w:rPr>
          <w:szCs w:val="27"/>
          <w:highlight w:val="none"/>
        </w:rPr>
        <w:t>甲方在验收中，如果发现产品不</w:t>
      </w:r>
      <w:r>
        <w:rPr>
          <w:rFonts w:hint="eastAsia"/>
          <w:szCs w:val="27"/>
          <w:highlight w:val="none"/>
        </w:rPr>
        <w:t>符合合同约定的</w:t>
      </w:r>
      <w:r>
        <w:rPr>
          <w:szCs w:val="27"/>
          <w:highlight w:val="none"/>
        </w:rPr>
        <w:t>，应一面妥为保管，一面在</w:t>
      </w:r>
      <w:r>
        <w:rPr>
          <w:szCs w:val="27"/>
          <w:highlight w:val="none"/>
          <w:u w:val="single"/>
        </w:rPr>
        <w:t xml:space="preserve">         </w:t>
      </w:r>
      <w:r>
        <w:rPr>
          <w:rFonts w:hint="eastAsia"/>
          <w:szCs w:val="27"/>
          <w:highlight w:val="none"/>
        </w:rPr>
        <w:t>工作日</w:t>
      </w:r>
      <w:r>
        <w:rPr>
          <w:szCs w:val="27"/>
          <w:highlight w:val="none"/>
        </w:rPr>
        <w:t>内向乙方</w:t>
      </w:r>
      <w:r>
        <w:rPr>
          <w:rFonts w:hint="eastAsia"/>
          <w:szCs w:val="27"/>
          <w:highlight w:val="none"/>
        </w:rPr>
        <w:t>书面</w:t>
      </w:r>
      <w:r>
        <w:rPr>
          <w:szCs w:val="27"/>
          <w:highlight w:val="none"/>
        </w:rPr>
        <w:t>提出异议</w:t>
      </w:r>
      <w:r>
        <w:rPr>
          <w:rFonts w:hint="eastAsia"/>
          <w:szCs w:val="27"/>
          <w:highlight w:val="none"/>
        </w:rPr>
        <w:t>，并抄送采购代理机构，具体说明产品</w:t>
      </w:r>
      <w:r>
        <w:rPr>
          <w:szCs w:val="27"/>
          <w:highlight w:val="none"/>
        </w:rPr>
        <w:t>不符合规定的</w:t>
      </w:r>
      <w:r>
        <w:rPr>
          <w:rFonts w:hint="eastAsia"/>
          <w:szCs w:val="27"/>
          <w:highlight w:val="none"/>
        </w:rPr>
        <w:t>内容并附相关验收材料，同时</w:t>
      </w:r>
      <w:r>
        <w:rPr>
          <w:szCs w:val="27"/>
          <w:highlight w:val="none"/>
        </w:rPr>
        <w:t>提出不符合规定产品的处理意见。</w:t>
      </w:r>
    </w:p>
    <w:p w14:paraId="432539FE">
      <w:pPr>
        <w:spacing w:line="360" w:lineRule="auto"/>
        <w:ind w:firstLine="440" w:firstLineChars="200"/>
        <w:jc w:val="both"/>
        <w:rPr>
          <w:highlight w:val="none"/>
        </w:rPr>
      </w:pPr>
      <w:r>
        <w:rPr>
          <w:rFonts w:hint="eastAsia"/>
          <w:szCs w:val="27"/>
          <w:highlight w:val="none"/>
        </w:rPr>
        <w:t>2.</w:t>
      </w:r>
      <w:r>
        <w:rPr>
          <w:szCs w:val="27"/>
          <w:highlight w:val="none"/>
        </w:rPr>
        <w:t>甲方因使用、保管、保养不善等造成产品质量下降的，不得提出异议。</w:t>
      </w:r>
    </w:p>
    <w:p w14:paraId="6F14A1FB">
      <w:pPr>
        <w:spacing w:line="360" w:lineRule="auto"/>
        <w:ind w:firstLine="440" w:firstLineChars="200"/>
        <w:jc w:val="both"/>
        <w:rPr>
          <w:highlight w:val="none"/>
        </w:rPr>
      </w:pPr>
      <w:r>
        <w:rPr>
          <w:rFonts w:hint="eastAsia"/>
          <w:szCs w:val="27"/>
          <w:highlight w:val="none"/>
        </w:rPr>
        <w:t>3.</w:t>
      </w:r>
      <w:r>
        <w:rPr>
          <w:szCs w:val="27"/>
          <w:highlight w:val="none"/>
        </w:rPr>
        <w:t>乙方在接到</w:t>
      </w:r>
      <w:r>
        <w:rPr>
          <w:rFonts w:hint="eastAsia"/>
          <w:szCs w:val="27"/>
          <w:highlight w:val="none"/>
        </w:rPr>
        <w:t>甲</w:t>
      </w:r>
      <w:r>
        <w:rPr>
          <w:szCs w:val="27"/>
          <w:highlight w:val="none"/>
        </w:rPr>
        <w:t>方异议后，应在</w:t>
      </w:r>
      <w:r>
        <w:rPr>
          <w:rFonts w:hint="eastAsia"/>
          <w:szCs w:val="27"/>
          <w:highlight w:val="none"/>
        </w:rPr>
        <w:t xml:space="preserve"> </w:t>
      </w:r>
      <w:r>
        <w:rPr>
          <w:szCs w:val="27"/>
          <w:highlight w:val="none"/>
          <w:u w:val="single"/>
        </w:rPr>
        <w:t xml:space="preserve">       </w:t>
      </w:r>
      <w:r>
        <w:rPr>
          <w:rFonts w:hint="eastAsia"/>
          <w:szCs w:val="27"/>
          <w:highlight w:val="none"/>
        </w:rPr>
        <w:t xml:space="preserve"> 工作日</w:t>
      </w:r>
      <w:r>
        <w:rPr>
          <w:szCs w:val="27"/>
          <w:highlight w:val="none"/>
        </w:rPr>
        <w:t>内负责处理，否则，即视为默认甲方提出的异议和处理意见。</w:t>
      </w:r>
    </w:p>
    <w:p w14:paraId="3691193B">
      <w:pPr>
        <w:spacing w:line="360" w:lineRule="auto"/>
        <w:ind w:firstLine="442" w:firstLineChars="200"/>
        <w:jc w:val="both"/>
        <w:rPr>
          <w:szCs w:val="27"/>
          <w:highlight w:val="none"/>
        </w:rPr>
      </w:pPr>
      <w:r>
        <w:rPr>
          <w:rFonts w:hint="eastAsia"/>
          <w:b/>
          <w:bCs/>
          <w:szCs w:val="27"/>
          <w:highlight w:val="none"/>
        </w:rPr>
        <w:t>第九条</w:t>
      </w:r>
      <w:r>
        <w:rPr>
          <w:rFonts w:hint="eastAsia"/>
          <w:szCs w:val="27"/>
          <w:highlight w:val="none"/>
        </w:rPr>
        <w:t xml:space="preserve">  乙方应提供完善周到的技术支持和售后服务，否则甲方视情节轻重从乙方的质量保证金中扣除部分或全部补偿甲方。</w:t>
      </w:r>
    </w:p>
    <w:p w14:paraId="2BDBFE4B">
      <w:pPr>
        <w:spacing w:line="360" w:lineRule="auto"/>
        <w:ind w:firstLine="440" w:firstLineChars="200"/>
        <w:jc w:val="both"/>
        <w:rPr>
          <w:szCs w:val="27"/>
          <w:highlight w:val="none"/>
        </w:rPr>
      </w:pPr>
      <w:r>
        <w:rPr>
          <w:rFonts w:hint="eastAsia"/>
          <w:szCs w:val="27"/>
          <w:highlight w:val="none"/>
        </w:rPr>
        <w:t>1.保修</w:t>
      </w:r>
    </w:p>
    <w:p w14:paraId="45A35C57">
      <w:pPr>
        <w:spacing w:line="360" w:lineRule="auto"/>
        <w:ind w:firstLine="440" w:firstLineChars="200"/>
        <w:jc w:val="both"/>
        <w:rPr>
          <w:szCs w:val="27"/>
          <w:highlight w:val="none"/>
        </w:rPr>
      </w:pPr>
      <w:r>
        <w:rPr>
          <w:rFonts w:hint="eastAsia"/>
          <w:szCs w:val="27"/>
          <w:highlight w:val="none"/>
        </w:rPr>
        <w:t>乙方对其所提供的货物免费保修</w:t>
      </w:r>
      <w:r>
        <w:rPr>
          <w:rFonts w:hint="eastAsia"/>
          <w:szCs w:val="27"/>
          <w:highlight w:val="none"/>
          <w:u w:val="single"/>
        </w:rPr>
        <w:t xml:space="preserve">      </w:t>
      </w:r>
      <w:r>
        <w:rPr>
          <w:rFonts w:hint="eastAsia"/>
          <w:szCs w:val="27"/>
          <w:highlight w:val="none"/>
        </w:rPr>
        <w:t>年，保修期从</w:t>
      </w:r>
      <w:r>
        <w:rPr>
          <w:rFonts w:hint="eastAsia"/>
          <w:szCs w:val="27"/>
          <w:highlight w:val="none"/>
          <w:u w:val="single"/>
        </w:rPr>
        <w:t xml:space="preserve">             </w:t>
      </w:r>
      <w:r>
        <w:rPr>
          <w:rFonts w:hint="eastAsia"/>
          <w:szCs w:val="27"/>
          <w:highlight w:val="none"/>
        </w:rPr>
        <w:t>开始。乙方应在接到报修通知后</w:t>
      </w:r>
      <w:r>
        <w:rPr>
          <w:rFonts w:hint="eastAsia"/>
          <w:szCs w:val="27"/>
          <w:highlight w:val="none"/>
          <w:u w:val="single"/>
        </w:rPr>
        <w:t xml:space="preserve">      </w:t>
      </w:r>
      <w:r>
        <w:rPr>
          <w:rFonts w:hint="eastAsia"/>
          <w:szCs w:val="27"/>
          <w:highlight w:val="none"/>
        </w:rPr>
        <w:t>天内上门维修，负责更换有瑕疵的货物、部件或提供相应的质量保证期内的服务。由此造成的损失，甲方保留索赔的权利。</w:t>
      </w:r>
    </w:p>
    <w:p w14:paraId="1ADE4032">
      <w:pPr>
        <w:spacing w:line="360" w:lineRule="auto"/>
        <w:ind w:firstLine="440" w:firstLineChars="200"/>
        <w:jc w:val="both"/>
        <w:rPr>
          <w:szCs w:val="27"/>
          <w:highlight w:val="none"/>
        </w:rPr>
      </w:pPr>
      <w:r>
        <w:rPr>
          <w:rFonts w:hint="eastAsia"/>
          <w:szCs w:val="27"/>
          <w:highlight w:val="none"/>
        </w:rPr>
        <w:t>如果乙方在收到报修通知后</w:t>
      </w:r>
      <w:r>
        <w:rPr>
          <w:rFonts w:hint="eastAsia"/>
          <w:szCs w:val="27"/>
          <w:highlight w:val="none"/>
          <w:u w:val="single"/>
        </w:rPr>
        <w:t xml:space="preserve">      </w:t>
      </w:r>
      <w:r>
        <w:rPr>
          <w:rFonts w:hint="eastAsia"/>
          <w:szCs w:val="27"/>
          <w:highlight w:val="none"/>
        </w:rPr>
        <w:t>天内没有弥补缺陷，甲方可采取必要的补救措施，但费用和风险由乙方承担。</w:t>
      </w:r>
    </w:p>
    <w:p w14:paraId="66960B83">
      <w:pPr>
        <w:spacing w:line="360" w:lineRule="auto"/>
        <w:ind w:firstLine="440" w:firstLineChars="200"/>
        <w:jc w:val="both"/>
        <w:rPr>
          <w:szCs w:val="27"/>
          <w:highlight w:val="none"/>
        </w:rPr>
      </w:pPr>
      <w:r>
        <w:rPr>
          <w:rFonts w:hint="eastAsia"/>
          <w:szCs w:val="27"/>
          <w:highlight w:val="none"/>
        </w:rPr>
        <w:t>2.维修</w:t>
      </w:r>
    </w:p>
    <w:p w14:paraId="1673C6C4">
      <w:pPr>
        <w:pStyle w:val="12"/>
        <w:spacing w:line="360" w:lineRule="auto"/>
        <w:ind w:left="0" w:firstLine="480" w:firstLineChars="200"/>
        <w:jc w:val="both"/>
        <w:rPr>
          <w:rFonts w:ascii="宋体" w:hAnsi="宋体" w:eastAsia="宋体"/>
          <w:sz w:val="24"/>
          <w:highlight w:val="none"/>
        </w:rPr>
      </w:pPr>
      <w:r>
        <w:rPr>
          <w:rFonts w:hint="eastAsia" w:ascii="宋体" w:hAnsi="宋体" w:eastAsia="宋体"/>
          <w:sz w:val="24"/>
          <w:highlight w:val="none"/>
        </w:rPr>
        <w:t>保修期届满后，乙方应对其提供的货物负有维修义务，但所涉及的费用由甲方承担。</w:t>
      </w:r>
    </w:p>
    <w:p w14:paraId="2EF8EDE0">
      <w:pPr>
        <w:spacing w:line="360" w:lineRule="auto"/>
        <w:ind w:firstLine="442" w:firstLineChars="200"/>
        <w:jc w:val="both"/>
        <w:rPr>
          <w:highlight w:val="none"/>
        </w:rPr>
      </w:pPr>
      <w:r>
        <w:rPr>
          <w:b/>
          <w:bCs/>
          <w:szCs w:val="27"/>
          <w:highlight w:val="none"/>
        </w:rPr>
        <w:t>第</w:t>
      </w:r>
      <w:r>
        <w:rPr>
          <w:rFonts w:hint="eastAsia"/>
          <w:b/>
          <w:bCs/>
          <w:szCs w:val="27"/>
          <w:highlight w:val="none"/>
        </w:rPr>
        <w:t>十</w:t>
      </w:r>
      <w:r>
        <w:rPr>
          <w:b/>
          <w:bCs/>
          <w:szCs w:val="27"/>
          <w:highlight w:val="none"/>
        </w:rPr>
        <w:t>条</w:t>
      </w:r>
      <w:r>
        <w:rPr>
          <w:szCs w:val="27"/>
          <w:highlight w:val="none"/>
        </w:rPr>
        <w:t>  乙方的违约责任</w:t>
      </w:r>
    </w:p>
    <w:p w14:paraId="4AC99F33">
      <w:pPr>
        <w:spacing w:line="360" w:lineRule="auto"/>
        <w:ind w:firstLine="440" w:firstLineChars="200"/>
        <w:jc w:val="both"/>
        <w:rPr>
          <w:highlight w:val="none"/>
        </w:rPr>
      </w:pPr>
      <w:r>
        <w:rPr>
          <w:szCs w:val="27"/>
          <w:highlight w:val="none"/>
        </w:rPr>
        <w:t>1.乙方不能交货的，应向甲方偿付不能交货部分货款的</w:t>
      </w:r>
      <w:r>
        <w:rPr>
          <w:szCs w:val="27"/>
          <w:highlight w:val="none"/>
          <w:u w:val="single"/>
        </w:rPr>
        <w:t>      %</w:t>
      </w:r>
      <w:r>
        <w:rPr>
          <w:szCs w:val="27"/>
          <w:highlight w:val="none"/>
        </w:rPr>
        <w:t>（通用产品的幅度为</w:t>
      </w:r>
      <w:r>
        <w:rPr>
          <w:rFonts w:hint="eastAsia"/>
          <w:szCs w:val="27"/>
          <w:highlight w:val="none"/>
        </w:rPr>
        <w:t>1%－5%</w:t>
      </w:r>
      <w:r>
        <w:rPr>
          <w:szCs w:val="27"/>
          <w:highlight w:val="none"/>
        </w:rPr>
        <w:t>，专用产品的幅度为</w:t>
      </w:r>
      <w:r>
        <w:rPr>
          <w:rFonts w:hint="eastAsia"/>
          <w:szCs w:val="27"/>
          <w:highlight w:val="none"/>
        </w:rPr>
        <w:t>10%－30%</w:t>
      </w:r>
      <w:r>
        <w:rPr>
          <w:szCs w:val="27"/>
          <w:highlight w:val="none"/>
        </w:rPr>
        <w:t>）的违约金。</w:t>
      </w:r>
    </w:p>
    <w:p w14:paraId="5EA64ECA">
      <w:pPr>
        <w:spacing w:line="360" w:lineRule="auto"/>
        <w:ind w:firstLine="440" w:firstLineChars="200"/>
        <w:jc w:val="both"/>
        <w:rPr>
          <w:szCs w:val="27"/>
          <w:highlight w:val="none"/>
        </w:rPr>
      </w:pPr>
      <w:r>
        <w:rPr>
          <w:rFonts w:hint="eastAsia"/>
          <w:szCs w:val="27"/>
          <w:highlight w:val="none"/>
        </w:rPr>
        <w:t>2.</w:t>
      </w:r>
      <w:r>
        <w:rPr>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szCs w:val="27"/>
          <w:highlight w:val="none"/>
        </w:rPr>
        <w:t>乙方不能修理或者不能调换的，按不能交货处理。</w:t>
      </w:r>
    </w:p>
    <w:p w14:paraId="3E0BA9AE">
      <w:pPr>
        <w:spacing w:line="360" w:lineRule="auto"/>
        <w:ind w:firstLine="440" w:firstLineChars="200"/>
        <w:jc w:val="both"/>
        <w:rPr>
          <w:highlight w:val="none"/>
        </w:rPr>
      </w:pPr>
      <w:r>
        <w:rPr>
          <w:rFonts w:hint="eastAsia"/>
          <w:szCs w:val="27"/>
          <w:highlight w:val="none"/>
        </w:rPr>
        <w:t>3.</w:t>
      </w:r>
      <w:r>
        <w:rPr>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14:paraId="01F8CFDB">
      <w:pPr>
        <w:spacing w:line="360" w:lineRule="auto"/>
        <w:ind w:firstLine="440" w:firstLineChars="200"/>
        <w:jc w:val="both"/>
        <w:rPr>
          <w:highlight w:val="none"/>
        </w:rPr>
      </w:pPr>
      <w:r>
        <w:rPr>
          <w:rFonts w:hint="eastAsia"/>
          <w:szCs w:val="27"/>
          <w:highlight w:val="none"/>
        </w:rPr>
        <w:t>4.</w:t>
      </w:r>
      <w:r>
        <w:rPr>
          <w:rFonts w:hint="eastAsia"/>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highlight w:val="none"/>
        </w:rPr>
        <w:t>由此给甲方造成的损失由乙方承担</w:t>
      </w:r>
      <w:r>
        <w:rPr>
          <w:szCs w:val="27"/>
          <w:highlight w:val="none"/>
        </w:rPr>
        <w:t>。</w:t>
      </w:r>
    </w:p>
    <w:p w14:paraId="00F0D994">
      <w:pPr>
        <w:spacing w:line="360" w:lineRule="auto"/>
        <w:ind w:firstLine="440" w:firstLineChars="200"/>
        <w:jc w:val="both"/>
        <w:rPr>
          <w:szCs w:val="27"/>
          <w:highlight w:val="none"/>
        </w:rPr>
      </w:pPr>
      <w:r>
        <w:rPr>
          <w:rFonts w:hint="eastAsia"/>
          <w:szCs w:val="27"/>
          <w:highlight w:val="none"/>
        </w:rPr>
        <w:t>5.</w:t>
      </w:r>
      <w:r>
        <w:rPr>
          <w:szCs w:val="27"/>
          <w:highlight w:val="none"/>
        </w:rPr>
        <w:t>乙方提前交货的产品、多交的产品和不符合合同规定的产品，甲方在代保管期内实际支付的保管、保养等费用以及非因甲方保管不善而发生的损失，应当由乙方承担。</w:t>
      </w:r>
    </w:p>
    <w:p w14:paraId="61C528AB">
      <w:pPr>
        <w:spacing w:line="360" w:lineRule="auto"/>
        <w:ind w:firstLine="440" w:firstLineChars="200"/>
        <w:jc w:val="both"/>
        <w:rPr>
          <w:rFonts w:hint="default" w:eastAsia="宋体"/>
          <w:sz w:val="22"/>
          <w:szCs w:val="22"/>
          <w:highlight w:val="none"/>
          <w:lang w:val="en-US" w:eastAsia="zh-CN"/>
        </w:rPr>
      </w:pPr>
      <w:r>
        <w:rPr>
          <w:rFonts w:hint="eastAsia"/>
          <w:sz w:val="22"/>
          <w:szCs w:val="22"/>
          <w:highlight w:val="none"/>
        </w:rPr>
        <w:t>6.乙方应对其所提供的货物承担所有权担保责任，并应保证甲方在中华人民共和国内使用该货物时不侵犯第三人的知识产权。否则乙方应承担由此引起的一切法律责任及费用。</w:t>
      </w:r>
      <w:r>
        <w:rPr>
          <w:rFonts w:hint="eastAsia"/>
          <w:sz w:val="22"/>
          <w:szCs w:val="22"/>
          <w:highlight w:val="none"/>
          <w:lang w:val="en-US" w:eastAsia="zh-CN"/>
        </w:rPr>
        <w:t>须在响应文件中做出保证，否则视为无效投标。</w:t>
      </w:r>
    </w:p>
    <w:p w14:paraId="18F78491">
      <w:pPr>
        <w:spacing w:line="360" w:lineRule="auto"/>
        <w:ind w:firstLine="440" w:firstLineChars="200"/>
        <w:jc w:val="both"/>
        <w:rPr>
          <w:highlight w:val="none"/>
        </w:rPr>
      </w:pPr>
      <w:r>
        <w:rPr>
          <w:rFonts w:hint="eastAsia"/>
          <w:szCs w:val="27"/>
          <w:highlight w:val="none"/>
        </w:rPr>
        <w:t>7.任何一方未经对方同意而单方面终止合同的，应向对方赔偿相当于本合同总价款</w:t>
      </w:r>
      <w:r>
        <w:rPr>
          <w:rFonts w:hint="eastAsia"/>
          <w:szCs w:val="27"/>
          <w:highlight w:val="none"/>
          <w:u w:val="single"/>
        </w:rPr>
        <w:t xml:space="preserve">      %</w:t>
      </w:r>
      <w:r>
        <w:rPr>
          <w:rFonts w:hint="eastAsia"/>
          <w:szCs w:val="27"/>
          <w:highlight w:val="none"/>
        </w:rPr>
        <w:t>违约金。</w:t>
      </w:r>
    </w:p>
    <w:p w14:paraId="4243C107">
      <w:pPr>
        <w:spacing w:line="360" w:lineRule="auto"/>
        <w:ind w:firstLine="442" w:firstLineChars="200"/>
        <w:jc w:val="both"/>
        <w:rPr>
          <w:highlight w:val="none"/>
        </w:rPr>
      </w:pPr>
      <w:r>
        <w:rPr>
          <w:b/>
          <w:bCs/>
          <w:szCs w:val="27"/>
          <w:highlight w:val="none"/>
        </w:rPr>
        <w:t>第十</w:t>
      </w:r>
      <w:r>
        <w:rPr>
          <w:rFonts w:hint="eastAsia"/>
          <w:b/>
          <w:bCs/>
          <w:szCs w:val="27"/>
          <w:highlight w:val="none"/>
        </w:rPr>
        <w:t>一</w:t>
      </w:r>
      <w:r>
        <w:rPr>
          <w:b/>
          <w:bCs/>
          <w:szCs w:val="27"/>
          <w:highlight w:val="none"/>
        </w:rPr>
        <w:t>条</w:t>
      </w:r>
      <w:r>
        <w:rPr>
          <w:szCs w:val="27"/>
          <w:highlight w:val="none"/>
        </w:rPr>
        <w:t>  甲方的违约责任</w:t>
      </w:r>
    </w:p>
    <w:p w14:paraId="1528A426">
      <w:pPr>
        <w:spacing w:line="360" w:lineRule="auto"/>
        <w:ind w:firstLine="440" w:firstLineChars="200"/>
        <w:jc w:val="both"/>
        <w:rPr>
          <w:highlight w:val="none"/>
        </w:rPr>
      </w:pPr>
      <w:r>
        <w:rPr>
          <w:rFonts w:hint="eastAsia"/>
          <w:szCs w:val="27"/>
          <w:highlight w:val="none"/>
        </w:rPr>
        <w:t>1.</w:t>
      </w:r>
      <w:r>
        <w:rPr>
          <w:szCs w:val="27"/>
          <w:highlight w:val="none"/>
        </w:rPr>
        <w:t>甲方中途退货，应向乙方偿付退货部分货款</w:t>
      </w:r>
      <w:r>
        <w:rPr>
          <w:rFonts w:hint="eastAsia"/>
          <w:szCs w:val="27"/>
          <w:highlight w:val="none"/>
          <w:u w:val="single"/>
        </w:rPr>
        <w:t xml:space="preserve">             </w:t>
      </w:r>
      <w:r>
        <w:rPr>
          <w:rFonts w:hint="eastAsia"/>
          <w:szCs w:val="27"/>
          <w:highlight w:val="none"/>
        </w:rPr>
        <w:t>%</w:t>
      </w:r>
      <w:r>
        <w:rPr>
          <w:szCs w:val="27"/>
          <w:highlight w:val="none"/>
        </w:rPr>
        <w:t>（通用产品的幅度为1%</w:t>
      </w:r>
      <w:r>
        <w:rPr>
          <w:rFonts w:hint="eastAsia"/>
          <w:szCs w:val="27"/>
          <w:highlight w:val="none"/>
        </w:rPr>
        <w:t>~5%</w:t>
      </w:r>
      <w:r>
        <w:rPr>
          <w:szCs w:val="27"/>
          <w:highlight w:val="none"/>
        </w:rPr>
        <w:t>专用产品的幅度为</w:t>
      </w:r>
      <w:r>
        <w:rPr>
          <w:rFonts w:hint="eastAsia"/>
          <w:szCs w:val="27"/>
          <w:highlight w:val="none"/>
        </w:rPr>
        <w:t>15%-30%</w:t>
      </w:r>
      <w:r>
        <w:rPr>
          <w:szCs w:val="27"/>
          <w:highlight w:val="none"/>
        </w:rPr>
        <w:t>）的违约金。</w:t>
      </w:r>
    </w:p>
    <w:p w14:paraId="22DC9271">
      <w:pPr>
        <w:spacing w:line="360" w:lineRule="auto"/>
        <w:ind w:firstLine="440" w:firstLineChars="200"/>
        <w:jc w:val="both"/>
        <w:rPr>
          <w:szCs w:val="27"/>
          <w:highlight w:val="none"/>
        </w:rPr>
      </w:pPr>
      <w:r>
        <w:rPr>
          <w:rFonts w:hint="eastAsia"/>
          <w:szCs w:val="27"/>
          <w:highlight w:val="none"/>
        </w:rPr>
        <w:t>2.</w:t>
      </w:r>
      <w:r>
        <w:rPr>
          <w:szCs w:val="27"/>
          <w:highlight w:val="none"/>
        </w:rPr>
        <w:t>甲方违反合同规定拒绝接货的，应当承担由此造成的损失。</w:t>
      </w:r>
    </w:p>
    <w:p w14:paraId="589E69CA">
      <w:pPr>
        <w:spacing w:line="360" w:lineRule="auto"/>
        <w:ind w:firstLine="440" w:firstLineChars="200"/>
        <w:jc w:val="both"/>
        <w:rPr>
          <w:szCs w:val="27"/>
          <w:highlight w:val="none"/>
          <w:u w:val="single"/>
        </w:rPr>
      </w:pPr>
      <w:r>
        <w:rPr>
          <w:rFonts w:hint="eastAsia"/>
          <w:szCs w:val="27"/>
          <w:highlight w:val="none"/>
        </w:rPr>
        <w:t>3.</w:t>
      </w:r>
      <w:r>
        <w:rPr>
          <w:szCs w:val="27"/>
          <w:highlight w:val="none"/>
        </w:rPr>
        <w:t xml:space="preserve"> 甲方未按照合同约定支付货款，应向乙方</w:t>
      </w:r>
      <w:r>
        <w:rPr>
          <w:rFonts w:hint="eastAsia"/>
          <w:szCs w:val="27"/>
          <w:highlight w:val="none"/>
        </w:rPr>
        <w:t>违约金</w:t>
      </w:r>
      <w:r>
        <w:rPr>
          <w:rFonts w:hint="eastAsia"/>
          <w:szCs w:val="27"/>
          <w:highlight w:val="none"/>
          <w:u w:val="single"/>
        </w:rPr>
        <w:t xml:space="preserve">   </w:t>
      </w:r>
      <w:r>
        <w:rPr>
          <w:rFonts w:hint="eastAsia"/>
          <w:szCs w:val="27"/>
          <w:highlight w:val="none"/>
        </w:rPr>
        <w:t>元。</w:t>
      </w:r>
    </w:p>
    <w:p w14:paraId="5BA00B6D">
      <w:pPr>
        <w:spacing w:line="360" w:lineRule="auto"/>
        <w:ind w:firstLine="442" w:firstLineChars="200"/>
        <w:jc w:val="both"/>
        <w:rPr>
          <w:b/>
          <w:highlight w:val="none"/>
        </w:rPr>
      </w:pPr>
      <w:r>
        <w:rPr>
          <w:b/>
          <w:bCs/>
          <w:szCs w:val="27"/>
          <w:highlight w:val="none"/>
        </w:rPr>
        <w:t>第十</w:t>
      </w:r>
      <w:r>
        <w:rPr>
          <w:rFonts w:hint="eastAsia"/>
          <w:b/>
          <w:bCs/>
          <w:szCs w:val="27"/>
          <w:highlight w:val="none"/>
        </w:rPr>
        <w:t>二</w:t>
      </w:r>
      <w:r>
        <w:rPr>
          <w:b/>
          <w:bCs/>
          <w:szCs w:val="27"/>
          <w:highlight w:val="none"/>
        </w:rPr>
        <w:t>条 </w:t>
      </w:r>
      <w:r>
        <w:rPr>
          <w:szCs w:val="27"/>
          <w:highlight w:val="none"/>
        </w:rPr>
        <w:t xml:space="preserve"> 不可抗力</w:t>
      </w:r>
    </w:p>
    <w:p w14:paraId="72CCBE15">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33E876A">
      <w:pPr>
        <w:spacing w:line="360" w:lineRule="auto"/>
        <w:ind w:firstLine="440" w:firstLineChars="200"/>
        <w:jc w:val="both"/>
        <w:rPr>
          <w:szCs w:val="27"/>
          <w:highlight w:val="none"/>
        </w:rPr>
      </w:pPr>
      <w:r>
        <w:rPr>
          <w:rFonts w:hint="eastAsia"/>
          <w:highlight w:val="none"/>
        </w:rPr>
        <w:t>2</w:t>
      </w:r>
      <w:r>
        <w:rPr>
          <w:rFonts w:hint="eastAsia"/>
          <w:szCs w:val="27"/>
          <w:highlight w:val="none"/>
        </w:rPr>
        <w:t>.</w:t>
      </w:r>
      <w:r>
        <w:rPr>
          <w:szCs w:val="27"/>
          <w:highlight w:val="none"/>
        </w:rPr>
        <w:t>甲乙双方的任何一方由于不可抗力的原因不能履行合同时，应及时向对方通报不能履行或不能完全履行的理由，在取得有关</w:t>
      </w:r>
      <w:r>
        <w:rPr>
          <w:rFonts w:hint="eastAsia"/>
          <w:szCs w:val="27"/>
          <w:highlight w:val="none"/>
        </w:rPr>
        <w:t>部门</w:t>
      </w:r>
      <w:r>
        <w:rPr>
          <w:szCs w:val="27"/>
          <w:highlight w:val="none"/>
        </w:rPr>
        <w:t>证明以后，允许延期履行、部分履行或者不履行合同，并根据情况可部分或全部免予承担违约责任。</w:t>
      </w:r>
    </w:p>
    <w:p w14:paraId="3CD31238">
      <w:pPr>
        <w:spacing w:line="360" w:lineRule="auto"/>
        <w:ind w:firstLine="442" w:firstLineChars="200"/>
        <w:jc w:val="both"/>
        <w:rPr>
          <w:b/>
          <w:bCs/>
          <w:szCs w:val="27"/>
          <w:highlight w:val="none"/>
        </w:rPr>
      </w:pPr>
      <w:r>
        <w:rPr>
          <w:b/>
          <w:bCs/>
          <w:szCs w:val="27"/>
          <w:highlight w:val="none"/>
        </w:rPr>
        <w:t>第十</w:t>
      </w:r>
      <w:r>
        <w:rPr>
          <w:rFonts w:hint="eastAsia"/>
          <w:b/>
          <w:bCs/>
          <w:szCs w:val="27"/>
          <w:highlight w:val="none"/>
        </w:rPr>
        <w:t>三</w:t>
      </w:r>
      <w:r>
        <w:rPr>
          <w:b/>
          <w:bCs/>
          <w:szCs w:val="27"/>
          <w:highlight w:val="none"/>
        </w:rPr>
        <w:t>条</w:t>
      </w:r>
      <w:r>
        <w:rPr>
          <w:rFonts w:hint="eastAsia"/>
          <w:b/>
          <w:bCs/>
          <w:szCs w:val="27"/>
          <w:highlight w:val="none"/>
        </w:rPr>
        <w:t xml:space="preserve">  </w:t>
      </w:r>
      <w:r>
        <w:rPr>
          <w:rFonts w:hint="eastAsia"/>
          <w:szCs w:val="27"/>
          <w:highlight w:val="none"/>
        </w:rPr>
        <w:t>履约（或质量）保证金</w:t>
      </w:r>
    </w:p>
    <w:p w14:paraId="58882D60">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本项目不收取</w:t>
      </w:r>
      <w:r>
        <w:rPr>
          <w:rFonts w:hint="eastAsia"/>
          <w:szCs w:val="27"/>
          <w:highlight w:val="none"/>
        </w:rPr>
        <w:t>履约保证金</w:t>
      </w:r>
      <w:r>
        <w:rPr>
          <w:rFonts w:hint="eastAsia"/>
          <w:highlight w:val="none"/>
        </w:rPr>
        <w:t>。</w:t>
      </w:r>
      <w:r>
        <w:rPr>
          <w:rFonts w:hint="eastAsia"/>
          <w:szCs w:val="27"/>
          <w:highlight w:val="none"/>
        </w:rPr>
        <w:t>确需收取履约保证金的，</w:t>
      </w:r>
      <w:r>
        <w:rPr>
          <w:rFonts w:hint="eastAsia"/>
          <w:highlight w:val="none"/>
        </w:rPr>
        <w:t>甲方不得要求乙方以现款的形式提供。乙方提供的履约保证金按规定格式以银行保函形式提供，与此有关的费用由卖方承担。</w:t>
      </w:r>
    </w:p>
    <w:p w14:paraId="2098B075">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若确需质量保证金的，质量保证金不得超过合同总价款的</w:t>
      </w:r>
      <w:r>
        <w:rPr>
          <w:rFonts w:hint="eastAsia"/>
          <w:highlight w:val="none"/>
          <w:lang w:val="en-US"/>
        </w:rPr>
        <w:t>5%。</w:t>
      </w:r>
    </w:p>
    <w:p w14:paraId="7DA84FE8">
      <w:pPr>
        <w:spacing w:line="360" w:lineRule="auto"/>
        <w:ind w:firstLine="440" w:firstLineChars="200"/>
        <w:jc w:val="both"/>
        <w:rPr>
          <w:highlight w:val="none"/>
        </w:rPr>
      </w:pPr>
    </w:p>
    <w:p w14:paraId="044AD792">
      <w:pPr>
        <w:pStyle w:val="42"/>
        <w:spacing w:line="360" w:lineRule="auto"/>
        <w:ind w:firstLine="440" w:firstLineChars="200"/>
        <w:jc w:val="both"/>
        <w:rPr>
          <w:rFonts w:ascii="宋体" w:hAnsi="宋体"/>
          <w:highlight w:val="none"/>
        </w:rPr>
      </w:pPr>
      <w:r>
        <w:rPr>
          <w:rFonts w:hint="eastAsia" w:ascii="宋体" w:hAnsi="宋体"/>
          <w:highlight w:val="none"/>
        </w:rPr>
        <w:t>3</w:t>
      </w:r>
      <w:r>
        <w:rPr>
          <w:rFonts w:hint="eastAsia" w:ascii="宋体" w:hAnsi="宋体"/>
          <w:szCs w:val="27"/>
          <w:highlight w:val="none"/>
        </w:rPr>
        <w:t>.</w:t>
      </w:r>
      <w:r>
        <w:rPr>
          <w:rFonts w:hint="eastAsia" w:ascii="宋体" w:hAnsi="宋体"/>
          <w:highlight w:val="none"/>
        </w:rPr>
        <w:t>如乙方未能履行其合同规定的任何义务，甲方有权从履约保证金中取得补偿。</w:t>
      </w:r>
    </w:p>
    <w:p w14:paraId="52847FE4">
      <w:pPr>
        <w:spacing w:line="360" w:lineRule="auto"/>
        <w:ind w:firstLine="442" w:firstLineChars="200"/>
        <w:jc w:val="both"/>
        <w:rPr>
          <w:b/>
          <w:highlight w:val="none"/>
        </w:rPr>
      </w:pPr>
      <w:r>
        <w:rPr>
          <w:b/>
          <w:bCs/>
          <w:szCs w:val="27"/>
          <w:highlight w:val="none"/>
        </w:rPr>
        <w:t>第十</w:t>
      </w:r>
      <w:r>
        <w:rPr>
          <w:rFonts w:hint="eastAsia"/>
          <w:b/>
          <w:bCs/>
          <w:szCs w:val="27"/>
          <w:highlight w:val="none"/>
        </w:rPr>
        <w:t>四</w:t>
      </w:r>
      <w:r>
        <w:rPr>
          <w:b/>
          <w:bCs/>
          <w:szCs w:val="27"/>
          <w:highlight w:val="none"/>
        </w:rPr>
        <w:t>条</w:t>
      </w:r>
      <w:r>
        <w:rPr>
          <w:rFonts w:hint="eastAsia"/>
          <w:b/>
          <w:bCs/>
          <w:szCs w:val="27"/>
          <w:highlight w:val="none"/>
        </w:rPr>
        <w:t xml:space="preserve"> </w:t>
      </w:r>
      <w:r>
        <w:rPr>
          <w:rFonts w:hint="eastAsia"/>
          <w:bCs/>
          <w:highlight w:val="none"/>
        </w:rPr>
        <w:t>转让与分包</w:t>
      </w:r>
    </w:p>
    <w:p w14:paraId="4C2C4525">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除甲方事先书面同意外，乙方不得部分转让或全部转让其应履行的合同义务。</w:t>
      </w:r>
    </w:p>
    <w:p w14:paraId="63559078">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6D0CF599">
      <w:pPr>
        <w:spacing w:line="360" w:lineRule="auto"/>
        <w:ind w:firstLine="442" w:firstLineChars="200"/>
        <w:jc w:val="both"/>
        <w:rPr>
          <w:b/>
          <w:highlight w:val="none"/>
        </w:rPr>
      </w:pPr>
      <w:r>
        <w:rPr>
          <w:b/>
          <w:bCs/>
          <w:szCs w:val="27"/>
          <w:highlight w:val="none"/>
        </w:rPr>
        <w:t>第十</w:t>
      </w:r>
      <w:r>
        <w:rPr>
          <w:rFonts w:hint="eastAsia"/>
          <w:b/>
          <w:bCs/>
          <w:szCs w:val="27"/>
          <w:highlight w:val="none"/>
        </w:rPr>
        <w:t>五</w:t>
      </w:r>
      <w:r>
        <w:rPr>
          <w:b/>
          <w:bCs/>
          <w:szCs w:val="27"/>
          <w:highlight w:val="none"/>
        </w:rPr>
        <w:t>条</w:t>
      </w:r>
      <w:r>
        <w:rPr>
          <w:rFonts w:hint="eastAsia"/>
          <w:b/>
          <w:bCs/>
          <w:szCs w:val="27"/>
          <w:highlight w:val="none"/>
        </w:rPr>
        <w:t xml:space="preserve"> </w:t>
      </w:r>
      <w:r>
        <w:rPr>
          <w:rFonts w:hint="eastAsia"/>
          <w:bCs/>
          <w:highlight w:val="none"/>
        </w:rPr>
        <w:t>合同文件及资料的使用</w:t>
      </w:r>
    </w:p>
    <w:p w14:paraId="2A3EE15E">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乙方在未经甲方同意的情况下，不得将合同、合同中的规定、有关计划、图纸、样本或甲方为上述内容向乙方提供的资料透露给任何人。</w:t>
      </w:r>
    </w:p>
    <w:p w14:paraId="015101A3">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除非执行合同需要，在事先未得到甲方同意的情况下，乙方不得使用前款所列的任何文件和资料。</w:t>
      </w:r>
    </w:p>
    <w:p w14:paraId="54B992F4">
      <w:pPr>
        <w:spacing w:line="360" w:lineRule="auto"/>
        <w:ind w:firstLine="442" w:firstLineChars="200"/>
        <w:jc w:val="both"/>
        <w:rPr>
          <w:szCs w:val="27"/>
          <w:highlight w:val="none"/>
        </w:rPr>
      </w:pPr>
      <w:r>
        <w:rPr>
          <w:b/>
          <w:bCs/>
          <w:szCs w:val="27"/>
          <w:highlight w:val="none"/>
        </w:rPr>
        <w:t>第十</w:t>
      </w:r>
      <w:r>
        <w:rPr>
          <w:rFonts w:hint="eastAsia"/>
          <w:b/>
          <w:bCs/>
          <w:szCs w:val="27"/>
          <w:highlight w:val="none"/>
        </w:rPr>
        <w:t>六</w:t>
      </w:r>
      <w:r>
        <w:rPr>
          <w:b/>
          <w:bCs/>
          <w:szCs w:val="27"/>
          <w:highlight w:val="none"/>
        </w:rPr>
        <w:t>条 </w:t>
      </w:r>
      <w:r>
        <w:rPr>
          <w:rFonts w:hint="eastAsia"/>
          <w:szCs w:val="27"/>
          <w:highlight w:val="none"/>
        </w:rPr>
        <w:t>合同纠纷调处</w:t>
      </w:r>
    </w:p>
    <w:p w14:paraId="188C0557">
      <w:pPr>
        <w:spacing w:line="360" w:lineRule="auto"/>
        <w:ind w:firstLine="440" w:firstLineChars="200"/>
        <w:jc w:val="both"/>
        <w:rPr>
          <w:highlight w:val="none"/>
        </w:rPr>
      </w:pPr>
      <w:r>
        <w:rPr>
          <w:rFonts w:hint="eastAsia"/>
          <w:highlight w:val="none"/>
        </w:rPr>
        <w:t>1</w:t>
      </w:r>
      <w:r>
        <w:rPr>
          <w:rFonts w:hint="eastAsia"/>
          <w:szCs w:val="27"/>
          <w:highlight w:val="none"/>
        </w:rPr>
        <w:t>.</w:t>
      </w:r>
      <w:r>
        <w:rPr>
          <w:szCs w:val="27"/>
          <w:highlight w:val="none"/>
        </w:rPr>
        <w:t>按本合同规定应该偿付的违约金、赔偿金、保管保养费和各种经济损失，应当在明确责任后</w:t>
      </w:r>
      <w:r>
        <w:rPr>
          <w:rFonts w:hint="eastAsia"/>
          <w:szCs w:val="27"/>
          <w:highlight w:val="none"/>
        </w:rPr>
        <w:t>10</w:t>
      </w:r>
      <w:r>
        <w:rPr>
          <w:szCs w:val="27"/>
          <w:highlight w:val="none"/>
        </w:rPr>
        <w:t>天内，按银行规定的结算办法付清，否则按逾期付款处理。但任何一方不得自行扣发货物或扣付货款来充抵。</w:t>
      </w:r>
    </w:p>
    <w:p w14:paraId="495E8117">
      <w:pPr>
        <w:spacing w:line="360" w:lineRule="auto"/>
        <w:ind w:firstLine="440" w:firstLineChars="200"/>
        <w:jc w:val="both"/>
        <w:rPr>
          <w:szCs w:val="27"/>
          <w:highlight w:val="none"/>
        </w:rPr>
      </w:pPr>
      <w:r>
        <w:rPr>
          <w:rFonts w:hint="eastAsia"/>
          <w:highlight w:val="none"/>
        </w:rPr>
        <w:t>2</w:t>
      </w:r>
      <w:r>
        <w:rPr>
          <w:rFonts w:hint="eastAsia"/>
          <w:szCs w:val="27"/>
          <w:highlight w:val="none"/>
        </w:rPr>
        <w:t>.</w:t>
      </w:r>
      <w:r>
        <w:rPr>
          <w:szCs w:val="27"/>
          <w:highlight w:val="none"/>
        </w:rPr>
        <w:t>本合同如发生纠纷，当事人双方应当及时协商解决，协商不成时，任何一方均可请</w:t>
      </w:r>
      <w:r>
        <w:rPr>
          <w:rFonts w:hint="eastAsia"/>
          <w:szCs w:val="27"/>
          <w:highlight w:val="none"/>
        </w:rPr>
        <w:t>本项目政府采购监督管理部门</w:t>
      </w:r>
      <w:r>
        <w:rPr>
          <w:szCs w:val="27"/>
          <w:highlight w:val="none"/>
        </w:rPr>
        <w:t>调解，调解不成，按以下第（</w:t>
      </w:r>
      <w:r>
        <w:rPr>
          <w:rFonts w:hint="eastAsia"/>
          <w:szCs w:val="27"/>
          <w:highlight w:val="none"/>
        </w:rPr>
        <w:t xml:space="preserve"> </w:t>
      </w:r>
      <w:r>
        <w:rPr>
          <w:szCs w:val="27"/>
          <w:highlight w:val="none"/>
        </w:rPr>
        <w:t>）项方式处理：</w:t>
      </w:r>
      <w:r>
        <w:rPr>
          <w:rFonts w:hint="eastAsia"/>
          <w:szCs w:val="27"/>
          <w:highlight w:val="none"/>
        </w:rPr>
        <w:t>①根据《中华人民共和国仲裁法》的规定向</w:t>
      </w:r>
      <w:r>
        <w:rPr>
          <w:rFonts w:hint="eastAsia"/>
          <w:b/>
          <w:bCs/>
          <w:szCs w:val="27"/>
          <w:highlight w:val="none"/>
          <w:u w:val="single"/>
        </w:rPr>
        <w:t>周口仲裁委员会</w:t>
      </w:r>
      <w:r>
        <w:rPr>
          <w:rFonts w:hint="eastAsia"/>
          <w:szCs w:val="27"/>
          <w:highlight w:val="none"/>
        </w:rPr>
        <w:t>申请仲裁。②</w:t>
      </w:r>
      <w:r>
        <w:rPr>
          <w:szCs w:val="27"/>
          <w:highlight w:val="none"/>
        </w:rPr>
        <w:t>向</w:t>
      </w:r>
      <w:r>
        <w:rPr>
          <w:rFonts w:hint="eastAsia"/>
          <w:highlight w:val="none"/>
        </w:rPr>
        <w:t>合同签订地有级别管辖权的</w:t>
      </w:r>
      <w:r>
        <w:rPr>
          <w:szCs w:val="27"/>
          <w:highlight w:val="none"/>
        </w:rPr>
        <w:t>人民法院起诉。</w:t>
      </w:r>
    </w:p>
    <w:p w14:paraId="799FFFEA">
      <w:pPr>
        <w:pStyle w:val="41"/>
        <w:spacing w:beforeLines="0" w:afterLines="0"/>
        <w:ind w:left="0" w:firstLine="440" w:firstLineChars="200"/>
        <w:jc w:val="both"/>
        <w:rPr>
          <w:highlight w:val="none"/>
          <w:lang w:val="en-US"/>
        </w:rPr>
      </w:pPr>
      <w:r>
        <w:rPr>
          <w:rFonts w:hint="eastAsia"/>
          <w:szCs w:val="27"/>
          <w:highlight w:val="none"/>
          <w:lang w:val="en-US"/>
        </w:rPr>
        <w:t>3、甲、乙双方均有权利向本项目具有监管职能的政府采购监督管理部门举报反映对方在合同履约中的违法违纪行为。</w:t>
      </w:r>
    </w:p>
    <w:p w14:paraId="7EC4C3C5">
      <w:pPr>
        <w:spacing w:line="360" w:lineRule="auto"/>
        <w:ind w:firstLine="442" w:firstLineChars="200"/>
        <w:jc w:val="both"/>
        <w:rPr>
          <w:szCs w:val="27"/>
          <w:highlight w:val="none"/>
        </w:rPr>
      </w:pPr>
      <w:r>
        <w:rPr>
          <w:rFonts w:hint="eastAsia"/>
          <w:b/>
          <w:bCs/>
          <w:szCs w:val="27"/>
          <w:highlight w:val="none"/>
        </w:rPr>
        <w:t xml:space="preserve">第十七条  </w:t>
      </w:r>
      <w:r>
        <w:rPr>
          <w:rFonts w:hint="eastAsia"/>
          <w:szCs w:val="27"/>
          <w:highlight w:val="none"/>
        </w:rPr>
        <w:t>下列关于周口市公共资源交易中心政府采购代理机构名称</w:t>
      </w:r>
      <w:r>
        <w:rPr>
          <w:rFonts w:hint="eastAsia"/>
          <w:szCs w:val="27"/>
          <w:highlight w:val="none"/>
          <w:u w:val="single"/>
        </w:rPr>
        <w:t>某项目（项目编号：某编号）</w:t>
      </w:r>
      <w:r>
        <w:rPr>
          <w:rFonts w:hint="eastAsia"/>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C095D7E">
      <w:pPr>
        <w:spacing w:line="360" w:lineRule="auto"/>
        <w:ind w:firstLine="440" w:firstLineChars="200"/>
        <w:jc w:val="both"/>
        <w:rPr>
          <w:szCs w:val="27"/>
          <w:highlight w:val="none"/>
        </w:rPr>
      </w:pPr>
      <w:r>
        <w:rPr>
          <w:rFonts w:hint="eastAsia"/>
          <w:szCs w:val="27"/>
          <w:highlight w:val="none"/>
        </w:rPr>
        <w:t xml:space="preserve">    </w:t>
      </w:r>
      <w:r>
        <w:rPr>
          <w:rFonts w:hint="eastAsia"/>
          <w:highlight w:val="none"/>
        </w:rPr>
        <w:t>本合同一式</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highlight w:val="none"/>
        </w:rPr>
        <w:t>份，自双方当事人签字盖章之日起生效。</w:t>
      </w:r>
    </w:p>
    <w:p w14:paraId="65591A66">
      <w:pPr>
        <w:spacing w:line="360" w:lineRule="auto"/>
        <w:ind w:firstLine="440" w:firstLineChars="200"/>
        <w:jc w:val="both"/>
        <w:rPr>
          <w:szCs w:val="27"/>
          <w:highlight w:val="none"/>
        </w:rPr>
      </w:pPr>
    </w:p>
    <w:p w14:paraId="717526AD">
      <w:pPr>
        <w:spacing w:line="360" w:lineRule="auto"/>
        <w:ind w:firstLine="440" w:firstLineChars="200"/>
        <w:jc w:val="both"/>
        <w:rPr>
          <w:szCs w:val="27"/>
          <w:highlight w:val="none"/>
        </w:rPr>
      </w:pPr>
    </w:p>
    <w:p w14:paraId="63D106DB">
      <w:pPr>
        <w:spacing w:line="360" w:lineRule="auto"/>
        <w:ind w:firstLine="440" w:firstLineChars="200"/>
        <w:jc w:val="both"/>
        <w:rPr>
          <w:szCs w:val="27"/>
          <w:highlight w:val="none"/>
        </w:rPr>
      </w:pPr>
      <w:r>
        <w:rPr>
          <w:rFonts w:hint="eastAsia"/>
          <w:szCs w:val="27"/>
          <w:highlight w:val="none"/>
        </w:rPr>
        <w:t>采购人</w:t>
      </w:r>
      <w:r>
        <w:rPr>
          <w:szCs w:val="27"/>
          <w:highlight w:val="none"/>
        </w:rPr>
        <w:t>（甲方）：</w:t>
      </w:r>
      <w:r>
        <w:rPr>
          <w:rFonts w:hint="eastAsia"/>
          <w:szCs w:val="27"/>
          <w:highlight w:val="none"/>
        </w:rPr>
        <w:t xml:space="preserve">    </w:t>
      </w:r>
      <w:r>
        <w:rPr>
          <w:szCs w:val="27"/>
          <w:highlight w:val="none"/>
        </w:rPr>
        <w:t>（公章）</w:t>
      </w:r>
      <w:r>
        <w:rPr>
          <w:rFonts w:hint="eastAsia"/>
          <w:szCs w:val="27"/>
          <w:highlight w:val="none"/>
        </w:rPr>
        <w:t xml:space="preserve">        </w:t>
      </w:r>
      <w:r>
        <w:rPr>
          <w:szCs w:val="27"/>
          <w:highlight w:val="none"/>
        </w:rPr>
        <w:t> </w:t>
      </w:r>
      <w:r>
        <w:rPr>
          <w:rFonts w:hint="eastAsia"/>
          <w:szCs w:val="27"/>
          <w:highlight w:val="none"/>
        </w:rPr>
        <w:t xml:space="preserve">  </w:t>
      </w:r>
      <w:r>
        <w:rPr>
          <w:szCs w:val="27"/>
          <w:highlight w:val="none"/>
        </w:rPr>
        <w:t>供货</w:t>
      </w:r>
      <w:r>
        <w:rPr>
          <w:rFonts w:hint="eastAsia"/>
          <w:szCs w:val="27"/>
          <w:highlight w:val="none"/>
        </w:rPr>
        <w:t>人</w:t>
      </w:r>
      <w:r>
        <w:rPr>
          <w:szCs w:val="27"/>
          <w:highlight w:val="none"/>
        </w:rPr>
        <w:t>（乙方）：</w:t>
      </w:r>
      <w:r>
        <w:rPr>
          <w:rFonts w:hint="eastAsia"/>
          <w:szCs w:val="27"/>
          <w:highlight w:val="none"/>
        </w:rPr>
        <w:t xml:space="preserve">     </w:t>
      </w:r>
      <w:r>
        <w:rPr>
          <w:szCs w:val="27"/>
          <w:highlight w:val="none"/>
        </w:rPr>
        <w:t>（公章）</w:t>
      </w:r>
      <w:r>
        <w:rPr>
          <w:rFonts w:hint="eastAsia"/>
          <w:szCs w:val="27"/>
          <w:highlight w:val="none"/>
        </w:rPr>
        <w:t xml:space="preserve">  </w:t>
      </w:r>
    </w:p>
    <w:p w14:paraId="2F6A879B">
      <w:pPr>
        <w:spacing w:line="360" w:lineRule="auto"/>
        <w:ind w:firstLine="440" w:firstLineChars="200"/>
        <w:jc w:val="both"/>
        <w:rPr>
          <w:highlight w:val="none"/>
        </w:rPr>
      </w:pPr>
      <w:r>
        <w:rPr>
          <w:rFonts w:hint="eastAsia"/>
          <w:szCs w:val="27"/>
          <w:highlight w:val="none"/>
        </w:rPr>
        <w:t xml:space="preserve">地址：                               </w:t>
      </w:r>
      <w:r>
        <w:rPr>
          <w:szCs w:val="27"/>
          <w:highlight w:val="none"/>
        </w:rPr>
        <w:t>地址：</w:t>
      </w:r>
    </w:p>
    <w:p w14:paraId="350B23A1">
      <w:pPr>
        <w:spacing w:line="360" w:lineRule="auto"/>
        <w:ind w:firstLine="440" w:firstLineChars="200"/>
        <w:jc w:val="both"/>
        <w:rPr>
          <w:szCs w:val="27"/>
          <w:highlight w:val="none"/>
        </w:rPr>
      </w:pPr>
      <w:r>
        <w:rPr>
          <w:szCs w:val="27"/>
          <w:highlight w:val="none"/>
        </w:rPr>
        <w:t>法定代表人：</w:t>
      </w:r>
      <w:r>
        <w:rPr>
          <w:rFonts w:hint="eastAsia"/>
          <w:szCs w:val="27"/>
          <w:highlight w:val="none"/>
        </w:rPr>
        <w:t xml:space="preserve">                         </w:t>
      </w:r>
      <w:r>
        <w:rPr>
          <w:szCs w:val="27"/>
          <w:highlight w:val="none"/>
        </w:rPr>
        <w:t>法定代表人：</w:t>
      </w:r>
    </w:p>
    <w:p w14:paraId="2BF9734A">
      <w:pPr>
        <w:spacing w:line="360" w:lineRule="auto"/>
        <w:ind w:firstLine="440" w:firstLineChars="200"/>
        <w:jc w:val="both"/>
        <w:rPr>
          <w:highlight w:val="none"/>
          <w:u w:val="single"/>
        </w:rPr>
      </w:pPr>
      <w:r>
        <w:rPr>
          <w:rFonts w:hint="eastAsia"/>
          <w:szCs w:val="27"/>
          <w:highlight w:val="none"/>
        </w:rPr>
        <w:t>委托代理人：                         委托代理人：</w:t>
      </w:r>
    </w:p>
    <w:p w14:paraId="617606EA">
      <w:pPr>
        <w:spacing w:line="360" w:lineRule="auto"/>
        <w:ind w:firstLine="440" w:firstLineChars="200"/>
        <w:jc w:val="both"/>
        <w:rPr>
          <w:highlight w:val="none"/>
        </w:rPr>
      </w:pPr>
      <w:r>
        <w:rPr>
          <w:rFonts w:hint="eastAsia"/>
          <w:highlight w:val="none"/>
        </w:rPr>
        <w:t>电话：                               电话：</w:t>
      </w:r>
    </w:p>
    <w:p w14:paraId="4C1F211B">
      <w:pPr>
        <w:spacing w:line="360" w:lineRule="auto"/>
        <w:ind w:firstLine="440" w:firstLineChars="200"/>
        <w:jc w:val="both"/>
        <w:rPr>
          <w:szCs w:val="27"/>
          <w:highlight w:val="none"/>
        </w:rPr>
      </w:pPr>
      <w:r>
        <w:rPr>
          <w:szCs w:val="27"/>
          <w:highlight w:val="none"/>
        </w:rPr>
        <w:t>开户银行：</w:t>
      </w:r>
      <w:r>
        <w:rPr>
          <w:rFonts w:hint="eastAsia"/>
          <w:szCs w:val="27"/>
          <w:highlight w:val="none"/>
        </w:rPr>
        <w:t xml:space="preserve">                           </w:t>
      </w:r>
      <w:r>
        <w:rPr>
          <w:szCs w:val="27"/>
          <w:highlight w:val="none"/>
        </w:rPr>
        <w:t>开户银行：</w:t>
      </w:r>
    </w:p>
    <w:p w14:paraId="17D320E9">
      <w:pPr>
        <w:spacing w:line="360" w:lineRule="auto"/>
        <w:ind w:firstLine="440" w:firstLineChars="200"/>
        <w:jc w:val="both"/>
        <w:rPr>
          <w:highlight w:val="none"/>
        </w:rPr>
      </w:pPr>
      <w:r>
        <w:rPr>
          <w:rFonts w:hint="eastAsia"/>
          <w:szCs w:val="27"/>
          <w:highlight w:val="none"/>
        </w:rPr>
        <w:t>账号</w:t>
      </w:r>
      <w:r>
        <w:rPr>
          <w:szCs w:val="27"/>
          <w:highlight w:val="none"/>
        </w:rPr>
        <w:t>：</w:t>
      </w:r>
      <w:r>
        <w:rPr>
          <w:rFonts w:hint="eastAsia"/>
          <w:szCs w:val="27"/>
          <w:highlight w:val="none"/>
        </w:rPr>
        <w:t xml:space="preserve">                               账号</w:t>
      </w:r>
      <w:r>
        <w:rPr>
          <w:szCs w:val="27"/>
          <w:highlight w:val="none"/>
        </w:rPr>
        <w:t>：</w:t>
      </w:r>
    </w:p>
    <w:p w14:paraId="55CE7476">
      <w:pPr>
        <w:spacing w:line="640" w:lineRule="exact"/>
        <w:ind w:firstLine="1650" w:firstLineChars="750"/>
        <w:jc w:val="both"/>
        <w:rPr>
          <w:rFonts w:hint="eastAsia"/>
          <w:szCs w:val="27"/>
          <w:highlight w:val="none"/>
          <w:u w:val="single"/>
        </w:rPr>
      </w:pPr>
    </w:p>
    <w:p w14:paraId="1A1CAF54">
      <w:pPr>
        <w:spacing w:line="500" w:lineRule="exact"/>
        <w:rPr>
          <w:sz w:val="24"/>
          <w:highlight w:val="none"/>
        </w:rPr>
      </w:pPr>
      <w:r>
        <w:rPr>
          <w:szCs w:val="27"/>
          <w:highlight w:val="none"/>
          <w:u w:val="single"/>
        </w:rPr>
        <w:t>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r>
        <w:rPr>
          <w:rFonts w:hint="eastAsia"/>
          <w:szCs w:val="27"/>
          <w:highlight w:val="none"/>
          <w:lang w:val="en-US"/>
        </w:rPr>
        <w:t xml:space="preserve">             </w:t>
      </w:r>
      <w:r>
        <w:rPr>
          <w:szCs w:val="27"/>
          <w:highlight w:val="none"/>
          <w:u w:val="single"/>
        </w:rPr>
        <w:t xml:space="preserve">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p>
    <w:p w14:paraId="36A0B1DE">
      <w:pPr>
        <w:rPr>
          <w:rFonts w:hint="eastAsia" w:asciiTheme="minorEastAsia" w:hAnsiTheme="minorEastAsia" w:eastAsiaTheme="minorEastAsia"/>
          <w:b/>
          <w:bCs/>
          <w:sz w:val="32"/>
          <w:szCs w:val="32"/>
          <w:highlight w:val="none"/>
          <w:lang w:val="en-US"/>
        </w:rPr>
      </w:pPr>
    </w:p>
    <w:p w14:paraId="0CF09F1E">
      <w:pPr>
        <w:pStyle w:val="5"/>
        <w:spacing w:before="0" w:after="0" w:line="500" w:lineRule="exact"/>
        <w:ind w:firstLine="0"/>
        <w:rPr>
          <w:rFonts w:hint="eastAsia" w:asciiTheme="minorEastAsia" w:hAnsiTheme="minorEastAsia" w:eastAsiaTheme="minorEastAsia"/>
          <w:b/>
          <w:bCs/>
          <w:sz w:val="32"/>
          <w:szCs w:val="32"/>
          <w:highlight w:val="none"/>
          <w:lang w:val="en-US"/>
        </w:rPr>
      </w:pPr>
    </w:p>
    <w:p w14:paraId="59215ADA">
      <w:pPr>
        <w:pStyle w:val="5"/>
        <w:spacing w:before="0" w:after="0" w:line="500" w:lineRule="exact"/>
        <w:ind w:firstLine="0"/>
        <w:rPr>
          <w:rFonts w:hint="eastAsia" w:asciiTheme="minorEastAsia" w:hAnsiTheme="minorEastAsia" w:eastAsiaTheme="minorEastAsia"/>
          <w:b/>
          <w:bCs/>
          <w:sz w:val="32"/>
          <w:szCs w:val="32"/>
          <w:highlight w:val="none"/>
          <w:lang w:val="en-US"/>
        </w:rPr>
      </w:pPr>
    </w:p>
    <w:p w14:paraId="4CFA4B29">
      <w:pPr>
        <w:pStyle w:val="2"/>
        <w:ind w:left="440" w:firstLine="220"/>
        <w:jc w:val="center"/>
        <w:rPr>
          <w:b/>
          <w:sz w:val="32"/>
          <w:szCs w:val="32"/>
          <w:highlight w:val="none"/>
        </w:rPr>
      </w:pPr>
      <w:r>
        <w:rPr>
          <w:rFonts w:hint="eastAsia"/>
          <w:b/>
          <w:sz w:val="32"/>
          <w:szCs w:val="32"/>
          <w:highlight w:val="none"/>
        </w:rPr>
        <w:t>周口市政府采购合同融资政策告知函</w:t>
      </w:r>
    </w:p>
    <w:p w14:paraId="0655CF47">
      <w:pPr>
        <w:pStyle w:val="2"/>
        <w:rPr>
          <w:rFonts w:asciiTheme="minorEastAsia" w:hAnsiTheme="minorEastAsia" w:eastAsiaTheme="minorEastAsia"/>
          <w:sz w:val="24"/>
          <w:highlight w:val="none"/>
        </w:rPr>
      </w:pPr>
    </w:p>
    <w:p w14:paraId="5C9CC097">
      <w:pPr>
        <w:pStyle w:val="2"/>
        <w:keepNext w:val="0"/>
        <w:keepLines w:val="0"/>
        <w:pageBreakBefore w:val="0"/>
        <w:kinsoku/>
        <w:wordWrap/>
        <w:overflowPunct/>
        <w:topLinePunct w:val="0"/>
        <w:bidi w:val="0"/>
        <w:adjustRightInd/>
        <w:snapToGrid/>
        <w:spacing w:after="0" w:line="360" w:lineRule="auto"/>
        <w:ind w:firstLine="480" w:firstLineChars="20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6DEE99E0">
      <w:pPr>
        <w:pStyle w:val="2"/>
        <w:keepNext w:val="0"/>
        <w:keepLines w:val="0"/>
        <w:pageBreakBefore w:val="0"/>
        <w:kinsoku/>
        <w:wordWrap/>
        <w:overflowPunct/>
        <w:topLinePunct w:val="0"/>
        <w:bidi w:val="0"/>
        <w:adjustRightInd/>
        <w:snapToGrid/>
        <w:spacing w:after="0" w:line="360" w:lineRule="auto"/>
        <w:ind w:firstLine="480" w:firstLineChars="20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2B2D512">
      <w:pPr>
        <w:pStyle w:val="2"/>
        <w:keepNext w:val="0"/>
        <w:keepLines w:val="0"/>
        <w:pageBreakBefore w:val="0"/>
        <w:kinsoku/>
        <w:wordWrap/>
        <w:overflowPunct/>
        <w:topLinePunct w:val="0"/>
        <w:bidi w:val="0"/>
        <w:adjustRightInd/>
        <w:snapToGrid/>
        <w:spacing w:after="0" w:line="360" w:lineRule="auto"/>
        <w:ind w:firstLine="480" w:firstLineChars="20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99D1B20">
      <w:pPr>
        <w:pStyle w:val="2"/>
        <w:keepNext w:val="0"/>
        <w:keepLines w:val="0"/>
        <w:pageBreakBefore w:val="0"/>
        <w:kinsoku/>
        <w:wordWrap/>
        <w:overflowPunct/>
        <w:topLinePunct w:val="0"/>
        <w:bidi w:val="0"/>
        <w:adjustRightInd/>
        <w:snapToGrid/>
        <w:spacing w:after="0" w:line="360" w:lineRule="auto"/>
        <w:ind w:firstLine="480" w:firstLineChars="20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000170E0">
      <w:pPr>
        <w:pStyle w:val="19"/>
        <w:keepNext w:val="0"/>
        <w:keepLines w:val="0"/>
        <w:pageBreakBefore w:val="0"/>
        <w:shd w:val="clear" w:color="auto" w:fill="auto"/>
        <w:kinsoku/>
        <w:wordWrap/>
        <w:overflowPunct/>
        <w:topLinePunct w:val="0"/>
        <w:bidi w:val="0"/>
        <w:adjustRightInd/>
        <w:snapToGrid/>
        <w:spacing w:before="0" w:beforeAutospacing="0" w:after="0" w:afterAutospacing="0" w:line="360" w:lineRule="auto"/>
        <w:textAlignment w:val="auto"/>
        <w:rPr>
          <w:rFonts w:hint="eastAsia" w:ascii="宋体" w:hAnsi="宋体" w:eastAsia="宋体" w:cs="宋体"/>
          <w:b/>
          <w:bCs/>
          <w:color w:val="0000FF"/>
          <w:sz w:val="21"/>
          <w:szCs w:val="21"/>
          <w:highlight w:val="none"/>
        </w:rPr>
      </w:pPr>
    </w:p>
    <w:p w14:paraId="1665EFA9">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575173E">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5F9CF83">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D7A7DBB">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006A1B5">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7F8F336">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7B95A00">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9C769A1">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47F3FD5">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2ADD489">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BD44482">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5E80167">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172A10E">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604EF04">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D29664C">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AD15922">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A204A19">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7E8769C">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9F2601B">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675B90C">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E9DF1D8">
      <w:pPr>
        <w:spacing w:before="1"/>
        <w:ind w:left="218"/>
        <w:rPr>
          <w:rFonts w:asciiTheme="minorEastAsia" w:hAnsiTheme="minorEastAsia" w:eastAsiaTheme="minorEastAsia"/>
          <w:b/>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58CF266-EF25-4FD5-9212-A8B2529F94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3731559-4164-485D-8A79-4E4A5662452A}"/>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6598B51A-6145-4978-95FD-A94D9BA282ED}"/>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embedRegular r:id="rId4" w:fontKey="{83AD3E8D-669B-42D6-91DA-DC975E51C608}"/>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A989E">
    <w:pPr>
      <w:pStyle w:val="9"/>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EB914C8">
                          <w:pPr>
                            <w:pStyle w:val="14"/>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B8WmiLTAQAAowMAAA4AAAAAAAAAAQAgAAAAHwEA&#10;AGRycy9lMm9Eb2MueG1sUEsFBgAAAAAGAAYAWQEAAGQFAAAAAA==&#10;">
              <v:fill on="f" focussize="0,0"/>
              <v:stroke on="f" weight="0.5pt"/>
              <v:imagedata o:title=""/>
              <o:lock v:ext="edit" aspectratio="f"/>
              <v:textbox inset="0mm,0mm,0mm,0mm" style="mso-fit-shape-to-text:t;">
                <w:txbxContent>
                  <w:p w14:paraId="2EB914C8">
                    <w:pPr>
                      <w:pStyle w:val="14"/>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7376C8C6">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7376C8C6">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890A7">
    <w:pPr>
      <w:pStyle w:val="14"/>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B50814B">
                          <w:pPr>
                            <w:pStyle w:val="14"/>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PRY7mNIBAACjAwAADgAAAAAAAAABACAAAAAfAQAA&#10;ZHJzL2Uyb0RvYy54bWxQSwUGAAAAAAYABgBZAQAAYwUAAAAA&#10;">
              <v:fill on="f" focussize="0,0"/>
              <v:stroke on="f" weight="0.5pt"/>
              <v:imagedata o:title=""/>
              <o:lock v:ext="edit" aspectratio="f"/>
              <v:textbox inset="0mm,0mm,0mm,0mm" style="mso-fit-shape-to-text:t;">
                <w:txbxContent>
                  <w:p w14:paraId="3B50814B">
                    <w:pPr>
                      <w:pStyle w:val="14"/>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E1BF7">
    <w:pPr>
      <w:pStyle w:val="9"/>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posOffset>2759075</wp:posOffset>
              </wp:positionH>
              <wp:positionV relativeFrom="page">
                <wp:posOffset>9807575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470BC1E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17.25pt;margin-top:772.25pt;height:12pt;width:13.15pt;mso-position-horizontal-relative:margin;mso-position-vertical-relative:page;z-index:251660288;mso-width-relative:page;mso-height-relative:page;" filled="f" stroked="f" coordsize="21600,21600" o:gfxdata="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ZL77P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470BC1E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8EDC2">
    <w:pPr>
      <w:pStyle w:val="9"/>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2"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4994FE6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Y5PX3gE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dR8xZkVhhb+qMbAPsLI3kZ1&#10;BucrSnpwlBZGOibPJKbe3YH84ZmFm07YvbpGhKFToqHplrGyeFKacXwE2Q1foKE24hAgAY0tmigd&#10;icEInTZzOm8mjiJjy8v3ZXnBmaSr5cXqXZk2V4hqLnbowycFhsWg5kiLT+DieOdDHEZUc0rsZeFW&#10;931afm//OqDEfKKSe6bqSCVOn3mEcTdO0uygOREphOwselcUdIC/OBvIVTX3Pw8CFWf9Z0vCRAvO&#10;Ac7Bbg6ElVRa88BZDm9CturBod53hJylt3BN4rU6EYuj5Skmyckpie/k6mjFp/8p689L3vw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2HwjNgAAAAJAQAADwAAAAAAAAABACAAAAAiAAAAZHJzL2Rv&#10;d25yZXYueG1sUEsBAhQAFAAAAAgAh07iQGOT194BAgAAEQQAAA4AAAAAAAAAAQAgAAAAJwEAAGRy&#10;cy9lMm9Eb2MueG1sUEsFBgAAAAAGAAYAWQEAAJoFAAAAAA==&#10;">
              <v:fill on="f" focussize="0,0"/>
              <v:stroke on="f"/>
              <v:imagedata o:title=""/>
              <o:lock v:ext="edit" aspectratio="f"/>
              <v:textbox inset="0mm,0mm,0mm,0mm">
                <w:txbxContent>
                  <w:p w14:paraId="4994FE6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FA0B7F82"/>
    <w:multiLevelType w:val="singleLevel"/>
    <w:tmpl w:val="FA0B7F82"/>
    <w:lvl w:ilvl="0" w:tentative="0">
      <w:start w:val="1"/>
      <w:numFmt w:val="decimal"/>
      <w:lvlText w:val="%1."/>
      <w:lvlJc w:val="left"/>
      <w:pPr>
        <w:tabs>
          <w:tab w:val="left" w:pos="312"/>
        </w:tabs>
      </w:pPr>
    </w:lvl>
  </w:abstractNum>
  <w:abstractNum w:abstractNumId="10">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2"/>
  </w:num>
  <w:num w:numId="3">
    <w:abstractNumId w:val="18"/>
  </w:num>
  <w:num w:numId="4">
    <w:abstractNumId w:val="4"/>
  </w:num>
  <w:num w:numId="5">
    <w:abstractNumId w:val="3"/>
  </w:num>
  <w:num w:numId="6">
    <w:abstractNumId w:val="14"/>
  </w:num>
  <w:num w:numId="7">
    <w:abstractNumId w:val="11"/>
  </w:num>
  <w:num w:numId="8">
    <w:abstractNumId w:val="0"/>
  </w:num>
  <w:num w:numId="9">
    <w:abstractNumId w:val="19"/>
  </w:num>
  <w:num w:numId="10">
    <w:abstractNumId w:val="5"/>
  </w:num>
  <w:num w:numId="11">
    <w:abstractNumId w:val="17"/>
  </w:num>
  <w:num w:numId="12">
    <w:abstractNumId w:val="8"/>
  </w:num>
  <w:num w:numId="13">
    <w:abstractNumId w:val="7"/>
  </w:num>
  <w:num w:numId="14">
    <w:abstractNumId w:val="6"/>
  </w:num>
  <w:num w:numId="15">
    <w:abstractNumId w:val="1"/>
  </w:num>
  <w:num w:numId="16">
    <w:abstractNumId w:val="16"/>
  </w:num>
  <w:num w:numId="17">
    <w:abstractNumId w:val="2"/>
  </w:num>
  <w:num w:numId="18">
    <w:abstractNumId w:val="13"/>
  </w:num>
  <w:num w:numId="19">
    <w:abstractNumId w:val="15"/>
  </w:num>
  <w:num w:numId="20">
    <w:abstractNumId w:val="9"/>
  </w:num>
  <w:num w:numId="21">
    <w:abstractNumId w:val="21"/>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203B"/>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10142C8"/>
    <w:rsid w:val="03153493"/>
    <w:rsid w:val="058736EB"/>
    <w:rsid w:val="05AB68B0"/>
    <w:rsid w:val="062B1763"/>
    <w:rsid w:val="075E096D"/>
    <w:rsid w:val="08F359E4"/>
    <w:rsid w:val="09AF207D"/>
    <w:rsid w:val="0B5C30E6"/>
    <w:rsid w:val="0EC60D89"/>
    <w:rsid w:val="0EF21695"/>
    <w:rsid w:val="0F0E720B"/>
    <w:rsid w:val="11595FD2"/>
    <w:rsid w:val="12CF6372"/>
    <w:rsid w:val="1347361C"/>
    <w:rsid w:val="13AD7D70"/>
    <w:rsid w:val="13B04B28"/>
    <w:rsid w:val="142E5135"/>
    <w:rsid w:val="166D306B"/>
    <w:rsid w:val="168E0C63"/>
    <w:rsid w:val="17C42D0C"/>
    <w:rsid w:val="18E26F66"/>
    <w:rsid w:val="19194EFF"/>
    <w:rsid w:val="19884974"/>
    <w:rsid w:val="1BA331F5"/>
    <w:rsid w:val="1BBC5D49"/>
    <w:rsid w:val="1DB373D4"/>
    <w:rsid w:val="1E3D7258"/>
    <w:rsid w:val="1F114ADE"/>
    <w:rsid w:val="1F2B2B05"/>
    <w:rsid w:val="272B7C0B"/>
    <w:rsid w:val="27DB438A"/>
    <w:rsid w:val="2DE12C65"/>
    <w:rsid w:val="2F026797"/>
    <w:rsid w:val="2F880A01"/>
    <w:rsid w:val="2FD724F6"/>
    <w:rsid w:val="31DC6234"/>
    <w:rsid w:val="32777CB7"/>
    <w:rsid w:val="34515A2A"/>
    <w:rsid w:val="356B0BA7"/>
    <w:rsid w:val="35D5077B"/>
    <w:rsid w:val="36EA1CAF"/>
    <w:rsid w:val="37076A9B"/>
    <w:rsid w:val="37E101C1"/>
    <w:rsid w:val="38B85990"/>
    <w:rsid w:val="399C7DC6"/>
    <w:rsid w:val="3A5355D6"/>
    <w:rsid w:val="3C8C7557"/>
    <w:rsid w:val="3EC160B0"/>
    <w:rsid w:val="3F2F421C"/>
    <w:rsid w:val="3FA3325E"/>
    <w:rsid w:val="4006602A"/>
    <w:rsid w:val="413A1E31"/>
    <w:rsid w:val="44D845BB"/>
    <w:rsid w:val="45F66658"/>
    <w:rsid w:val="479447C0"/>
    <w:rsid w:val="47CB46E0"/>
    <w:rsid w:val="4A1456AE"/>
    <w:rsid w:val="4A5360F1"/>
    <w:rsid w:val="4AE919E6"/>
    <w:rsid w:val="4BBC7D76"/>
    <w:rsid w:val="4C3737C9"/>
    <w:rsid w:val="4D830B1D"/>
    <w:rsid w:val="4E90520C"/>
    <w:rsid w:val="4F99594A"/>
    <w:rsid w:val="502F1FA3"/>
    <w:rsid w:val="50D54D02"/>
    <w:rsid w:val="50E11586"/>
    <w:rsid w:val="511F7DD9"/>
    <w:rsid w:val="51AA41BC"/>
    <w:rsid w:val="53B41AA6"/>
    <w:rsid w:val="55120465"/>
    <w:rsid w:val="551501A8"/>
    <w:rsid w:val="5569480F"/>
    <w:rsid w:val="55C76964"/>
    <w:rsid w:val="569A4188"/>
    <w:rsid w:val="569F7D08"/>
    <w:rsid w:val="57FA2263"/>
    <w:rsid w:val="587970CA"/>
    <w:rsid w:val="5C3B4A8E"/>
    <w:rsid w:val="5E127950"/>
    <w:rsid w:val="5FFC04A5"/>
    <w:rsid w:val="60140EAA"/>
    <w:rsid w:val="60253E1D"/>
    <w:rsid w:val="639A4B0E"/>
    <w:rsid w:val="64A755D5"/>
    <w:rsid w:val="64BD3FC9"/>
    <w:rsid w:val="658971FF"/>
    <w:rsid w:val="65DA6C5D"/>
    <w:rsid w:val="66B90625"/>
    <w:rsid w:val="67D7195F"/>
    <w:rsid w:val="685C5F78"/>
    <w:rsid w:val="68FA09FF"/>
    <w:rsid w:val="69244569"/>
    <w:rsid w:val="696C155D"/>
    <w:rsid w:val="6A6F729D"/>
    <w:rsid w:val="6BC6664D"/>
    <w:rsid w:val="6BE64D01"/>
    <w:rsid w:val="6C00395A"/>
    <w:rsid w:val="6C487FF0"/>
    <w:rsid w:val="6CB15441"/>
    <w:rsid w:val="6D6F4E09"/>
    <w:rsid w:val="714D3798"/>
    <w:rsid w:val="74F37712"/>
    <w:rsid w:val="74FB14A6"/>
    <w:rsid w:val="78667BFB"/>
    <w:rsid w:val="78D34938"/>
    <w:rsid w:val="78E92B94"/>
    <w:rsid w:val="7A3F58DE"/>
    <w:rsid w:val="7A9F54C7"/>
    <w:rsid w:val="7AC37DD1"/>
    <w:rsid w:val="7B64026D"/>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5"/>
    <w:qFormat/>
    <w:uiPriority w:val="1"/>
    <w:rPr>
      <w:sz w:val="24"/>
      <w:szCs w:val="24"/>
    </w:rPr>
  </w:style>
  <w:style w:type="paragraph" w:styleId="10">
    <w:name w:val="Body Text Indent"/>
    <w:basedOn w:val="1"/>
    <w:qFormat/>
    <w:uiPriority w:val="0"/>
    <w:pPr>
      <w:spacing w:after="120"/>
      <w:ind w:left="420" w:leftChars="200"/>
    </w:pPr>
    <w:rPr>
      <w:sz w:val="20"/>
    </w:rPr>
  </w:style>
  <w:style w:type="paragraph" w:styleId="11">
    <w:name w:val="Plain Text"/>
    <w:basedOn w:val="1"/>
    <w:qFormat/>
    <w:uiPriority w:val="0"/>
    <w:rPr>
      <w:rFonts w:ascii="宋体" w:hAnsi="Courier New" w:eastAsiaTheme="minorEastAsia" w:cstheme="minorBidi"/>
      <w:szCs w:val="22"/>
    </w:rPr>
  </w:style>
  <w:style w:type="paragraph" w:styleId="12">
    <w:name w:val="Body Text Indent 2"/>
    <w:basedOn w:val="1"/>
    <w:qFormat/>
    <w:uiPriority w:val="0"/>
    <w:pPr>
      <w:ind w:left="630" w:firstLine="645"/>
    </w:pPr>
    <w:rPr>
      <w:rFonts w:ascii="Arial" w:hAnsi="Arial" w:eastAsia="仿宋_GB2312"/>
      <w:sz w:val="32"/>
    </w:rPr>
  </w:style>
  <w:style w:type="paragraph" w:styleId="13">
    <w:name w:val="Balloon Text"/>
    <w:basedOn w:val="1"/>
    <w:link w:val="34"/>
    <w:qFormat/>
    <w:uiPriority w:val="0"/>
    <w:rPr>
      <w:sz w:val="18"/>
      <w:szCs w:val="18"/>
    </w:rPr>
  </w:style>
  <w:style w:type="paragraph" w:styleId="14">
    <w:name w:val="footer"/>
    <w:basedOn w:val="1"/>
    <w:link w:val="33"/>
    <w:qFormat/>
    <w:uiPriority w:val="0"/>
    <w:pPr>
      <w:tabs>
        <w:tab w:val="center" w:pos="4153"/>
        <w:tab w:val="right" w:pos="8306"/>
      </w:tabs>
      <w:snapToGrid w:val="0"/>
    </w:pPr>
    <w:rPr>
      <w:sz w:val="18"/>
      <w:szCs w:val="18"/>
    </w:rPr>
  </w:style>
  <w:style w:type="paragraph" w:styleId="15">
    <w:name w:val="header"/>
    <w:basedOn w:val="1"/>
    <w:next w:val="16"/>
    <w:link w:val="32"/>
    <w:qFormat/>
    <w:uiPriority w:val="0"/>
    <w:pPr>
      <w:pBdr>
        <w:bottom w:val="single" w:color="auto" w:sz="6" w:space="1"/>
      </w:pBdr>
      <w:tabs>
        <w:tab w:val="center" w:pos="4153"/>
        <w:tab w:val="right" w:pos="8306"/>
      </w:tabs>
      <w:snapToGrid w:val="0"/>
      <w:jc w:val="center"/>
    </w:pPr>
    <w:rPr>
      <w:sz w:val="18"/>
      <w:szCs w:val="18"/>
    </w:rPr>
  </w:style>
  <w:style w:type="paragraph" w:styleId="16">
    <w:name w:val="Quote"/>
    <w:basedOn w:val="1"/>
    <w:next w:val="1"/>
    <w:qFormat/>
    <w:uiPriority w:val="99"/>
    <w:pPr>
      <w:ind w:left="864" w:right="864"/>
      <w:jc w:val="center"/>
    </w:pPr>
    <w:rPr>
      <w:i/>
      <w:iCs/>
      <w:color w:val="404040"/>
    </w:rPr>
  </w:style>
  <w:style w:type="paragraph" w:styleId="17">
    <w:name w:val="toc 1"/>
    <w:basedOn w:val="1"/>
    <w:next w:val="1"/>
    <w:qFormat/>
    <w:uiPriority w:val="1"/>
    <w:pPr>
      <w:spacing w:before="186"/>
      <w:ind w:left="218"/>
    </w:pPr>
    <w:rPr>
      <w:sz w:val="28"/>
      <w:szCs w:val="28"/>
    </w:rPr>
  </w:style>
  <w:style w:type="paragraph" w:styleId="18">
    <w:name w:val="footnote text"/>
    <w:basedOn w:val="1"/>
    <w:qFormat/>
    <w:uiPriority w:val="99"/>
    <w:pPr>
      <w:snapToGrid w:val="0"/>
    </w:pPr>
    <w:rPr>
      <w:sz w:val="18"/>
      <w:szCs w:val="18"/>
    </w:rPr>
  </w:style>
  <w:style w:type="paragraph" w:styleId="19">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0">
    <w:name w:val="Body Text First Indent"/>
    <w:basedOn w:val="9"/>
    <w:next w:val="21"/>
    <w:link w:val="40"/>
    <w:qFormat/>
    <w:uiPriority w:val="0"/>
    <w:pPr>
      <w:autoSpaceDE/>
      <w:autoSpaceDN/>
      <w:spacing w:after="120"/>
      <w:ind w:firstLine="420" w:firstLineChars="100"/>
      <w:jc w:val="both"/>
    </w:pPr>
    <w:rPr>
      <w:kern w:val="2"/>
      <w:sz w:val="21"/>
      <w:szCs w:val="21"/>
    </w:rPr>
  </w:style>
  <w:style w:type="paragraph" w:styleId="21">
    <w:name w:val="Body Text First Indent 2"/>
    <w:basedOn w:val="10"/>
    <w:unhideWhenUsed/>
    <w:qFormat/>
    <w:uiPriority w:val="0"/>
    <w:pPr>
      <w:widowControl/>
      <w:ind w:firstLine="200" w:firstLineChars="200"/>
    </w:pPr>
    <w:rPr>
      <w:rFonts w:ascii="Calibri" w:hAnsi="Calibri" w:cs="Times New Roman"/>
      <w:sz w:val="28"/>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Hyperlink"/>
    <w:basedOn w:val="24"/>
    <w:qFormat/>
    <w:uiPriority w:val="0"/>
    <w:rPr>
      <w:color w:val="0000FF" w:themeColor="hyperlink"/>
      <w:u w:val="single"/>
      <w14:textFill>
        <w14:solidFill>
          <w14:schemeClr w14:val="hlink"/>
        </w14:solidFill>
      </w14:textFill>
    </w:rPr>
  </w:style>
  <w:style w:type="paragraph" w:customStyle="1" w:styleId="2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9">
    <w:name w:val="Table Normal"/>
    <w:semiHidden/>
    <w:unhideWhenUsed/>
    <w:qFormat/>
    <w:uiPriority w:val="2"/>
    <w:tblPr>
      <w:tblCellMar>
        <w:top w:w="0" w:type="dxa"/>
        <w:left w:w="0" w:type="dxa"/>
        <w:bottom w:w="0" w:type="dxa"/>
        <w:right w:w="0" w:type="dxa"/>
      </w:tblCellMar>
    </w:tblPr>
  </w:style>
  <w:style w:type="paragraph" w:styleId="30">
    <w:name w:val="List Paragraph"/>
    <w:basedOn w:val="1"/>
    <w:qFormat/>
    <w:uiPriority w:val="1"/>
    <w:pPr>
      <w:ind w:left="218" w:firstLine="239"/>
    </w:pPr>
  </w:style>
  <w:style w:type="paragraph" w:customStyle="1" w:styleId="31">
    <w:name w:val="Table Paragraph"/>
    <w:basedOn w:val="1"/>
    <w:qFormat/>
    <w:uiPriority w:val="1"/>
  </w:style>
  <w:style w:type="character" w:customStyle="1" w:styleId="32">
    <w:name w:val="页眉 Char"/>
    <w:basedOn w:val="24"/>
    <w:link w:val="15"/>
    <w:qFormat/>
    <w:uiPriority w:val="0"/>
    <w:rPr>
      <w:rFonts w:ascii="宋体" w:hAnsi="宋体" w:cs="宋体"/>
      <w:sz w:val="18"/>
      <w:szCs w:val="18"/>
      <w:lang w:val="zh-CN" w:bidi="zh-CN"/>
    </w:rPr>
  </w:style>
  <w:style w:type="character" w:customStyle="1" w:styleId="33">
    <w:name w:val="页脚 Char"/>
    <w:basedOn w:val="24"/>
    <w:link w:val="14"/>
    <w:qFormat/>
    <w:uiPriority w:val="0"/>
    <w:rPr>
      <w:rFonts w:ascii="宋体" w:hAnsi="宋体" w:cs="宋体"/>
      <w:sz w:val="18"/>
      <w:szCs w:val="18"/>
      <w:lang w:val="zh-CN" w:bidi="zh-CN"/>
    </w:rPr>
  </w:style>
  <w:style w:type="character" w:customStyle="1" w:styleId="34">
    <w:name w:val="批注框文本 Char"/>
    <w:basedOn w:val="24"/>
    <w:link w:val="13"/>
    <w:qFormat/>
    <w:uiPriority w:val="0"/>
    <w:rPr>
      <w:rFonts w:ascii="宋体" w:hAnsi="宋体" w:cs="宋体"/>
      <w:sz w:val="18"/>
      <w:szCs w:val="18"/>
      <w:lang w:val="zh-CN" w:bidi="zh-CN"/>
    </w:rPr>
  </w:style>
  <w:style w:type="character" w:customStyle="1" w:styleId="35">
    <w:name w:val="正文文本 Char"/>
    <w:basedOn w:val="24"/>
    <w:link w:val="9"/>
    <w:qFormat/>
    <w:uiPriority w:val="1"/>
    <w:rPr>
      <w:rFonts w:ascii="宋体" w:hAnsi="宋体" w:cs="宋体"/>
      <w:sz w:val="24"/>
      <w:szCs w:val="24"/>
      <w:lang w:val="zh-CN" w:bidi="zh-CN"/>
    </w:rPr>
  </w:style>
  <w:style w:type="paragraph" w:customStyle="1" w:styleId="36">
    <w:name w:val="列出段落1"/>
    <w:basedOn w:val="1"/>
    <w:qFormat/>
    <w:uiPriority w:val="0"/>
    <w:pPr>
      <w:ind w:left="218" w:firstLine="239"/>
    </w:pPr>
    <w:rPr>
      <w:lang w:bidi="ar-SA"/>
    </w:rPr>
  </w:style>
  <w:style w:type="paragraph" w:customStyle="1" w:styleId="37">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8">
    <w:name w:val="正文文本缩进1"/>
    <w:basedOn w:val="1"/>
    <w:qFormat/>
    <w:uiPriority w:val="0"/>
    <w:pPr>
      <w:widowControl/>
      <w:spacing w:line="400" w:lineRule="exact"/>
      <w:ind w:firstLine="420" w:firstLineChars="200"/>
    </w:pPr>
    <w:rPr>
      <w:sz w:val="20"/>
      <w:szCs w:val="20"/>
    </w:rPr>
  </w:style>
  <w:style w:type="character" w:customStyle="1" w:styleId="39">
    <w:name w:val="正文首行缩进 Char"/>
    <w:basedOn w:val="35"/>
    <w:qFormat/>
    <w:uiPriority w:val="0"/>
    <w:rPr>
      <w:rFonts w:ascii="宋体" w:hAnsi="宋体" w:cs="宋体"/>
      <w:sz w:val="22"/>
      <w:szCs w:val="22"/>
      <w:lang w:val="zh-CN" w:bidi="zh-CN"/>
    </w:rPr>
  </w:style>
  <w:style w:type="character" w:customStyle="1" w:styleId="40">
    <w:name w:val="正文首行缩进 Char1"/>
    <w:basedOn w:val="35"/>
    <w:link w:val="20"/>
    <w:qFormat/>
    <w:uiPriority w:val="0"/>
    <w:rPr>
      <w:rFonts w:ascii="宋体" w:hAnsi="宋体" w:cs="宋体"/>
      <w:kern w:val="2"/>
      <w:sz w:val="21"/>
      <w:szCs w:val="21"/>
      <w:lang w:val="zh-CN" w:bidi="zh-CN"/>
    </w:rPr>
  </w:style>
  <w:style w:type="paragraph" w:customStyle="1" w:styleId="41">
    <w:name w:val="正文1"/>
    <w:basedOn w:val="1"/>
    <w:qFormat/>
    <w:uiPriority w:val="0"/>
    <w:pPr>
      <w:widowControl/>
      <w:topLinePunct/>
      <w:spacing w:beforeLines="50" w:afterLines="50" w:line="300" w:lineRule="auto"/>
      <w:ind w:left="420"/>
    </w:pPr>
  </w:style>
  <w:style w:type="paragraph" w:customStyle="1" w:styleId="42">
    <w:name w:val="Char Char Char Char Char Char Char1 Char"/>
    <w:basedOn w:val="1"/>
    <w:qFormat/>
    <w:uiPriority w:val="0"/>
    <w:rPr>
      <w:rFonts w:ascii="Tahoma" w:hAnsi="Tahoma"/>
    </w:rPr>
  </w:style>
  <w:style w:type="paragraph" w:customStyle="1" w:styleId="43">
    <w:name w:val="Default"/>
    <w:next w:val="15"/>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63</Pages>
  <Words>29520</Words>
  <Characters>32853</Characters>
  <Lines>121</Lines>
  <Paragraphs>34</Paragraphs>
  <TotalTime>1</TotalTime>
  <ScaleCrop>false</ScaleCrop>
  <LinksUpToDate>false</LinksUpToDate>
  <CharactersWithSpaces>33896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2026-03-31T07:06:33Z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2052-12.1.0.25225</vt:lpwstr>
  </property>
  <property fmtid="{D5CDD505-2E9C-101B-9397-08002B2CF9AE}" pid="6" name="ICV">
    <vt:lpwstr>A8E4C7197E994C79AE26141653E1CC76_13</vt:lpwstr>
  </property>
  <property fmtid="{D5CDD505-2E9C-101B-9397-08002B2CF9AE}" pid="7" name="KSOTemplateDocerSaveRecord">
    <vt:lpwstr>eyJoZGlkIjoiNTQ3MGY4OWEwYWQ5MGRhOTEyZDdjODBiNTM4ZTJjNzciLCJ1c2VySWQiOiIxMDg5MjYwMDExIn0=</vt:lpwstr>
  </property>
</Properties>
</file>