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2908FA">
      <w:pPr>
        <w:adjustRightInd w:val="0"/>
        <w:snapToGrid w:val="0"/>
        <w:jc w:val="center"/>
        <w:rPr>
          <w:rFonts w:hint="eastAsia" w:ascii="宋体" w:hAnsi="宋体" w:eastAsia="宋体" w:cs="Times New Roman"/>
          <w:b/>
          <w:color w:val="auto"/>
          <w:kern w:val="2"/>
          <w:sz w:val="48"/>
          <w:szCs w:val="48"/>
          <w:highlight w:val="none"/>
          <w:lang w:val="en-US" w:eastAsia="zh-CN" w:bidi="ar-SA"/>
        </w:rPr>
      </w:pPr>
      <w:r>
        <w:rPr>
          <w:rFonts w:hint="eastAsia" w:ascii="宋体" w:hAnsi="宋体"/>
          <w:b/>
          <w:color w:val="auto"/>
          <w:sz w:val="48"/>
          <w:szCs w:val="48"/>
          <w:highlight w:val="none"/>
          <w:lang w:val="en-US" w:eastAsia="zh-CN"/>
        </w:rPr>
        <w:t>S330豫皖交界至G106新蔡孙召段改建工程</w:t>
      </w:r>
    </w:p>
    <w:p w14:paraId="260EDA6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b/>
          <w:color w:val="auto"/>
          <w:sz w:val="36"/>
          <w:szCs w:val="36"/>
          <w:highlight w:val="none"/>
          <w:lang w:eastAsia="zh-CN"/>
        </w:rPr>
      </w:pPr>
    </w:p>
    <w:p w14:paraId="587FD39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b/>
          <w:color w:val="auto"/>
          <w:sz w:val="36"/>
          <w:szCs w:val="36"/>
          <w:highlight w:val="none"/>
          <w:lang w:val="en-US" w:eastAsia="zh-CN"/>
        </w:rPr>
      </w:pPr>
    </w:p>
    <w:p w14:paraId="1032E54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Times New Roman"/>
          <w:b/>
          <w:color w:val="auto"/>
          <w:sz w:val="36"/>
          <w:szCs w:val="36"/>
          <w:highlight w:val="none"/>
          <w:lang w:val="en-US" w:eastAsia="zh-CN"/>
        </w:rPr>
      </w:pPr>
    </w:p>
    <w:p w14:paraId="1F32687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b/>
          <w:color w:val="auto"/>
          <w:sz w:val="36"/>
          <w:szCs w:val="36"/>
          <w:highlight w:val="none"/>
          <w:lang w:val="en-US"/>
        </w:rPr>
      </w:pPr>
      <w:r>
        <w:rPr>
          <w:rFonts w:hint="eastAsia" w:ascii="宋体" w:hAnsi="宋体" w:eastAsia="宋体" w:cs="Times New Roman"/>
          <w:b/>
          <w:color w:val="auto"/>
          <w:sz w:val="36"/>
          <w:szCs w:val="36"/>
          <w:highlight w:val="none"/>
          <w:lang w:val="en-US" w:eastAsia="zh-CN"/>
        </w:rPr>
        <w:t>项目编号：</w:t>
      </w:r>
      <w:r>
        <w:rPr>
          <w:rFonts w:hint="eastAsia" w:ascii="宋体" w:hAnsi="宋体" w:cs="Times New Roman"/>
          <w:b/>
          <w:color w:val="auto"/>
          <w:sz w:val="36"/>
          <w:szCs w:val="36"/>
          <w:highlight w:val="none"/>
          <w:lang w:val="en-US" w:eastAsia="zh-CN"/>
        </w:rPr>
        <w:t>XCJS2026-020</w:t>
      </w:r>
    </w:p>
    <w:p w14:paraId="1A4A0A6C">
      <w:pPr>
        <w:keepNext/>
        <w:widowControl w:val="0"/>
        <w:spacing w:before="100" w:beforeAutospacing="1" w:after="100" w:afterAutospacing="1" w:line="480" w:lineRule="auto"/>
        <w:ind w:left="1548" w:hanging="1128"/>
        <w:jc w:val="both"/>
        <w:outlineLvl w:val="9"/>
        <w:rPr>
          <w:rFonts w:hint="eastAsia" w:ascii="黑体" w:hAnsi="宋体" w:eastAsia="黑体" w:cs="Times New Roman"/>
          <w:color w:val="auto"/>
          <w:kern w:val="2"/>
          <w:sz w:val="32"/>
          <w:szCs w:val="32"/>
          <w:highlight w:val="none"/>
          <w:lang w:val="en-US" w:eastAsia="zh-CN" w:bidi="ar-SA"/>
        </w:rPr>
      </w:pPr>
    </w:p>
    <w:p w14:paraId="643F7927">
      <w:pPr>
        <w:rPr>
          <w:rFonts w:hint="eastAsia"/>
          <w:color w:val="auto"/>
          <w:highlight w:val="none"/>
        </w:rPr>
      </w:pPr>
    </w:p>
    <w:p w14:paraId="3B08B8B5">
      <w:pPr>
        <w:pStyle w:val="13"/>
        <w:ind w:firstLine="240"/>
        <w:rPr>
          <w:rFonts w:ascii="宋体"/>
          <w:color w:val="auto"/>
          <w:highlight w:val="none"/>
        </w:rPr>
      </w:pPr>
      <w:r>
        <w:rPr>
          <w:rFonts w:hint="eastAsia" w:ascii="宋体"/>
          <w:color w:val="auto"/>
          <w:highlight w:val="none"/>
        </w:rPr>
        <w:t xml:space="preserve"> </w:t>
      </w:r>
    </w:p>
    <w:p w14:paraId="1600B41A">
      <w:pPr>
        <w:adjustRightInd w:val="0"/>
        <w:snapToGrid w:val="0"/>
        <w:jc w:val="center"/>
        <w:rPr>
          <w:rFonts w:ascii="宋体" w:hAnsi="宋体"/>
          <w:b/>
          <w:color w:val="auto"/>
          <w:sz w:val="52"/>
          <w:szCs w:val="52"/>
          <w:highlight w:val="none"/>
        </w:rPr>
      </w:pPr>
      <w:r>
        <w:rPr>
          <w:rFonts w:hint="eastAsia" w:ascii="宋体" w:hAnsi="宋体"/>
          <w:b/>
          <w:color w:val="auto"/>
          <w:sz w:val="52"/>
          <w:szCs w:val="52"/>
          <w:highlight w:val="none"/>
        </w:rPr>
        <w:t xml:space="preserve"> </w:t>
      </w:r>
      <w:r>
        <w:rPr>
          <w:rFonts w:hint="eastAsia" w:ascii="宋体" w:hAnsi="宋体" w:eastAsia="宋体" w:cs="Times New Roman"/>
          <w:b/>
          <w:color w:val="auto"/>
          <w:kern w:val="2"/>
          <w:sz w:val="48"/>
          <w:szCs w:val="48"/>
          <w:highlight w:val="none"/>
          <w:lang w:val="en-US" w:eastAsia="zh-CN" w:bidi="ar-SA"/>
        </w:rPr>
        <w:t>施工招标</w:t>
      </w:r>
      <w:r>
        <w:rPr>
          <w:rFonts w:hint="eastAsia" w:ascii="宋体" w:hAnsi="宋体"/>
          <w:b/>
          <w:color w:val="auto"/>
          <w:sz w:val="52"/>
          <w:szCs w:val="52"/>
          <w:highlight w:val="none"/>
        </w:rPr>
        <w:t>文件</w:t>
      </w:r>
    </w:p>
    <w:p w14:paraId="57CAF8A6">
      <w:pPr>
        <w:adjustRightInd w:val="0"/>
        <w:snapToGrid w:val="0"/>
        <w:jc w:val="center"/>
        <w:rPr>
          <w:rFonts w:ascii="宋体" w:hAnsi="宋体"/>
          <w:b/>
          <w:bCs/>
          <w:color w:val="auto"/>
          <w:sz w:val="44"/>
          <w:szCs w:val="44"/>
          <w:highlight w:val="none"/>
        </w:rPr>
      </w:pPr>
      <w:r>
        <w:rPr>
          <w:rFonts w:hint="eastAsia" w:ascii="宋体" w:hAnsi="宋体"/>
          <w:b/>
          <w:bCs/>
          <w:color w:val="auto"/>
          <w:sz w:val="44"/>
          <w:szCs w:val="44"/>
          <w:highlight w:val="none"/>
        </w:rPr>
        <w:t xml:space="preserve"> </w:t>
      </w:r>
    </w:p>
    <w:p w14:paraId="11EBBD05">
      <w:pPr>
        <w:adjustRightInd w:val="0"/>
        <w:snapToGrid w:val="0"/>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p>
    <w:p w14:paraId="1D63EEE7">
      <w:pPr>
        <w:keepNext/>
        <w:widowControl w:val="0"/>
        <w:spacing w:before="100" w:beforeAutospacing="1" w:after="100" w:afterAutospacing="1" w:line="480" w:lineRule="auto"/>
        <w:ind w:left="1548" w:hanging="1128"/>
        <w:jc w:val="both"/>
        <w:outlineLvl w:val="9"/>
        <w:rPr>
          <w:rFonts w:hint="eastAsia" w:ascii="宋体" w:hAnsi="宋体" w:eastAsia="黑体" w:cs="Times New Roman"/>
          <w:b/>
          <w:bCs/>
          <w:color w:val="auto"/>
          <w:kern w:val="2"/>
          <w:sz w:val="44"/>
          <w:szCs w:val="44"/>
          <w:highlight w:val="none"/>
          <w:lang w:val="en-US" w:eastAsia="zh-CN" w:bidi="ar-SA"/>
        </w:rPr>
      </w:pPr>
    </w:p>
    <w:p w14:paraId="2BA6D13C">
      <w:pPr>
        <w:rPr>
          <w:rFonts w:hint="eastAsia"/>
          <w:color w:val="auto"/>
          <w:highlight w:val="none"/>
        </w:rPr>
      </w:pPr>
    </w:p>
    <w:p w14:paraId="05FAE36F">
      <w:pPr>
        <w:keepNext/>
        <w:widowControl w:val="0"/>
        <w:spacing w:before="100" w:beforeAutospacing="1" w:after="100" w:afterAutospacing="1" w:line="480" w:lineRule="auto"/>
        <w:ind w:left="0" w:leftChars="0" w:firstLine="0" w:firstLineChars="0"/>
        <w:jc w:val="both"/>
        <w:outlineLvl w:val="9"/>
        <w:rPr>
          <w:rFonts w:ascii="黑体" w:hAnsi="宋体" w:eastAsia="黑体" w:cs="Times New Roman"/>
          <w:color w:val="auto"/>
          <w:kern w:val="2"/>
          <w:sz w:val="32"/>
          <w:szCs w:val="32"/>
          <w:highlight w:val="none"/>
          <w:lang w:val="en-US" w:eastAsia="zh-CN" w:bidi="ar-SA"/>
        </w:rPr>
      </w:pPr>
    </w:p>
    <w:p w14:paraId="59C215EE">
      <w:pPr>
        <w:rPr>
          <w:color w:val="auto"/>
          <w:highlight w:val="none"/>
        </w:rPr>
      </w:pPr>
    </w:p>
    <w:p w14:paraId="14E5D79C">
      <w:pPr>
        <w:adjustRightInd w:val="0"/>
        <w:snapToGrid w:val="0"/>
        <w:spacing w:line="360" w:lineRule="auto"/>
        <w:ind w:firstLine="1606" w:firstLineChars="500"/>
        <w:rPr>
          <w:rStyle w:val="31"/>
          <w:rFonts w:hint="eastAsia" w:ascii="宋体" w:hAnsi="宋体" w:eastAsia="宋体" w:cs="宋体"/>
          <w:b/>
          <w:bCs/>
          <w:color w:val="000000"/>
          <w:sz w:val="32"/>
          <w:szCs w:val="32"/>
          <w:u w:val="none"/>
          <w:lang w:val="en-US" w:eastAsia="zh-CN"/>
        </w:rPr>
      </w:pPr>
      <w:r>
        <w:rPr>
          <w:rFonts w:hint="eastAsia" w:ascii="宋体" w:hAnsi="宋体" w:eastAsia="宋体" w:cs="宋体"/>
          <w:b/>
          <w:bCs/>
          <w:color w:val="auto"/>
          <w:kern w:val="10"/>
          <w:sz w:val="32"/>
          <w:szCs w:val="32"/>
          <w:highlight w:val="none"/>
        </w:rPr>
        <w:t xml:space="preserve">招 </w:t>
      </w:r>
      <w:r>
        <w:rPr>
          <w:rFonts w:hint="eastAsia" w:ascii="宋体" w:hAnsi="宋体" w:eastAsia="宋体" w:cs="宋体"/>
          <w:b/>
          <w:bCs/>
          <w:color w:val="auto"/>
          <w:kern w:val="10"/>
          <w:sz w:val="32"/>
          <w:szCs w:val="32"/>
          <w:highlight w:val="none"/>
          <w:lang w:val="en-US" w:eastAsia="zh-CN"/>
        </w:rPr>
        <w:t xml:space="preserve">  </w:t>
      </w:r>
      <w:r>
        <w:rPr>
          <w:rFonts w:hint="eastAsia" w:ascii="宋体" w:hAnsi="宋体" w:eastAsia="宋体" w:cs="宋体"/>
          <w:b/>
          <w:bCs/>
          <w:color w:val="auto"/>
          <w:kern w:val="10"/>
          <w:sz w:val="32"/>
          <w:szCs w:val="32"/>
          <w:highlight w:val="none"/>
        </w:rPr>
        <w:t xml:space="preserve">标 </w:t>
      </w:r>
      <w:r>
        <w:rPr>
          <w:rFonts w:hint="eastAsia" w:ascii="宋体" w:hAnsi="宋体" w:eastAsia="宋体" w:cs="宋体"/>
          <w:b/>
          <w:bCs/>
          <w:color w:val="auto"/>
          <w:kern w:val="10"/>
          <w:sz w:val="32"/>
          <w:szCs w:val="32"/>
          <w:highlight w:val="none"/>
          <w:lang w:val="en-US" w:eastAsia="zh-CN"/>
        </w:rPr>
        <w:t xml:space="preserve">  </w:t>
      </w:r>
      <w:r>
        <w:rPr>
          <w:rFonts w:hint="eastAsia" w:ascii="宋体" w:hAnsi="宋体" w:eastAsia="宋体" w:cs="宋体"/>
          <w:b/>
          <w:bCs/>
          <w:color w:val="auto"/>
          <w:kern w:val="10"/>
          <w:sz w:val="32"/>
          <w:szCs w:val="32"/>
          <w:highlight w:val="none"/>
        </w:rPr>
        <w:t>人</w:t>
      </w:r>
      <w:r>
        <w:rPr>
          <w:rFonts w:hint="eastAsia" w:ascii="宋体" w:hAnsi="宋体" w:eastAsia="宋体" w:cs="宋体"/>
          <w:b/>
          <w:bCs/>
          <w:color w:val="auto"/>
          <w:sz w:val="32"/>
          <w:szCs w:val="32"/>
          <w:highlight w:val="none"/>
        </w:rPr>
        <w:t>：</w:t>
      </w:r>
      <w:r>
        <w:rPr>
          <w:rStyle w:val="31"/>
          <w:rFonts w:hint="eastAsia" w:ascii="宋体" w:hAnsi="宋体" w:eastAsia="宋体" w:cs="宋体"/>
          <w:b/>
          <w:bCs/>
          <w:color w:val="000000"/>
          <w:sz w:val="32"/>
          <w:szCs w:val="32"/>
          <w:u w:val="none"/>
          <w:lang w:val="en-US" w:eastAsia="zh-CN"/>
        </w:rPr>
        <w:t>新蔡县公路事业发展中心</w:t>
      </w:r>
    </w:p>
    <w:p w14:paraId="2409CD82">
      <w:pPr>
        <w:adjustRightInd w:val="0"/>
        <w:snapToGrid w:val="0"/>
        <w:spacing w:beforeLines="50" w:afterLines="50" w:line="360" w:lineRule="auto"/>
        <w:ind w:firstLine="1606" w:firstLineChars="500"/>
        <w:rPr>
          <w:rFonts w:hint="eastAsia" w:ascii="宋体" w:hAnsi="宋体" w:eastAsia="宋体" w:cs="宋体"/>
          <w:b/>
          <w:bCs/>
          <w:color w:val="auto"/>
          <w:sz w:val="32"/>
          <w:szCs w:val="32"/>
          <w:highlight w:val="none"/>
          <w:u w:val="none"/>
        </w:rPr>
      </w:pPr>
      <w:r>
        <w:rPr>
          <w:rFonts w:hint="eastAsia" w:ascii="宋体" w:hAnsi="宋体" w:eastAsia="宋体" w:cs="宋体"/>
          <w:b/>
          <w:bCs/>
          <w:color w:val="auto"/>
          <w:sz w:val="32"/>
          <w:szCs w:val="32"/>
          <w:highlight w:val="none"/>
        </w:rPr>
        <w:t>招标代理机构：</w:t>
      </w:r>
      <w:r>
        <w:rPr>
          <w:rFonts w:hint="eastAsia" w:ascii="宋体" w:hAnsi="宋体" w:cs="宋体"/>
          <w:b/>
          <w:bCs/>
          <w:color w:val="auto"/>
          <w:sz w:val="32"/>
          <w:szCs w:val="32"/>
          <w:highlight w:val="none"/>
          <w:u w:val="none"/>
          <w:lang w:val="en-US" w:eastAsia="zh-CN"/>
        </w:rPr>
        <w:t>河南茂泰项目管理有限公司</w:t>
      </w:r>
    </w:p>
    <w:p w14:paraId="05458D19">
      <w:pPr>
        <w:keepNext w:val="0"/>
        <w:keepLines w:val="0"/>
        <w:pageBreakBefore w:val="0"/>
        <w:widowControl w:val="0"/>
        <w:kinsoku/>
        <w:overflowPunct/>
        <w:topLinePunct w:val="0"/>
        <w:autoSpaceDE/>
        <w:autoSpaceDN/>
        <w:bidi w:val="0"/>
        <w:adjustRightInd/>
        <w:snapToGrid/>
        <w:spacing w:line="400" w:lineRule="exact"/>
        <w:ind w:right="0" w:rightChars="0" w:firstLine="1606" w:firstLineChars="500"/>
        <w:jc w:val="both"/>
        <w:textAlignment w:val="auto"/>
        <w:rPr>
          <w:rStyle w:val="31"/>
          <w:rFonts w:hint="eastAsia" w:ascii="宋体" w:hAnsi="宋体" w:eastAsia="宋体" w:cs="宋体"/>
          <w:color w:val="000000"/>
          <w:sz w:val="32"/>
          <w:szCs w:val="32"/>
          <w:u w:val="none"/>
          <w:lang w:val="en-US" w:eastAsia="zh-CN"/>
        </w:rPr>
      </w:pPr>
      <w:r>
        <w:rPr>
          <w:rFonts w:hint="eastAsia" w:ascii="宋体" w:hAnsi="宋体" w:eastAsia="宋体" w:cs="宋体"/>
          <w:b/>
          <w:bCs/>
          <w:color w:val="auto"/>
          <w:sz w:val="32"/>
          <w:szCs w:val="32"/>
          <w:highlight w:val="none"/>
        </w:rPr>
        <w:t>日        期：</w:t>
      </w:r>
      <w:r>
        <w:rPr>
          <w:rStyle w:val="31"/>
          <w:rFonts w:hint="eastAsia" w:ascii="宋体" w:hAnsi="宋体" w:eastAsia="宋体" w:cs="宋体"/>
          <w:b/>
          <w:bCs/>
          <w:color w:val="000000"/>
          <w:sz w:val="32"/>
          <w:szCs w:val="32"/>
          <w:u w:val="none"/>
          <w:lang w:val="en-US" w:eastAsia="zh-CN"/>
        </w:rPr>
        <w:t>二零二</w:t>
      </w:r>
      <w:r>
        <w:rPr>
          <w:rStyle w:val="31"/>
          <w:rFonts w:hint="eastAsia" w:ascii="宋体" w:hAnsi="宋体" w:cs="宋体"/>
          <w:b/>
          <w:bCs/>
          <w:color w:val="000000"/>
          <w:sz w:val="32"/>
          <w:szCs w:val="32"/>
          <w:u w:val="none"/>
          <w:lang w:val="en-US" w:eastAsia="zh-CN"/>
        </w:rPr>
        <w:t>六</w:t>
      </w:r>
      <w:r>
        <w:rPr>
          <w:rStyle w:val="31"/>
          <w:rFonts w:hint="eastAsia" w:ascii="宋体" w:hAnsi="宋体" w:eastAsia="宋体" w:cs="宋体"/>
          <w:b/>
          <w:bCs/>
          <w:color w:val="000000"/>
          <w:sz w:val="32"/>
          <w:szCs w:val="32"/>
          <w:u w:val="none"/>
          <w:lang w:val="en-US" w:eastAsia="zh-CN"/>
        </w:rPr>
        <w:t>年</w:t>
      </w:r>
      <w:r>
        <w:rPr>
          <w:rStyle w:val="31"/>
          <w:rFonts w:hint="eastAsia" w:ascii="宋体" w:hAnsi="宋体" w:cs="宋体"/>
          <w:b/>
          <w:bCs/>
          <w:color w:val="000000"/>
          <w:sz w:val="32"/>
          <w:szCs w:val="32"/>
          <w:u w:val="none"/>
          <w:lang w:val="en-US" w:eastAsia="zh-CN"/>
        </w:rPr>
        <w:t>十</w:t>
      </w:r>
      <w:r>
        <w:rPr>
          <w:rStyle w:val="31"/>
          <w:rFonts w:hint="eastAsia" w:ascii="宋体" w:hAnsi="宋体" w:eastAsia="宋体" w:cs="宋体"/>
          <w:b/>
          <w:bCs/>
          <w:color w:val="000000"/>
          <w:sz w:val="32"/>
          <w:szCs w:val="32"/>
          <w:u w:val="none"/>
          <w:lang w:val="en-US" w:eastAsia="zh-CN"/>
        </w:rPr>
        <w:t>月</w:t>
      </w:r>
      <w:r>
        <w:rPr>
          <w:rStyle w:val="31"/>
          <w:rFonts w:hint="eastAsia" w:ascii="宋体" w:hAnsi="宋体" w:eastAsia="宋体" w:cs="宋体"/>
          <w:color w:val="000000"/>
          <w:sz w:val="32"/>
          <w:szCs w:val="32"/>
          <w:u w:val="none"/>
          <w:lang w:val="en-US" w:eastAsia="zh-CN"/>
        </w:rPr>
        <w:t xml:space="preserve"> </w:t>
      </w:r>
    </w:p>
    <w:p w14:paraId="09972A34">
      <w:pPr>
        <w:keepNext w:val="0"/>
        <w:keepLines w:val="0"/>
        <w:pageBreakBefore w:val="0"/>
        <w:widowControl w:val="0"/>
        <w:kinsoku/>
        <w:overflowPunct/>
        <w:topLinePunct w:val="0"/>
        <w:autoSpaceDE/>
        <w:autoSpaceDN/>
        <w:bidi w:val="0"/>
        <w:adjustRightInd/>
        <w:snapToGrid/>
        <w:spacing w:line="400" w:lineRule="exact"/>
        <w:ind w:right="0" w:rightChars="0"/>
        <w:jc w:val="center"/>
        <w:textAlignment w:val="auto"/>
        <w:rPr>
          <w:rStyle w:val="31"/>
          <w:rFonts w:hint="eastAsia" w:ascii="宋体" w:hAnsi="宋体" w:eastAsia="宋体" w:cs="宋体"/>
          <w:color w:val="000000"/>
          <w:sz w:val="32"/>
          <w:szCs w:val="32"/>
          <w:u w:val="none"/>
          <w:lang w:val="en-US" w:eastAsia="zh-CN"/>
        </w:rPr>
      </w:pPr>
    </w:p>
    <w:p w14:paraId="62D12268">
      <w:pPr>
        <w:keepNext w:val="0"/>
        <w:keepLines w:val="0"/>
        <w:pageBreakBefore w:val="0"/>
        <w:widowControl w:val="0"/>
        <w:kinsoku/>
        <w:overflowPunct/>
        <w:topLinePunct w:val="0"/>
        <w:autoSpaceDE/>
        <w:autoSpaceDN/>
        <w:bidi w:val="0"/>
        <w:adjustRightInd/>
        <w:snapToGrid/>
        <w:spacing w:line="400" w:lineRule="exact"/>
        <w:ind w:right="0" w:rightChars="0"/>
        <w:jc w:val="center"/>
        <w:textAlignment w:val="auto"/>
        <w:rPr>
          <w:rFonts w:hint="eastAsia" w:ascii="宋体" w:hAnsi="宋体"/>
          <w:b/>
          <w:color w:val="auto"/>
          <w:sz w:val="36"/>
          <w:szCs w:val="36"/>
          <w:highlight w:val="none"/>
        </w:rPr>
      </w:pPr>
    </w:p>
    <w:p w14:paraId="57AABAD4">
      <w:pPr>
        <w:keepNext w:val="0"/>
        <w:keepLines w:val="0"/>
        <w:pageBreakBefore w:val="0"/>
        <w:widowControl w:val="0"/>
        <w:kinsoku/>
        <w:overflowPunct/>
        <w:topLinePunct w:val="0"/>
        <w:autoSpaceDE/>
        <w:autoSpaceDN/>
        <w:bidi w:val="0"/>
        <w:adjustRightInd/>
        <w:snapToGrid/>
        <w:spacing w:line="400" w:lineRule="exact"/>
        <w:ind w:right="0" w:rightChars="0"/>
        <w:jc w:val="both"/>
        <w:textAlignment w:val="auto"/>
        <w:rPr>
          <w:rFonts w:hint="eastAsia" w:ascii="宋体" w:hAnsi="宋体"/>
          <w:b/>
          <w:color w:val="auto"/>
          <w:sz w:val="36"/>
          <w:szCs w:val="36"/>
          <w:highlight w:val="none"/>
        </w:rPr>
      </w:pPr>
    </w:p>
    <w:p w14:paraId="44984D30">
      <w:pPr>
        <w:keepNext w:val="0"/>
        <w:keepLines w:val="0"/>
        <w:pageBreakBefore w:val="0"/>
        <w:widowControl w:val="0"/>
        <w:kinsoku/>
        <w:overflowPunct/>
        <w:topLinePunct w:val="0"/>
        <w:autoSpaceDE/>
        <w:autoSpaceDN/>
        <w:bidi w:val="0"/>
        <w:adjustRightInd/>
        <w:snapToGrid/>
        <w:spacing w:line="400" w:lineRule="exact"/>
        <w:ind w:right="0" w:rightChars="0"/>
        <w:jc w:val="center"/>
        <w:textAlignment w:val="auto"/>
        <w:rPr>
          <w:rFonts w:hint="eastAsia" w:ascii="宋体" w:hAnsi="宋体"/>
          <w:b/>
          <w:color w:val="auto"/>
          <w:sz w:val="36"/>
          <w:szCs w:val="36"/>
          <w:highlight w:val="none"/>
        </w:rPr>
      </w:pPr>
    </w:p>
    <w:p w14:paraId="085B178A">
      <w:pPr>
        <w:keepNext w:val="0"/>
        <w:keepLines w:val="0"/>
        <w:pageBreakBefore w:val="0"/>
        <w:widowControl w:val="0"/>
        <w:kinsoku/>
        <w:overflowPunct/>
        <w:topLinePunct w:val="0"/>
        <w:autoSpaceDE/>
        <w:autoSpaceDN/>
        <w:bidi w:val="0"/>
        <w:adjustRightInd/>
        <w:snapToGrid/>
        <w:spacing w:line="400" w:lineRule="exact"/>
        <w:ind w:right="0" w:rightChars="0"/>
        <w:jc w:val="center"/>
        <w:textAlignment w:val="auto"/>
        <w:rPr>
          <w:rFonts w:ascii="宋体" w:hAnsi="宋体"/>
          <w:b/>
          <w:color w:val="auto"/>
          <w:sz w:val="36"/>
          <w:szCs w:val="36"/>
          <w:highlight w:val="none"/>
        </w:rPr>
      </w:pPr>
      <w:r>
        <w:rPr>
          <w:rFonts w:hint="eastAsia" w:ascii="宋体" w:hAnsi="宋体"/>
          <w:b/>
          <w:color w:val="auto"/>
          <w:sz w:val="36"/>
          <w:szCs w:val="36"/>
          <w:highlight w:val="none"/>
        </w:rPr>
        <w:t>招标代理项目部人员组成</w:t>
      </w:r>
    </w:p>
    <w:p w14:paraId="247390FE">
      <w:pPr>
        <w:keepNext w:val="0"/>
        <w:keepLines w:val="0"/>
        <w:pageBreakBefore w:val="0"/>
        <w:widowControl w:val="0"/>
        <w:kinsoku/>
        <w:overflowPunct/>
        <w:topLinePunct w:val="0"/>
        <w:autoSpaceDE/>
        <w:autoSpaceDN/>
        <w:bidi w:val="0"/>
        <w:adjustRightInd/>
        <w:snapToGrid/>
        <w:spacing w:line="400" w:lineRule="exact"/>
        <w:ind w:right="0" w:rightChars="0" w:firstLine="2132" w:firstLineChars="590"/>
        <w:textAlignment w:val="auto"/>
        <w:rPr>
          <w:rFonts w:ascii="宋体" w:hAnsi="宋体"/>
          <w:b/>
          <w:color w:val="auto"/>
          <w:sz w:val="36"/>
          <w:szCs w:val="36"/>
          <w:highlight w:val="none"/>
        </w:rPr>
      </w:pPr>
      <w:r>
        <w:rPr>
          <w:rFonts w:hint="eastAsia" w:ascii="宋体" w:hAnsi="宋体"/>
          <w:b/>
          <w:color w:val="auto"/>
          <w:sz w:val="36"/>
          <w:szCs w:val="36"/>
          <w:highlight w:val="none"/>
        </w:rPr>
        <w:t xml:space="preserve"> </w:t>
      </w:r>
    </w:p>
    <w:p w14:paraId="71E8F273">
      <w:pPr>
        <w:numPr>
          <w:ilvl w:val="0"/>
          <w:numId w:val="0"/>
        </w:numPr>
        <w:spacing w:line="360" w:lineRule="auto"/>
        <w:ind w:left="901" w:leftChars="0" w:right="-34" w:rightChars="-16" w:hanging="720" w:firstLineChars="0"/>
        <w:rPr>
          <w:rFonts w:hint="eastAsia" w:ascii="宋体" w:hAnsi="宋体" w:eastAsia="宋体" w:cs="宋体"/>
          <w:color w:val="auto"/>
          <w:sz w:val="30"/>
          <w:szCs w:val="30"/>
        </w:rPr>
      </w:pPr>
      <w:r>
        <w:rPr>
          <w:rFonts w:hint="default" w:ascii="宋体" w:hAnsi="宋体" w:eastAsia="宋体" w:cs="宋体"/>
          <w:color w:val="auto"/>
          <w:kern w:val="2"/>
          <w:sz w:val="30"/>
          <w:szCs w:val="30"/>
          <w:lang w:val="en-US" w:eastAsia="zh-CN" w:bidi="ar-SA"/>
        </w:rPr>
        <w:t>一、</w:t>
      </w:r>
      <w:r>
        <w:rPr>
          <w:rFonts w:hint="eastAsia" w:ascii="宋体" w:hAnsi="宋体" w:eastAsia="宋体" w:cs="宋体"/>
          <w:color w:val="auto"/>
          <w:sz w:val="30"/>
          <w:szCs w:val="30"/>
        </w:rPr>
        <w:t>项目负责人</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u w:val="single"/>
          <w:lang w:val="en-US" w:eastAsia="zh-CN"/>
        </w:rPr>
        <w:t>王香</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Z45020260485</w:t>
      </w:r>
      <w:r>
        <w:rPr>
          <w:rFonts w:hint="eastAsia" w:ascii="宋体" w:hAnsi="宋体" w:eastAsia="宋体" w:cs="宋体"/>
          <w:color w:val="auto"/>
          <w:sz w:val="30"/>
          <w:szCs w:val="30"/>
        </w:rPr>
        <w:t>（职业资格或岗位证号）</w:t>
      </w:r>
    </w:p>
    <w:p w14:paraId="1A3FE263">
      <w:pPr>
        <w:numPr>
          <w:ilvl w:val="0"/>
          <w:numId w:val="0"/>
        </w:numPr>
        <w:spacing w:line="360" w:lineRule="auto"/>
        <w:ind w:left="899" w:leftChars="0" w:right="-34" w:rightChars="-16" w:hanging="720" w:firstLineChars="0"/>
        <w:rPr>
          <w:rFonts w:hint="eastAsia" w:ascii="宋体" w:hAnsi="宋体" w:eastAsia="宋体" w:cs="宋体"/>
          <w:color w:val="auto"/>
          <w:sz w:val="30"/>
          <w:szCs w:val="30"/>
          <w:u w:val="single"/>
          <w:lang w:val="en-US" w:eastAsia="zh-CN"/>
        </w:rPr>
      </w:pPr>
      <w:r>
        <w:rPr>
          <w:rFonts w:hint="default" w:ascii="宋体" w:hAnsi="宋体" w:eastAsia="宋体" w:cs="宋体"/>
          <w:color w:val="auto"/>
          <w:kern w:val="2"/>
          <w:sz w:val="30"/>
          <w:szCs w:val="30"/>
          <w:lang w:val="en-US" w:eastAsia="zh-CN" w:bidi="ar-SA"/>
        </w:rPr>
        <w:t>二、</w:t>
      </w:r>
      <w:r>
        <w:rPr>
          <w:rFonts w:hint="eastAsia" w:ascii="宋体" w:hAnsi="宋体" w:eastAsia="宋体" w:cs="宋体"/>
          <w:color w:val="auto"/>
          <w:sz w:val="30"/>
          <w:szCs w:val="30"/>
        </w:rPr>
        <w:t>其他人员</w:t>
      </w:r>
    </w:p>
    <w:p w14:paraId="07351F96">
      <w:pPr>
        <w:spacing w:line="360" w:lineRule="auto"/>
        <w:ind w:right="-34" w:rightChars="-16" w:firstLine="600" w:firstLineChars="200"/>
        <w:jc w:val="both"/>
        <w:outlineLvl w:val="9"/>
        <w:rPr>
          <w:rFonts w:hint="eastAsia" w:ascii="宋体" w:hAnsi="宋体" w:eastAsia="宋体" w:cs="宋体"/>
          <w:color w:val="auto"/>
          <w:sz w:val="30"/>
          <w:szCs w:val="30"/>
          <w:u w:val="none"/>
          <w:lang w:val="en-US" w:eastAsia="zh-CN"/>
        </w:rPr>
      </w:pPr>
      <w:r>
        <w:rPr>
          <w:rFonts w:hint="eastAsia" w:ascii="宋体" w:hAnsi="宋体" w:eastAsia="宋体" w:cs="宋体"/>
          <w:color w:val="auto"/>
          <w:sz w:val="30"/>
          <w:szCs w:val="30"/>
          <w:u w:val="none"/>
          <w:lang w:val="en-US" w:eastAsia="zh-CN"/>
        </w:rPr>
        <w:t>1、姓名：</w:t>
      </w:r>
      <w:r>
        <w:rPr>
          <w:rFonts w:hint="eastAsia" w:ascii="宋体" w:hAnsi="宋体" w:eastAsia="宋体" w:cs="宋体"/>
          <w:color w:val="auto"/>
          <w:sz w:val="30"/>
          <w:szCs w:val="30"/>
          <w:u w:val="single"/>
          <w:lang w:val="en-US" w:eastAsia="zh-CN"/>
        </w:rPr>
        <w:t>刘阳</w:t>
      </w:r>
      <w:r>
        <w:rPr>
          <w:rFonts w:hint="eastAsia" w:ascii="宋体" w:hAnsi="宋体" w:eastAsia="宋体" w:cs="宋体"/>
          <w:color w:val="auto"/>
          <w:sz w:val="30"/>
          <w:szCs w:val="30"/>
          <w:u w:val="none"/>
          <w:lang w:val="en-US" w:eastAsia="zh-CN"/>
        </w:rPr>
        <w:t xml:space="preserve"> </w:t>
      </w:r>
      <w:r>
        <w:rPr>
          <w:rFonts w:hint="eastAsia" w:ascii="宋体" w:hAnsi="宋体" w:cs="宋体"/>
          <w:color w:val="auto"/>
          <w:sz w:val="30"/>
          <w:szCs w:val="30"/>
          <w:u w:val="none"/>
          <w:lang w:val="en-US" w:eastAsia="zh-CN"/>
        </w:rPr>
        <w:t xml:space="preserve">   </w:t>
      </w:r>
      <w:r>
        <w:rPr>
          <w:rFonts w:hint="eastAsia" w:ascii="宋体" w:hAnsi="宋体" w:eastAsia="宋体" w:cs="宋体"/>
          <w:color w:val="auto"/>
          <w:sz w:val="30"/>
          <w:szCs w:val="30"/>
          <w:highlight w:val="none"/>
          <w:u w:val="single"/>
          <w:lang w:val="en-US" w:eastAsia="zh-CN"/>
        </w:rPr>
        <w:t xml:space="preserve">Z4515002060 </w:t>
      </w:r>
      <w:r>
        <w:rPr>
          <w:rFonts w:hint="eastAsia" w:ascii="宋体" w:hAnsi="宋体" w:eastAsia="宋体" w:cs="宋体"/>
          <w:color w:val="auto"/>
          <w:sz w:val="30"/>
          <w:szCs w:val="30"/>
        </w:rPr>
        <w:t>（职业资格或岗位证号）</w:t>
      </w:r>
    </w:p>
    <w:p w14:paraId="182FC18B">
      <w:pPr>
        <w:spacing w:line="360" w:lineRule="auto"/>
        <w:ind w:right="-34" w:rightChars="-16" w:firstLine="600" w:firstLineChars="200"/>
        <w:jc w:val="both"/>
        <w:outlineLvl w:val="9"/>
        <w:rPr>
          <w:rFonts w:hint="eastAsia" w:ascii="宋体" w:hAnsi="宋体" w:eastAsia="宋体" w:cs="宋体"/>
          <w:color w:val="auto"/>
          <w:sz w:val="30"/>
          <w:szCs w:val="30"/>
          <w:u w:val="none"/>
          <w:lang w:val="en-US" w:eastAsia="zh-CN"/>
        </w:rPr>
      </w:pPr>
      <w:r>
        <w:rPr>
          <w:rFonts w:hint="eastAsia" w:ascii="宋体" w:hAnsi="宋体" w:eastAsia="宋体" w:cs="宋体"/>
          <w:color w:val="auto"/>
          <w:sz w:val="30"/>
          <w:szCs w:val="30"/>
          <w:u w:val="none"/>
          <w:lang w:val="en-US" w:eastAsia="zh-CN"/>
        </w:rPr>
        <w:t>2、姓名：</w:t>
      </w:r>
      <w:r>
        <w:rPr>
          <w:rFonts w:hint="eastAsia" w:ascii="宋体" w:hAnsi="宋体" w:eastAsia="宋体" w:cs="宋体"/>
          <w:color w:val="auto"/>
          <w:sz w:val="30"/>
          <w:szCs w:val="30"/>
          <w:u w:val="single"/>
          <w:lang w:val="en-US" w:eastAsia="zh-CN"/>
        </w:rPr>
        <w:t>刘怀清</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Z45020250439（职业资格或岗位证号）</w:t>
      </w:r>
    </w:p>
    <w:p w14:paraId="294D6B35">
      <w:pPr>
        <w:spacing w:line="360" w:lineRule="auto"/>
        <w:ind w:right="-34" w:rightChars="-16" w:firstLine="600" w:firstLineChars="200"/>
        <w:jc w:val="both"/>
        <w:outlineLvl w:val="9"/>
        <w:rPr>
          <w:rFonts w:hint="eastAsia" w:ascii="宋体" w:hAnsi="宋体" w:eastAsia="宋体" w:cs="宋体"/>
          <w:color w:val="auto"/>
          <w:sz w:val="30"/>
          <w:szCs w:val="30"/>
          <w:u w:val="single"/>
          <w:lang w:val="en-US" w:eastAsia="zh-CN"/>
        </w:rPr>
      </w:pPr>
      <w:r>
        <w:rPr>
          <w:rFonts w:hint="eastAsia" w:ascii="宋体" w:hAnsi="宋体" w:eastAsia="宋体" w:cs="宋体"/>
          <w:color w:val="auto"/>
          <w:sz w:val="30"/>
          <w:szCs w:val="30"/>
          <w:u w:val="none"/>
          <w:lang w:val="en-US" w:eastAsia="zh-CN"/>
        </w:rPr>
        <w:t>3、姓名：</w:t>
      </w:r>
      <w:r>
        <w:rPr>
          <w:rFonts w:hint="eastAsia" w:ascii="宋体" w:hAnsi="宋体" w:eastAsia="宋体" w:cs="宋体"/>
          <w:color w:val="auto"/>
          <w:sz w:val="30"/>
          <w:szCs w:val="30"/>
          <w:u w:val="single"/>
          <w:lang w:val="en-US" w:eastAsia="zh-CN"/>
        </w:rPr>
        <w:t>韩小群</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建[造]11204100002176（职业资格或岗位证号）</w:t>
      </w:r>
    </w:p>
    <w:p w14:paraId="60637C82">
      <w:pPr>
        <w:spacing w:beforeLines="200" w:afterLines="200" w:line="360" w:lineRule="auto"/>
        <w:ind w:right="-34" w:rightChars="-16"/>
        <w:rPr>
          <w:rFonts w:hint="eastAsia" w:ascii="宋体" w:hAnsi="宋体"/>
          <w:color w:val="auto"/>
          <w:sz w:val="32"/>
          <w:szCs w:val="32"/>
          <w:highlight w:val="none"/>
        </w:rPr>
      </w:pPr>
    </w:p>
    <w:p w14:paraId="1463160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39C6A04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03B1569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242613C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743BC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olor w:val="auto"/>
          <w:sz w:val="32"/>
          <w:szCs w:val="32"/>
          <w:highlight w:val="none"/>
        </w:rPr>
      </w:pPr>
    </w:p>
    <w:p w14:paraId="3F7B9BC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CD6016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74E48FF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59A3E08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1D6DE4C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90FE0E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0308A8A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5A21049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4BBC79C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p w14:paraId="64CBC62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color w:val="auto"/>
          <w:sz w:val="32"/>
          <w:szCs w:val="32"/>
          <w:highlight w:val="none"/>
        </w:rPr>
      </w:pPr>
    </w:p>
    <w:sdt>
      <w:sdtPr>
        <w:rPr>
          <w:rFonts w:ascii="宋体" w:hAnsi="宋体" w:eastAsia="宋体" w:cs="Times New Roman"/>
          <w:kern w:val="2"/>
          <w:sz w:val="21"/>
          <w:szCs w:val="21"/>
          <w:lang w:val="en-US" w:eastAsia="zh-CN" w:bidi="ar-SA"/>
        </w:rPr>
        <w:id w:val="147466074"/>
        <w15:color w:val="DBDBDB"/>
        <w:docPartObj>
          <w:docPartGallery w:val="Table of Contents"/>
          <w:docPartUnique/>
        </w:docPartObj>
      </w:sdtPr>
      <w:sdtEndPr>
        <w:rPr>
          <w:rFonts w:ascii="方正仿宋_GB2312" w:hAnsi="宋体" w:eastAsia="宋体" w:cs="Times New Roman"/>
          <w:color w:val="008000"/>
          <w:kern w:val="2"/>
          <w:sz w:val="24"/>
          <w:szCs w:val="24"/>
          <w:lang w:val="en-US" w:eastAsia="zh-CN" w:bidi="ar-SA"/>
        </w:rPr>
      </w:sdtEndPr>
      <w:sdtContent>
        <w:p w14:paraId="0F5DA7DD">
          <w:pPr>
            <w:spacing w:before="0" w:beforeLines="0" w:after="0" w:afterLines="0" w:line="240" w:lineRule="auto"/>
            <w:ind w:left="0" w:leftChars="0" w:right="0" w:rightChars="0" w:firstLine="0" w:firstLineChars="0"/>
            <w:jc w:val="center"/>
            <w:rPr>
              <w:rFonts w:hint="eastAsia" w:ascii="黑体" w:hAnsi="黑体" w:eastAsia="黑体" w:cs="黑体"/>
              <w:b/>
              <w:bCs/>
              <w:sz w:val="44"/>
              <w:szCs w:val="44"/>
            </w:rPr>
          </w:pPr>
          <w:r>
            <w:rPr>
              <w:rFonts w:hint="eastAsia" w:ascii="黑体" w:hAnsi="黑体" w:eastAsia="黑体" w:cs="黑体"/>
              <w:b/>
              <w:bCs/>
              <w:sz w:val="44"/>
              <w:szCs w:val="44"/>
            </w:rPr>
            <w:t>目</w:t>
          </w:r>
          <w:r>
            <w:rPr>
              <w:rFonts w:hint="eastAsia" w:ascii="黑体" w:hAnsi="黑体" w:eastAsia="黑体" w:cs="黑体"/>
              <w:b/>
              <w:bCs/>
              <w:sz w:val="44"/>
              <w:szCs w:val="44"/>
              <w:lang w:val="en-US" w:eastAsia="zh-CN"/>
            </w:rPr>
            <w:t xml:space="preserve">   </w:t>
          </w:r>
          <w:r>
            <w:rPr>
              <w:rFonts w:hint="eastAsia" w:ascii="黑体" w:hAnsi="黑体" w:eastAsia="黑体" w:cs="黑体"/>
              <w:b/>
              <w:bCs/>
              <w:sz w:val="44"/>
              <w:szCs w:val="44"/>
            </w:rPr>
            <w:t>录</w:t>
          </w:r>
        </w:p>
        <w:p w14:paraId="1E5F21C4">
          <w:pPr>
            <w:pStyle w:val="22"/>
            <w:tabs>
              <w:tab w:val="right" w:leader="dot" w:pos="9070"/>
            </w:tabs>
            <w:rPr>
              <w:rFonts w:hint="eastAsia" w:asciiTheme="minorEastAsia" w:hAnsiTheme="minorEastAsia" w:eastAsiaTheme="minorEastAsia" w:cstheme="minorEastAsia"/>
              <w:b w:val="0"/>
              <w:bCs w:val="0"/>
              <w:sz w:val="28"/>
              <w:szCs w:val="28"/>
            </w:rPr>
          </w:pPr>
          <w:r>
            <w:fldChar w:fldCharType="begin"/>
          </w:r>
          <w:r>
            <w:instrText xml:space="preserve">TOC \o "1-9" \h \u </w:instrText>
          </w:r>
          <w:r>
            <w:fldChar w:fldCharType="separate"/>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_Toc1509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kern w:val="2"/>
              <w:sz w:val="28"/>
              <w:szCs w:val="36"/>
              <w:lang w:val="en-US" w:eastAsia="zh-CN" w:bidi="ar-SA"/>
            </w:rPr>
            <w:t>第一章</w:t>
          </w:r>
          <w:r>
            <w:rPr>
              <w:rFonts w:hint="eastAsia" w:asciiTheme="minorEastAsia" w:hAnsiTheme="minorEastAsia" w:eastAsiaTheme="minorEastAsia" w:cstheme="minorEastAsia"/>
              <w:b w:val="0"/>
              <w:bCs w:val="0"/>
              <w:sz w:val="28"/>
              <w:szCs w:val="36"/>
              <w:highlight w:val="none"/>
              <w:lang w:val="en-US" w:eastAsia="zh-CN"/>
            </w:rPr>
            <w:t xml:space="preserve">  招标公告</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_Toc1509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1</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64A9D841">
          <w:pPr>
            <w:pStyle w:val="22"/>
            <w:tabs>
              <w:tab w:val="right" w:leader="dot" w:pos="9070"/>
            </w:tabs>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_Toc27357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kern w:val="44"/>
              <w:sz w:val="28"/>
              <w:szCs w:val="36"/>
              <w:highlight w:val="none"/>
              <w:lang w:eastAsia="zh-CN"/>
            </w:rPr>
            <w:t>第二章</w:t>
          </w:r>
          <w:r>
            <w:rPr>
              <w:rFonts w:hint="eastAsia" w:asciiTheme="minorEastAsia" w:hAnsiTheme="minorEastAsia" w:eastAsiaTheme="minorEastAsia" w:cstheme="minorEastAsia"/>
              <w:b w:val="0"/>
              <w:bCs w:val="0"/>
              <w:kern w:val="44"/>
              <w:sz w:val="28"/>
              <w:szCs w:val="36"/>
              <w:highlight w:val="none"/>
              <w:lang w:val="en-US" w:eastAsia="zh-CN"/>
            </w:rPr>
            <w:t xml:space="preserve">  投标人须知</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_Toc27357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5</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29DE4CE6">
          <w:pPr>
            <w:pStyle w:val="22"/>
            <w:tabs>
              <w:tab w:val="right" w:leader="dot" w:pos="9070"/>
            </w:tabs>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_Toc22397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kern w:val="44"/>
              <w:sz w:val="28"/>
              <w:szCs w:val="36"/>
              <w:highlight w:val="none"/>
            </w:rPr>
            <w:t>第三章  评标办法（</w:t>
          </w:r>
          <w:r>
            <w:rPr>
              <w:rFonts w:hint="eastAsia" w:asciiTheme="minorEastAsia" w:hAnsiTheme="minorEastAsia" w:eastAsiaTheme="minorEastAsia" w:cstheme="minorEastAsia"/>
              <w:b w:val="0"/>
              <w:bCs w:val="0"/>
              <w:kern w:val="44"/>
              <w:sz w:val="28"/>
              <w:szCs w:val="36"/>
              <w:highlight w:val="none"/>
              <w:lang w:eastAsia="zh-CN"/>
            </w:rPr>
            <w:t>综合评分</w:t>
          </w:r>
          <w:r>
            <w:rPr>
              <w:rFonts w:hint="eastAsia" w:asciiTheme="minorEastAsia" w:hAnsiTheme="minorEastAsia" w:eastAsiaTheme="minorEastAsia" w:cstheme="minorEastAsia"/>
              <w:b w:val="0"/>
              <w:bCs w:val="0"/>
              <w:kern w:val="44"/>
              <w:sz w:val="28"/>
              <w:szCs w:val="36"/>
              <w:highlight w:val="none"/>
            </w:rPr>
            <w:t>法）</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_Toc22397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34</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3B913CD5">
          <w:pPr>
            <w:pStyle w:val="22"/>
            <w:tabs>
              <w:tab w:val="right" w:leader="dot" w:pos="9070"/>
            </w:tabs>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_Toc13205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kern w:val="44"/>
              <w:sz w:val="28"/>
              <w:szCs w:val="36"/>
              <w:highlight w:val="none"/>
              <w:lang w:val="en-US" w:eastAsia="zh-CN" w:bidi="ar-SA"/>
            </w:rPr>
            <w:t>第四章  定标办法（核查随机法）</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_Toc13205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42</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7C6FAB8B">
          <w:pPr>
            <w:pStyle w:val="22"/>
            <w:tabs>
              <w:tab w:val="right" w:leader="dot" w:pos="9070"/>
            </w:tabs>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_Toc17677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highlight w:val="none"/>
            </w:rPr>
            <w:t>第</w:t>
          </w:r>
          <w:r>
            <w:rPr>
              <w:rFonts w:hint="eastAsia" w:asciiTheme="minorEastAsia" w:hAnsiTheme="minorEastAsia" w:eastAsiaTheme="minorEastAsia" w:cstheme="minorEastAsia"/>
              <w:b w:val="0"/>
              <w:bCs w:val="0"/>
              <w:sz w:val="28"/>
              <w:szCs w:val="28"/>
              <w:highlight w:val="none"/>
              <w:lang w:eastAsia="zh-CN"/>
            </w:rPr>
            <w:t>五</w:t>
          </w:r>
          <w:r>
            <w:rPr>
              <w:rFonts w:hint="eastAsia" w:asciiTheme="minorEastAsia" w:hAnsiTheme="minorEastAsia" w:eastAsiaTheme="minorEastAsia" w:cstheme="minorEastAsia"/>
              <w:b w:val="0"/>
              <w:bCs w:val="0"/>
              <w:sz w:val="28"/>
              <w:szCs w:val="28"/>
              <w:highlight w:val="none"/>
            </w:rPr>
            <w:t>章  合同条款及格式</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_Toc17677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46</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10C627A6">
          <w:pPr>
            <w:pStyle w:val="22"/>
            <w:tabs>
              <w:tab w:val="right" w:leader="dot" w:pos="9070"/>
            </w:tabs>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_Toc18381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highlight w:val="none"/>
            </w:rPr>
            <w:t>第</w:t>
          </w:r>
          <w:r>
            <w:rPr>
              <w:rFonts w:hint="eastAsia" w:asciiTheme="minorEastAsia" w:hAnsiTheme="minorEastAsia" w:eastAsiaTheme="minorEastAsia" w:cstheme="minorEastAsia"/>
              <w:b w:val="0"/>
              <w:bCs w:val="0"/>
              <w:sz w:val="28"/>
              <w:szCs w:val="28"/>
              <w:highlight w:val="none"/>
              <w:lang w:eastAsia="zh-CN"/>
            </w:rPr>
            <w:t>六</w:t>
          </w:r>
          <w:r>
            <w:rPr>
              <w:rFonts w:hint="eastAsia" w:asciiTheme="minorEastAsia" w:hAnsiTheme="minorEastAsia" w:eastAsiaTheme="minorEastAsia" w:cstheme="minorEastAsia"/>
              <w:b w:val="0"/>
              <w:bCs w:val="0"/>
              <w:sz w:val="28"/>
              <w:szCs w:val="28"/>
              <w:highlight w:val="none"/>
            </w:rPr>
            <w:t>章  工程量清单</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_Toc18381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86</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0AAEB083">
          <w:pPr>
            <w:pStyle w:val="22"/>
            <w:tabs>
              <w:tab w:val="right" w:leader="dot" w:pos="9070"/>
            </w:tabs>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_Toc15011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highlight w:val="none"/>
            </w:rPr>
            <w:t>第</w:t>
          </w:r>
          <w:r>
            <w:rPr>
              <w:rFonts w:hint="eastAsia" w:asciiTheme="minorEastAsia" w:hAnsiTheme="minorEastAsia" w:eastAsiaTheme="minorEastAsia" w:cstheme="minorEastAsia"/>
              <w:b w:val="0"/>
              <w:bCs w:val="0"/>
              <w:sz w:val="28"/>
              <w:szCs w:val="28"/>
              <w:highlight w:val="none"/>
              <w:lang w:eastAsia="zh-CN"/>
            </w:rPr>
            <w:t>七</w:t>
          </w:r>
          <w:r>
            <w:rPr>
              <w:rFonts w:hint="eastAsia" w:asciiTheme="minorEastAsia" w:hAnsiTheme="minorEastAsia" w:eastAsiaTheme="minorEastAsia" w:cstheme="minorEastAsia"/>
              <w:b w:val="0"/>
              <w:bCs w:val="0"/>
              <w:sz w:val="28"/>
              <w:szCs w:val="28"/>
              <w:highlight w:val="none"/>
            </w:rPr>
            <w:t>章  图纸（另册）</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_Toc15011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89</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2E13294E">
          <w:pPr>
            <w:pStyle w:val="22"/>
            <w:tabs>
              <w:tab w:val="right" w:leader="dot" w:pos="9070"/>
            </w:tabs>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_Toc2826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kern w:val="2"/>
              <w:sz w:val="28"/>
              <w:szCs w:val="36"/>
              <w:highlight w:val="none"/>
              <w:lang w:val="en-US" w:eastAsia="zh-CN" w:bidi="ar-SA"/>
            </w:rPr>
            <w:t>第八章  技术规范（另册）</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_Toc2826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90</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0ED7AB1D">
          <w:pPr>
            <w:pStyle w:val="22"/>
            <w:tabs>
              <w:tab w:val="right" w:leader="dot" w:pos="9070"/>
            </w:tabs>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_Toc5985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36"/>
              <w:highlight w:val="none"/>
            </w:rPr>
            <w:t>第</w:t>
          </w:r>
          <w:r>
            <w:rPr>
              <w:rFonts w:hint="eastAsia" w:asciiTheme="minorEastAsia" w:hAnsiTheme="minorEastAsia" w:eastAsiaTheme="minorEastAsia" w:cstheme="minorEastAsia"/>
              <w:b w:val="0"/>
              <w:bCs w:val="0"/>
              <w:sz w:val="28"/>
              <w:szCs w:val="36"/>
              <w:highlight w:val="none"/>
              <w:lang w:val="en-US" w:eastAsia="zh-CN"/>
            </w:rPr>
            <w:t>九</w:t>
          </w:r>
          <w:r>
            <w:rPr>
              <w:rFonts w:hint="eastAsia" w:asciiTheme="minorEastAsia" w:hAnsiTheme="minorEastAsia" w:eastAsiaTheme="minorEastAsia" w:cstheme="minorEastAsia"/>
              <w:b w:val="0"/>
              <w:bCs w:val="0"/>
              <w:sz w:val="28"/>
              <w:szCs w:val="36"/>
              <w:highlight w:val="none"/>
            </w:rPr>
            <w:t>章  工程量清单计量规则</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_Toc5985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91</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0D86AB11">
          <w:pPr>
            <w:pStyle w:val="22"/>
            <w:tabs>
              <w:tab w:val="right" w:leader="dot" w:pos="9070"/>
            </w:tabs>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HYPERLINK \l _Toc31400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highlight w:val="none"/>
              <w:lang w:eastAsia="zh-CN"/>
            </w:rPr>
            <w:t>第十章  投标文件格式</w:t>
          </w:r>
          <w:r>
            <w:rPr>
              <w:rFonts w:hint="eastAsia" w:asciiTheme="minorEastAsia" w:hAnsiTheme="minorEastAsia" w:eastAsiaTheme="minorEastAsia" w:cstheme="minorEastAsia"/>
              <w:b w:val="0"/>
              <w:bCs w:val="0"/>
              <w:sz w:val="28"/>
              <w:szCs w:val="28"/>
            </w:rPr>
            <w:tab/>
          </w:r>
          <w:r>
            <w:rPr>
              <w:rFonts w:hint="eastAsia" w:asciiTheme="minorEastAsia" w:hAnsiTheme="minorEastAsia" w:eastAsiaTheme="minorEastAsia" w:cstheme="minorEastAsia"/>
              <w:b w:val="0"/>
              <w:bCs w:val="0"/>
              <w:sz w:val="28"/>
              <w:szCs w:val="28"/>
            </w:rPr>
            <w:fldChar w:fldCharType="begin"/>
          </w:r>
          <w:r>
            <w:rPr>
              <w:rFonts w:hint="eastAsia" w:asciiTheme="minorEastAsia" w:hAnsiTheme="minorEastAsia" w:eastAsiaTheme="minorEastAsia" w:cstheme="minorEastAsia"/>
              <w:b w:val="0"/>
              <w:bCs w:val="0"/>
              <w:sz w:val="28"/>
              <w:szCs w:val="28"/>
            </w:rPr>
            <w:instrText xml:space="preserve"> PAGEREF _Toc31400 \h </w:instrText>
          </w:r>
          <w:r>
            <w:rPr>
              <w:rFonts w:hint="eastAsia" w:asciiTheme="minorEastAsia" w:hAnsiTheme="minorEastAsia" w:eastAsiaTheme="minorEastAsia" w:cstheme="minorEastAsia"/>
              <w:b w:val="0"/>
              <w:bCs w:val="0"/>
              <w:sz w:val="28"/>
              <w:szCs w:val="28"/>
            </w:rPr>
            <w:fldChar w:fldCharType="separate"/>
          </w:r>
          <w:r>
            <w:rPr>
              <w:rFonts w:hint="eastAsia" w:asciiTheme="minorEastAsia" w:hAnsiTheme="minorEastAsia" w:eastAsiaTheme="minorEastAsia" w:cstheme="minorEastAsia"/>
              <w:b w:val="0"/>
              <w:bCs w:val="0"/>
              <w:sz w:val="28"/>
              <w:szCs w:val="28"/>
            </w:rPr>
            <w:t>92</w:t>
          </w:r>
          <w:r>
            <w:rPr>
              <w:rFonts w:hint="eastAsia" w:asciiTheme="minorEastAsia" w:hAnsiTheme="minorEastAsia" w:eastAsiaTheme="minorEastAsia" w:cstheme="minorEastAsia"/>
              <w:b w:val="0"/>
              <w:bCs w:val="0"/>
              <w:sz w:val="28"/>
              <w:szCs w:val="28"/>
            </w:rPr>
            <w:fldChar w:fldCharType="end"/>
          </w:r>
          <w:r>
            <w:rPr>
              <w:rFonts w:hint="eastAsia" w:asciiTheme="minorEastAsia" w:hAnsiTheme="minorEastAsia" w:eastAsiaTheme="minorEastAsia" w:cstheme="minorEastAsia"/>
              <w:b w:val="0"/>
              <w:bCs w:val="0"/>
              <w:sz w:val="28"/>
              <w:szCs w:val="28"/>
            </w:rPr>
            <w:fldChar w:fldCharType="end"/>
          </w:r>
        </w:p>
        <w:p w14:paraId="0D8D70E5">
          <w:pPr>
            <w:pStyle w:val="22"/>
            <w:tabs>
              <w:tab w:val="right" w:pos="2400"/>
              <w:tab w:val="right" w:leader="dot" w:pos="9070"/>
            </w:tabs>
          </w:pPr>
        </w:p>
        <w:p w14:paraId="146C2546">
          <w:pPr>
            <w:pStyle w:val="10"/>
            <w:rPr>
              <w:rFonts w:ascii="方正仿宋_GB2312" w:hAnsi="宋体" w:eastAsia="宋体" w:cs="Times New Roman"/>
              <w:color w:val="008000"/>
              <w:kern w:val="2"/>
              <w:sz w:val="24"/>
              <w:szCs w:val="24"/>
              <w:lang w:val="en-US" w:eastAsia="zh-CN" w:bidi="ar-SA"/>
            </w:rPr>
          </w:pPr>
          <w:r>
            <w:fldChar w:fldCharType="end"/>
          </w:r>
        </w:p>
      </w:sdtContent>
    </w:sdt>
    <w:p w14:paraId="69290DC4">
      <w:pPr>
        <w:pStyle w:val="11"/>
      </w:pPr>
      <w:bookmarkStart w:id="712" w:name="_GoBack"/>
      <w:bookmarkEnd w:id="712"/>
    </w:p>
    <w:p w14:paraId="1056DC00">
      <w:pPr>
        <w:rPr>
          <w:rFonts w:hint="eastAsia"/>
        </w:rPr>
      </w:pPr>
      <w:r>
        <w:rPr>
          <w:rFonts w:hint="eastAsia"/>
        </w:rPr>
        <w:br w:type="page"/>
      </w:r>
    </w:p>
    <w:p w14:paraId="42378797">
      <w:pPr>
        <w:pStyle w:val="13"/>
        <w:rPr>
          <w:rFonts w:hint="eastAsia"/>
        </w:rPr>
        <w:sectPr>
          <w:footerReference r:id="rId4" w:type="first"/>
          <w:footerReference r:id="rId3" w:type="default"/>
          <w:footnotePr>
            <w:numFmt w:val="decimalEnclosedCircleChinese"/>
          </w:footnotePr>
          <w:pgSz w:w="11906" w:h="16838"/>
          <w:pgMar w:top="1587" w:right="1418" w:bottom="1417" w:left="1418" w:header="851" w:footer="992" w:gutter="0"/>
          <w:pgNumType w:fmt="decimal" w:start="1"/>
          <w:cols w:space="720" w:num="1"/>
          <w:titlePg/>
          <w:docGrid w:type="lines" w:linePitch="312" w:charSpace="0"/>
        </w:sectPr>
      </w:pPr>
    </w:p>
    <w:p w14:paraId="003F9821">
      <w:pPr>
        <w:keepNext w:val="0"/>
        <w:keepLines w:val="0"/>
        <w:pageBreakBefore w:val="0"/>
        <w:widowControl w:val="0"/>
        <w:numPr>
          <w:ilvl w:val="0"/>
          <w:numId w:val="0"/>
        </w:numPr>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outlineLvl w:val="0"/>
        <w:rPr>
          <w:rFonts w:hint="eastAsia" w:ascii="宋体" w:hAnsi="宋体"/>
          <w:b/>
          <w:color w:val="auto"/>
          <w:sz w:val="32"/>
          <w:szCs w:val="32"/>
          <w:highlight w:val="none"/>
          <w:lang w:val="en-US" w:eastAsia="zh-CN"/>
        </w:rPr>
      </w:pPr>
      <w:bookmarkStart w:id="0" w:name="_Toc1509"/>
      <w:bookmarkStart w:id="1" w:name="_Toc12896"/>
      <w:r>
        <w:rPr>
          <w:rFonts w:hint="eastAsia" w:ascii="宋体" w:hAnsi="宋体" w:eastAsia="宋体" w:cs="Times New Roman"/>
          <w:b/>
          <w:color w:val="auto"/>
          <w:kern w:val="2"/>
          <w:sz w:val="32"/>
          <w:szCs w:val="32"/>
          <w:lang w:val="en-US" w:eastAsia="zh-CN" w:bidi="ar-SA"/>
        </w:rPr>
        <w:t>第一章</w:t>
      </w:r>
      <w:r>
        <w:rPr>
          <w:rFonts w:hint="eastAsia" w:ascii="宋体" w:hAnsi="宋体"/>
          <w:b/>
          <w:color w:val="auto"/>
          <w:sz w:val="32"/>
          <w:szCs w:val="32"/>
          <w:highlight w:val="none"/>
          <w:lang w:val="en-US" w:eastAsia="zh-CN"/>
        </w:rPr>
        <w:t xml:space="preserve"> 招标公告</w:t>
      </w:r>
      <w:bookmarkEnd w:id="0"/>
      <w:bookmarkEnd w:id="1"/>
    </w:p>
    <w:p w14:paraId="5020BF66">
      <w:pPr>
        <w:keepNext w:val="0"/>
        <w:keepLines w:val="0"/>
        <w:pageBreakBefore w:val="0"/>
        <w:widowControl w:val="0"/>
        <w:numPr>
          <w:ilvl w:val="0"/>
          <w:numId w:val="0"/>
        </w:numPr>
        <w:kinsoku/>
        <w:wordWrap w:val="0"/>
        <w:overflowPunct/>
        <w:topLinePunct w:val="0"/>
        <w:autoSpaceDE/>
        <w:autoSpaceDN/>
        <w:bidi w:val="0"/>
        <w:adjustRightInd w:val="0"/>
        <w:snapToGrid w:val="0"/>
        <w:spacing w:line="360" w:lineRule="auto"/>
        <w:ind w:left="0" w:leftChars="0" w:right="0" w:rightChars="0" w:firstLine="0" w:firstLineChars="0"/>
        <w:jc w:val="center"/>
        <w:textAlignment w:val="auto"/>
        <w:outlineLvl w:val="0"/>
        <w:rPr>
          <w:rFonts w:ascii="宋体" w:hAnsi="宋体"/>
          <w:b/>
          <w:color w:val="auto"/>
          <w:sz w:val="28"/>
          <w:szCs w:val="28"/>
          <w:highlight w:val="none"/>
        </w:rPr>
      </w:pPr>
      <w:bookmarkStart w:id="2" w:name="_Toc29819"/>
      <w:r>
        <w:rPr>
          <w:rFonts w:hint="eastAsia" w:ascii="宋体" w:hAnsi="宋体"/>
          <w:b/>
          <w:color w:val="auto"/>
          <w:sz w:val="28"/>
          <w:szCs w:val="28"/>
          <w:highlight w:val="none"/>
          <w:lang w:val="en-US" w:eastAsia="zh-CN"/>
        </w:rPr>
        <w:t>S330豫皖交界至G106新蔡孙召段改建工程</w:t>
      </w:r>
      <w:r>
        <w:rPr>
          <w:rFonts w:hint="eastAsia" w:ascii="宋体" w:hAnsi="宋体"/>
          <w:b/>
          <w:color w:val="auto"/>
          <w:sz w:val="28"/>
          <w:szCs w:val="28"/>
          <w:highlight w:val="none"/>
        </w:rPr>
        <w:t>招标公告</w:t>
      </w:r>
      <w:bookmarkEnd w:id="2"/>
    </w:p>
    <w:p w14:paraId="770F99FF">
      <w:pPr>
        <w:pStyle w:val="13"/>
        <w:keepNext w:val="0"/>
        <w:keepLines w:val="0"/>
        <w:pageBreakBefore w:val="0"/>
        <w:widowControl w:val="0"/>
        <w:kinsoku/>
        <w:wordWrap w:val="0"/>
        <w:overflowPunct/>
        <w:topLinePunct w:val="0"/>
        <w:autoSpaceDE/>
        <w:autoSpaceDN/>
        <w:bidi w:val="0"/>
        <w:adjustRightInd/>
        <w:snapToGrid/>
        <w:spacing w:after="0" w:afterLines="100" w:line="490" w:lineRule="exact"/>
        <w:ind w:right="0" w:firstLine="3373" w:firstLineChars="1400"/>
        <w:textAlignment w:val="auto"/>
        <w:rPr>
          <w:rFonts w:hint="default" w:ascii="宋体" w:eastAsia="宋体"/>
          <w:b/>
          <w:color w:val="auto"/>
          <w:highlight w:val="none"/>
          <w:u w:val="single"/>
          <w:lang w:val="en-US" w:eastAsia="zh-CN"/>
        </w:rPr>
      </w:pPr>
      <w:r>
        <w:rPr>
          <w:rFonts w:hint="eastAsia" w:ascii="宋体"/>
          <w:b/>
          <w:color w:val="auto"/>
          <w:highlight w:val="none"/>
          <w:lang w:val="en-US" w:eastAsia="zh-CN"/>
        </w:rPr>
        <w:t>项目</w:t>
      </w:r>
      <w:r>
        <w:rPr>
          <w:rFonts w:hint="eastAsia" w:ascii="宋体"/>
          <w:b/>
          <w:color w:val="auto"/>
          <w:highlight w:val="none"/>
        </w:rPr>
        <w:t>编号</w:t>
      </w:r>
      <w:r>
        <w:rPr>
          <w:rFonts w:hint="eastAsia" w:ascii="宋体"/>
          <w:b/>
          <w:color w:val="auto"/>
          <w:highlight w:val="none"/>
          <w:lang w:val="en-US" w:eastAsia="zh-CN"/>
        </w:rPr>
        <w:t>:XCJS2026-020</w:t>
      </w:r>
    </w:p>
    <w:p w14:paraId="197AB6C3">
      <w:pPr>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outlineLvl w:val="0"/>
        <w:rPr>
          <w:rFonts w:ascii="宋体" w:hAnsi="宋体"/>
          <w:color w:val="auto"/>
          <w:sz w:val="24"/>
          <w:szCs w:val="24"/>
          <w:highlight w:val="none"/>
        </w:rPr>
      </w:pPr>
      <w:bookmarkStart w:id="3" w:name="_Toc288741553"/>
      <w:bookmarkEnd w:id="3"/>
      <w:bookmarkStart w:id="4" w:name="_Toc16778731"/>
      <w:bookmarkStart w:id="5" w:name="_Toc11524"/>
      <w:r>
        <w:rPr>
          <w:rFonts w:hint="eastAsia" w:ascii="宋体" w:hAnsi="宋体"/>
          <w:b/>
          <w:color w:val="auto"/>
          <w:sz w:val="24"/>
          <w:szCs w:val="24"/>
          <w:highlight w:val="none"/>
        </w:rPr>
        <w:t>1</w:t>
      </w:r>
      <w:bookmarkEnd w:id="4"/>
      <w:r>
        <w:rPr>
          <w:rFonts w:hint="eastAsia" w:ascii="宋体" w:hAnsi="宋体"/>
          <w:b/>
          <w:color w:val="auto"/>
          <w:sz w:val="24"/>
          <w:szCs w:val="24"/>
          <w:highlight w:val="none"/>
        </w:rPr>
        <w:t>.招标条件</w:t>
      </w:r>
      <w:bookmarkEnd w:id="5"/>
    </w:p>
    <w:p w14:paraId="74DC223F">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ascii="宋体" w:hAnsi="宋体"/>
          <w:color w:val="auto"/>
          <w:highlight w:val="none"/>
        </w:rPr>
      </w:pPr>
      <w:r>
        <w:rPr>
          <w:rFonts w:hint="eastAsia" w:ascii="宋体" w:hAnsi="宋体" w:eastAsia="宋体" w:cs="宋体"/>
          <w:color w:val="auto"/>
          <w:kern w:val="2"/>
          <w:sz w:val="21"/>
          <w:szCs w:val="21"/>
          <w:highlight w:val="none"/>
          <w:lang w:val="en-US" w:eastAsia="zh-CN" w:bidi="ar-SA"/>
        </w:rPr>
        <w:t>本招标项目</w:t>
      </w:r>
      <w:r>
        <w:rPr>
          <w:rFonts w:hint="eastAsia" w:ascii="宋体" w:hAnsi="宋体" w:cs="宋体"/>
          <w:color w:val="auto"/>
          <w:kern w:val="2"/>
          <w:sz w:val="21"/>
          <w:szCs w:val="21"/>
          <w:highlight w:val="none"/>
          <w:u w:val="single"/>
          <w:lang w:val="en-US" w:eastAsia="zh-CN" w:bidi="ar-SA"/>
        </w:rPr>
        <w:t>S330豫皖交界至G106新蔡孙召段改建工程</w:t>
      </w:r>
      <w:r>
        <w:rPr>
          <w:rFonts w:hint="eastAsia" w:ascii="宋体" w:hAnsi="宋体" w:eastAsia="宋体" w:cs="宋体"/>
          <w:color w:val="auto"/>
          <w:kern w:val="2"/>
          <w:sz w:val="21"/>
          <w:szCs w:val="21"/>
          <w:highlight w:val="none"/>
          <w:lang w:val="en-US" w:eastAsia="zh-CN" w:bidi="ar-SA"/>
        </w:rPr>
        <w:t>已由</w:t>
      </w:r>
      <w:r>
        <w:rPr>
          <w:rFonts w:hint="eastAsia" w:ascii="宋体" w:hAnsi="宋体" w:cs="宋体"/>
          <w:color w:val="auto"/>
          <w:kern w:val="2"/>
          <w:sz w:val="21"/>
          <w:szCs w:val="21"/>
          <w:highlight w:val="none"/>
          <w:u w:val="single"/>
          <w:lang w:val="en-US" w:eastAsia="zh-CN" w:bidi="ar-SA"/>
        </w:rPr>
        <w:t>新蔡</w:t>
      </w:r>
      <w:r>
        <w:rPr>
          <w:rFonts w:hint="eastAsia" w:ascii="宋体" w:hAnsi="宋体" w:eastAsia="宋体" w:cs="宋体"/>
          <w:color w:val="auto"/>
          <w:kern w:val="2"/>
          <w:sz w:val="21"/>
          <w:szCs w:val="21"/>
          <w:highlight w:val="none"/>
          <w:u w:val="single"/>
          <w:lang w:val="en-US" w:eastAsia="zh-CN" w:bidi="ar-SA"/>
        </w:rPr>
        <w:t>县</w:t>
      </w:r>
      <w:r>
        <w:rPr>
          <w:rFonts w:hint="eastAsia" w:ascii="宋体" w:hAnsi="宋体" w:cs="宋体"/>
          <w:color w:val="auto"/>
          <w:kern w:val="2"/>
          <w:sz w:val="21"/>
          <w:szCs w:val="21"/>
          <w:highlight w:val="none"/>
          <w:u w:val="single"/>
          <w:lang w:val="en-US" w:eastAsia="zh-CN" w:bidi="ar-SA"/>
        </w:rPr>
        <w:t>发展和改革委员会</w:t>
      </w:r>
      <w:r>
        <w:rPr>
          <w:rFonts w:hint="eastAsia" w:ascii="宋体" w:hAnsi="宋体" w:cs="宋体"/>
          <w:color w:val="auto"/>
          <w:kern w:val="2"/>
          <w:sz w:val="21"/>
          <w:szCs w:val="21"/>
          <w:highlight w:val="none"/>
          <w:u w:val="none"/>
          <w:lang w:val="en-US" w:eastAsia="zh-CN" w:bidi="ar-SA"/>
        </w:rPr>
        <w:t>以</w:t>
      </w:r>
      <w:r>
        <w:rPr>
          <w:rFonts w:hint="eastAsia" w:ascii="宋体" w:hAnsi="宋体" w:cs="宋体"/>
          <w:color w:val="auto"/>
          <w:kern w:val="2"/>
          <w:sz w:val="21"/>
          <w:szCs w:val="21"/>
          <w:highlight w:val="none"/>
          <w:u w:val="single"/>
          <w:lang w:val="en-US" w:eastAsia="zh-CN" w:bidi="ar-SA"/>
        </w:rPr>
        <w:t>新发改审批〔2026〕56号</w:t>
      </w:r>
      <w:r>
        <w:rPr>
          <w:rFonts w:hint="eastAsia" w:ascii="宋体" w:hAnsi="宋体" w:eastAsia="宋体" w:cs="宋体"/>
          <w:color w:val="auto"/>
          <w:kern w:val="2"/>
          <w:sz w:val="21"/>
          <w:szCs w:val="21"/>
          <w:highlight w:val="none"/>
          <w:lang w:val="en-US" w:eastAsia="zh-CN" w:bidi="ar-SA"/>
        </w:rPr>
        <w:t>批准，项目代码：</w:t>
      </w:r>
      <w:r>
        <w:rPr>
          <w:rFonts w:hint="eastAsia" w:ascii="宋体" w:hAnsi="宋体" w:cs="宋体"/>
          <w:color w:val="auto"/>
          <w:kern w:val="2"/>
          <w:sz w:val="21"/>
          <w:szCs w:val="21"/>
          <w:highlight w:val="none"/>
          <w:u w:val="single"/>
          <w:lang w:val="en-US" w:eastAsia="zh-CN" w:bidi="ar-SA"/>
        </w:rPr>
        <w:t>2605-411729-04-01-492201</w:t>
      </w:r>
      <w:r>
        <w:rPr>
          <w:rFonts w:hint="eastAsia" w:ascii="宋体" w:hAnsi="宋体" w:eastAsia="宋体" w:cs="宋体"/>
          <w:color w:val="auto"/>
          <w:kern w:val="2"/>
          <w:sz w:val="21"/>
          <w:szCs w:val="21"/>
          <w:highlight w:val="none"/>
          <w:lang w:val="en-US" w:eastAsia="zh-CN" w:bidi="ar-SA"/>
        </w:rPr>
        <w:t>，施工图设计已由</w:t>
      </w:r>
      <w:r>
        <w:rPr>
          <w:rFonts w:hint="eastAsia" w:ascii="宋体" w:hAnsi="宋体" w:cs="宋体"/>
          <w:color w:val="auto"/>
          <w:kern w:val="2"/>
          <w:sz w:val="21"/>
          <w:szCs w:val="21"/>
          <w:highlight w:val="none"/>
          <w:u w:val="single"/>
          <w:lang w:val="en-US" w:eastAsia="zh-CN" w:bidi="ar-SA"/>
        </w:rPr>
        <w:t>新蔡</w:t>
      </w:r>
      <w:r>
        <w:rPr>
          <w:rFonts w:hint="eastAsia" w:ascii="宋体" w:hAnsi="宋体" w:eastAsia="宋体" w:cs="宋体"/>
          <w:color w:val="auto"/>
          <w:kern w:val="2"/>
          <w:sz w:val="21"/>
          <w:szCs w:val="21"/>
          <w:highlight w:val="none"/>
          <w:u w:val="single"/>
          <w:lang w:val="en-US" w:eastAsia="zh-CN" w:bidi="ar-SA"/>
        </w:rPr>
        <w:t>县交通运输局</w:t>
      </w:r>
      <w:r>
        <w:rPr>
          <w:rFonts w:hint="eastAsia" w:ascii="宋体" w:hAnsi="宋体" w:eastAsia="宋体" w:cs="宋体"/>
          <w:color w:val="auto"/>
          <w:kern w:val="2"/>
          <w:sz w:val="21"/>
          <w:szCs w:val="21"/>
          <w:highlight w:val="none"/>
          <w:lang w:val="en-US" w:eastAsia="zh-CN" w:bidi="ar-SA"/>
        </w:rPr>
        <w:t>以</w:t>
      </w:r>
      <w:r>
        <w:rPr>
          <w:rFonts w:hint="eastAsia" w:ascii="宋体" w:hAnsi="宋体" w:cs="宋体"/>
          <w:color w:val="auto"/>
          <w:kern w:val="2"/>
          <w:sz w:val="21"/>
          <w:szCs w:val="21"/>
          <w:highlight w:val="none"/>
          <w:u w:val="single"/>
          <w:lang w:val="en-US" w:eastAsia="zh-CN" w:bidi="ar-SA"/>
        </w:rPr>
        <w:t>新交文[2026]117号</w:t>
      </w:r>
      <w:r>
        <w:rPr>
          <w:rFonts w:hint="eastAsia" w:ascii="宋体" w:hAnsi="宋体" w:eastAsia="宋体" w:cs="宋体"/>
          <w:color w:val="auto"/>
          <w:kern w:val="2"/>
          <w:sz w:val="21"/>
          <w:szCs w:val="21"/>
          <w:highlight w:val="none"/>
          <w:lang w:val="en-US" w:eastAsia="zh-CN" w:bidi="ar-SA"/>
        </w:rPr>
        <w:t>批准，项目业主为</w:t>
      </w:r>
      <w:r>
        <w:rPr>
          <w:rFonts w:hint="eastAsia" w:ascii="宋体" w:hAnsi="宋体" w:cs="宋体"/>
          <w:color w:val="auto"/>
          <w:kern w:val="2"/>
          <w:sz w:val="21"/>
          <w:szCs w:val="21"/>
          <w:highlight w:val="none"/>
          <w:u w:val="single"/>
          <w:lang w:val="en-US" w:eastAsia="zh-CN" w:bidi="ar-SA"/>
        </w:rPr>
        <w:t>新蔡县公路事业发展中心</w:t>
      </w:r>
      <w:r>
        <w:rPr>
          <w:rFonts w:hint="eastAsia" w:ascii="宋体" w:hAnsi="宋体" w:eastAsia="宋体" w:cs="宋体"/>
          <w:color w:val="auto"/>
          <w:kern w:val="2"/>
          <w:sz w:val="21"/>
          <w:szCs w:val="21"/>
          <w:highlight w:val="none"/>
          <w:lang w:val="en-US" w:eastAsia="zh-CN" w:bidi="ar-SA"/>
        </w:rPr>
        <w:t>，建设资金来源为</w:t>
      </w:r>
      <w:r>
        <w:rPr>
          <w:rFonts w:hint="eastAsia" w:ascii="宋体" w:hAnsi="宋体" w:cs="宋体"/>
          <w:color w:val="auto"/>
          <w:kern w:val="2"/>
          <w:sz w:val="21"/>
          <w:szCs w:val="21"/>
          <w:highlight w:val="none"/>
          <w:u w:val="single"/>
          <w:lang w:val="en-US" w:eastAsia="zh-CN" w:bidi="ar-SA"/>
        </w:rPr>
        <w:t>财政</w:t>
      </w:r>
      <w:r>
        <w:rPr>
          <w:rFonts w:hint="eastAsia" w:ascii="宋体" w:hAnsi="宋体" w:eastAsia="宋体" w:cs="宋体"/>
          <w:color w:val="auto"/>
          <w:kern w:val="2"/>
          <w:sz w:val="21"/>
          <w:szCs w:val="21"/>
          <w:highlight w:val="none"/>
          <w:u w:val="single"/>
          <w:lang w:val="en-US" w:eastAsia="zh-CN" w:bidi="ar-SA"/>
        </w:rPr>
        <w:t>资金</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出资比例为</w:t>
      </w:r>
      <w:r>
        <w:rPr>
          <w:rFonts w:hint="eastAsia" w:ascii="宋体" w:hAnsi="宋体" w:cs="宋体"/>
          <w:color w:val="000000" w:themeColor="text1"/>
          <w:kern w:val="2"/>
          <w:sz w:val="21"/>
          <w:szCs w:val="21"/>
          <w:highlight w:val="none"/>
          <w:u w:val="single"/>
          <w:lang w:val="en-US" w:eastAsia="zh-CN" w:bidi="ar-SA"/>
          <w14:textFill>
            <w14:solidFill>
              <w14:schemeClr w14:val="tx1"/>
            </w14:solidFill>
          </w14:textFill>
        </w:rPr>
        <w:t>100%</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 xml:space="preserve"> </w:t>
      </w:r>
      <w:r>
        <w:rPr>
          <w:rFonts w:hint="eastAsia" w:ascii="宋体" w:hAnsi="宋体" w:eastAsia="宋体" w:cs="宋体"/>
          <w:color w:val="auto"/>
          <w:kern w:val="2"/>
          <w:sz w:val="21"/>
          <w:szCs w:val="21"/>
          <w:highlight w:val="none"/>
          <w:lang w:val="en-US" w:eastAsia="zh-CN" w:bidi="ar-SA"/>
        </w:rPr>
        <w:t>招标人为</w:t>
      </w:r>
      <w:r>
        <w:rPr>
          <w:rFonts w:hint="eastAsia" w:ascii="宋体" w:hAnsi="宋体" w:cs="宋体"/>
          <w:color w:val="auto"/>
          <w:kern w:val="2"/>
          <w:sz w:val="21"/>
          <w:szCs w:val="21"/>
          <w:highlight w:val="none"/>
          <w:u w:val="single"/>
          <w:lang w:val="en-US" w:eastAsia="zh-CN" w:bidi="ar-SA"/>
        </w:rPr>
        <w:t>新蔡县公路事业发展中心</w:t>
      </w:r>
      <w:r>
        <w:rPr>
          <w:rFonts w:hint="eastAsia" w:ascii="宋体" w:hAnsi="宋体" w:eastAsia="宋体" w:cs="宋体"/>
          <w:color w:val="auto"/>
          <w:kern w:val="2"/>
          <w:sz w:val="21"/>
          <w:szCs w:val="21"/>
          <w:highlight w:val="none"/>
          <w:lang w:val="en-US" w:eastAsia="zh-CN" w:bidi="ar-SA"/>
        </w:rPr>
        <w:t>。项目已具备招标条件，现对该项目的施工进行公开招标。</w:t>
      </w:r>
    </w:p>
    <w:p w14:paraId="1147EE00">
      <w:pPr>
        <w:keepNext w:val="0"/>
        <w:keepLines w:val="0"/>
        <w:pageBreakBefore w:val="0"/>
        <w:widowControl w:val="0"/>
        <w:kinsoku/>
        <w:wordWrap w:val="0"/>
        <w:overflowPunct/>
        <w:topLinePunct w:val="0"/>
        <w:autoSpaceDE/>
        <w:autoSpaceDN/>
        <w:bidi w:val="0"/>
        <w:adjustRightInd/>
        <w:snapToGrid/>
        <w:spacing w:line="360" w:lineRule="auto"/>
        <w:ind w:right="0" w:rightChars="0"/>
        <w:textAlignment w:val="auto"/>
        <w:outlineLvl w:val="0"/>
        <w:rPr>
          <w:rFonts w:hint="eastAsia" w:ascii="宋体" w:hAnsi="宋体" w:cs="Times New Roman"/>
          <w:b/>
          <w:color w:val="auto"/>
          <w:sz w:val="24"/>
          <w:szCs w:val="24"/>
          <w:highlight w:val="none"/>
        </w:rPr>
      </w:pPr>
      <w:bookmarkStart w:id="6" w:name="_Toc16778732"/>
      <w:bookmarkEnd w:id="6"/>
      <w:bookmarkStart w:id="7" w:name="_Toc288741554"/>
      <w:bookmarkEnd w:id="7"/>
      <w:bookmarkStart w:id="8" w:name="_Toc288741555"/>
      <w:bookmarkEnd w:id="8"/>
      <w:bookmarkStart w:id="9" w:name="_Toc16778733"/>
      <w:bookmarkStart w:id="10" w:name="_Toc10490"/>
      <w:r>
        <w:rPr>
          <w:rFonts w:hint="eastAsia" w:ascii="宋体" w:hAnsi="宋体" w:cs="Times New Roman"/>
          <w:b/>
          <w:color w:val="auto"/>
          <w:sz w:val="24"/>
          <w:szCs w:val="24"/>
          <w:highlight w:val="none"/>
        </w:rPr>
        <w:t>2</w:t>
      </w:r>
      <w:bookmarkEnd w:id="9"/>
      <w:r>
        <w:rPr>
          <w:rFonts w:hint="eastAsia" w:ascii="宋体" w:hAnsi="宋体" w:cs="Times New Roman"/>
          <w:b/>
          <w:color w:val="auto"/>
          <w:sz w:val="24"/>
          <w:szCs w:val="24"/>
          <w:highlight w:val="none"/>
        </w:rPr>
        <w:t>.项目概况与招标范围</w:t>
      </w:r>
      <w:bookmarkEnd w:id="10"/>
    </w:p>
    <w:p w14:paraId="70247CCD">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rPr>
        <w:t>2.1项目名称：</w:t>
      </w:r>
      <w:r>
        <w:rPr>
          <w:rFonts w:hint="eastAsia" w:ascii="宋体" w:hAnsi="宋体" w:cs="宋体"/>
          <w:color w:val="auto"/>
          <w:szCs w:val="21"/>
          <w:highlight w:val="none"/>
          <w:lang w:val="en-US" w:eastAsia="zh-CN"/>
        </w:rPr>
        <w:t>S330豫皖交界至G106新蔡孙召段改建工程</w:t>
      </w:r>
    </w:p>
    <w:p w14:paraId="5317FD8F">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项目建设地点：S330豫皖交界至G106新蔡孙召段改建工程呈东西走向，起点位于豫皖交界处(K0+000),经化庄乡、栎城乡、孙召镇，止于G106线(K26+460),路线全长26.460公里，建设里程17.592公里(完全利用段共计8.868公里。其中：K17+000.599～K18+264.839栎城大街段，长1.264公里；K18+856-K26+460段，长7.604公里。)。</w:t>
      </w:r>
    </w:p>
    <w:p w14:paraId="3158E899">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项目规模：本项目采用二级公路技术标准，设计速度为80公里/小时，路基宽12米，沥青混凝土路面宽10.5/9.5/9米。路线全长26.460公里，建设里程17.592公里，全线路基填方3400立方米，路基挖方59600立方米，沥青混凝土167400平方米，水泥稳定碎石基层167400平方米，水泥石灰综合稳定土底基层78000平方米；全线共有桥梁7座，其中拆除重建桥梁104.98米/6座(中桥26.08米/1座，小桥78.90米/5座),单侧拼宽小桥22.04米/1座。</w:t>
      </w:r>
    </w:p>
    <w:p w14:paraId="42E1EE6C">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default"/>
          <w:color w:val="auto"/>
          <w:lang w:val="en-US"/>
        </w:rPr>
      </w:pPr>
      <w:r>
        <w:rPr>
          <w:rFonts w:hint="default" w:ascii="宋体" w:hAnsi="宋体" w:eastAsia="宋体" w:cs="宋体"/>
          <w:color w:val="auto"/>
          <w:szCs w:val="21"/>
          <w:highlight w:val="none"/>
          <w:lang w:val="en-US"/>
        </w:rPr>
        <w:t>2.</w:t>
      </w:r>
      <w:r>
        <w:rPr>
          <w:rFonts w:hint="eastAsia" w:ascii="宋体" w:hAnsi="宋体" w:eastAsia="宋体" w:cs="宋体"/>
          <w:color w:val="auto"/>
          <w:szCs w:val="21"/>
          <w:highlight w:val="none"/>
          <w:lang w:val="en-US" w:eastAsia="zh-CN"/>
        </w:rPr>
        <w:t>4</w:t>
      </w:r>
      <w:r>
        <w:rPr>
          <w:rFonts w:hint="default" w:ascii="宋体" w:hAnsi="宋体" w:eastAsia="宋体" w:cs="宋体"/>
          <w:color w:val="auto"/>
          <w:szCs w:val="21"/>
          <w:highlight w:val="none"/>
          <w:lang w:val="en-US"/>
        </w:rPr>
        <w:t>标段划分：本项目划分</w:t>
      </w:r>
      <w:r>
        <w:rPr>
          <w:rFonts w:hint="eastAsia" w:ascii="宋体" w:hAnsi="宋体" w:eastAsia="宋体" w:cs="宋体"/>
          <w:color w:val="auto"/>
          <w:szCs w:val="21"/>
          <w:highlight w:val="none"/>
          <w:lang w:val="en-US" w:eastAsia="zh-CN"/>
        </w:rPr>
        <w:t>一</w:t>
      </w:r>
      <w:r>
        <w:rPr>
          <w:rFonts w:hint="default" w:ascii="宋体" w:hAnsi="宋体" w:eastAsia="宋体" w:cs="宋体"/>
          <w:color w:val="auto"/>
          <w:szCs w:val="21"/>
          <w:highlight w:val="none"/>
          <w:lang w:val="en-US"/>
        </w:rPr>
        <w:t>个</w:t>
      </w:r>
      <w:r>
        <w:rPr>
          <w:rFonts w:hint="eastAsia" w:ascii="宋体" w:hAnsi="宋体" w:eastAsia="宋体" w:cs="宋体"/>
          <w:color w:val="auto"/>
          <w:szCs w:val="21"/>
          <w:highlight w:val="none"/>
          <w:lang w:val="en-US" w:eastAsia="zh-CN"/>
        </w:rPr>
        <w:t>标段</w:t>
      </w:r>
      <w:r>
        <w:rPr>
          <w:rFonts w:hint="eastAsia" w:ascii="宋体" w:hAnsi="宋体" w:cs="宋体"/>
          <w:color w:val="auto"/>
          <w:szCs w:val="21"/>
          <w:highlight w:val="none"/>
          <w:lang w:val="en-US" w:eastAsia="zh-CN"/>
        </w:rPr>
        <w:t>。</w:t>
      </w:r>
    </w:p>
    <w:p w14:paraId="3DEB3E54">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工期要求：</w:t>
      </w:r>
      <w:r>
        <w:rPr>
          <w:rFonts w:hint="eastAsia" w:ascii="宋体" w:hAnsi="宋体" w:cs="宋体"/>
          <w:color w:val="000000" w:themeColor="text1"/>
          <w:szCs w:val="21"/>
          <w:highlight w:val="none"/>
          <w:lang w:val="en-US" w:eastAsia="zh-CN"/>
          <w14:textFill>
            <w14:solidFill>
              <w14:schemeClr w14:val="tx1"/>
            </w14:solidFill>
          </w14:textFill>
        </w:rPr>
        <w:t>365日历天</w:t>
      </w:r>
      <w:r>
        <w:rPr>
          <w:rFonts w:hint="eastAsia" w:ascii="宋体" w:hAnsi="宋体" w:cs="宋体"/>
          <w:color w:val="auto"/>
          <w:szCs w:val="21"/>
          <w:highlight w:val="none"/>
        </w:rPr>
        <w:t>，缺陷责任</w:t>
      </w:r>
      <w:r>
        <w:rPr>
          <w:rFonts w:hint="eastAsia" w:ascii="宋体" w:hAnsi="宋体" w:cs="宋体"/>
          <w:color w:val="000000" w:themeColor="text1"/>
          <w:szCs w:val="21"/>
          <w:highlight w:val="none"/>
          <w14:textFill>
            <w14:solidFill>
              <w14:schemeClr w14:val="tx1"/>
            </w14:solidFill>
          </w14:textFill>
        </w:rPr>
        <w:t>期</w:t>
      </w:r>
      <w:r>
        <w:rPr>
          <w:rFonts w:hint="eastAsia" w:ascii="宋体" w:hAnsi="宋体" w:cs="宋体"/>
          <w:color w:val="000000" w:themeColor="text1"/>
          <w:szCs w:val="21"/>
          <w:highlight w:val="none"/>
          <w:lang w:val="en-US" w:eastAsia="zh-CN"/>
          <w14:textFill>
            <w14:solidFill>
              <w14:schemeClr w14:val="tx1"/>
            </w14:solidFill>
          </w14:textFill>
        </w:rPr>
        <w:t>24</w:t>
      </w:r>
      <w:r>
        <w:rPr>
          <w:rFonts w:hint="eastAsia" w:ascii="宋体" w:hAnsi="宋体" w:cs="宋体"/>
          <w:color w:val="000000" w:themeColor="text1"/>
          <w:szCs w:val="21"/>
          <w:highlight w:val="none"/>
          <w14:textFill>
            <w14:solidFill>
              <w14:schemeClr w14:val="tx1"/>
            </w14:solidFill>
          </w14:textFill>
        </w:rPr>
        <w:t>个</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w:t>
      </w:r>
    </w:p>
    <w:p w14:paraId="500F30FB">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质量要求：合格</w:t>
      </w:r>
      <w:r>
        <w:rPr>
          <w:rFonts w:hint="eastAsia" w:ascii="宋体" w:hAnsi="宋体" w:cs="宋体"/>
          <w:color w:val="auto"/>
          <w:szCs w:val="21"/>
          <w:highlight w:val="none"/>
          <w:lang w:eastAsia="zh-CN"/>
        </w:rPr>
        <w:t>。</w:t>
      </w:r>
    </w:p>
    <w:p w14:paraId="0999690E">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w:t>
      </w:r>
      <w:r>
        <w:rPr>
          <w:rFonts w:hint="eastAsia" w:ascii="宋体" w:hAnsi="宋体" w:cs="宋体"/>
          <w:color w:val="auto"/>
          <w:szCs w:val="21"/>
          <w:highlight w:val="none"/>
        </w:rPr>
        <w:t>招标范围：</w:t>
      </w:r>
      <w:r>
        <w:rPr>
          <w:rFonts w:hint="eastAsia" w:ascii="宋体" w:hAnsi="宋体" w:cs="宋体"/>
          <w:color w:val="auto"/>
          <w:szCs w:val="21"/>
          <w:highlight w:val="none"/>
          <w:lang w:eastAsia="zh-CN"/>
        </w:rPr>
        <w:t>招标文件所含全部内容（最终以工程量清单、施工图纸内容和施工招标答疑纪要为准）</w:t>
      </w:r>
      <w:r>
        <w:rPr>
          <w:rFonts w:hint="eastAsia" w:ascii="宋体" w:hAnsi="宋体" w:cs="宋体"/>
          <w:color w:val="auto"/>
          <w:szCs w:val="21"/>
          <w:highlight w:val="none"/>
          <w:lang w:val="en-US" w:eastAsia="zh-CN"/>
        </w:rPr>
        <w:t>。</w:t>
      </w:r>
    </w:p>
    <w:p w14:paraId="17F2003C">
      <w:pPr>
        <w:keepNext w:val="0"/>
        <w:keepLines w:val="0"/>
        <w:pageBreakBefore w:val="0"/>
        <w:kinsoku/>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lang w:val="en-US" w:eastAsia="zh-CN"/>
        </w:rPr>
        <w:t>本项目采用“评定分离”确定中标人</w:t>
      </w:r>
      <w:r>
        <w:rPr>
          <w:rFonts w:hint="eastAsia" w:ascii="宋体" w:hAnsi="宋体" w:cs="宋体"/>
          <w:color w:val="auto"/>
          <w:szCs w:val="21"/>
          <w:highlight w:val="none"/>
          <w:lang w:eastAsia="zh-CN"/>
        </w:rPr>
        <w:t>。</w:t>
      </w:r>
    </w:p>
    <w:p w14:paraId="4C5AF0BA">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rightChars="0"/>
        <w:jc w:val="left"/>
        <w:textAlignment w:val="auto"/>
        <w:outlineLvl w:val="0"/>
        <w:rPr>
          <w:rFonts w:hint="eastAsia" w:ascii="宋体" w:hAnsi="宋体" w:eastAsia="宋体" w:cs="宋体"/>
          <w:b/>
          <w:bCs/>
          <w:color w:val="auto"/>
          <w:kern w:val="2"/>
          <w:sz w:val="24"/>
          <w:szCs w:val="24"/>
          <w:highlight w:val="none"/>
          <w:lang w:val="en-US" w:eastAsia="zh-CN" w:bidi="ar-SA"/>
        </w:rPr>
      </w:pPr>
      <w:bookmarkStart w:id="11" w:name="_Toc27922"/>
      <w:r>
        <w:rPr>
          <w:rFonts w:hint="eastAsia" w:ascii="宋体" w:hAnsi="宋体" w:eastAsia="宋体" w:cs="宋体"/>
          <w:b/>
          <w:bCs/>
          <w:color w:val="auto"/>
          <w:kern w:val="2"/>
          <w:sz w:val="24"/>
          <w:szCs w:val="24"/>
          <w:highlight w:val="none"/>
          <w:lang w:val="en-US" w:eastAsia="zh-CN" w:bidi="ar-SA"/>
        </w:rPr>
        <w:t>3.投标人资格要求</w:t>
      </w:r>
      <w:bookmarkEnd w:id="11"/>
    </w:p>
    <w:p w14:paraId="61F0A2BA">
      <w:pPr>
        <w:pStyle w:val="26"/>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firstLine="440" w:firstLineChars="0"/>
        <w:jc w:val="left"/>
        <w:textAlignment w:val="auto"/>
        <w:outlineLvl w:val="9"/>
        <w:rPr>
          <w:rFonts w:hint="eastAsia" w:ascii="宋体" w:hAnsi="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auto"/>
          <w:kern w:val="2"/>
          <w:sz w:val="21"/>
          <w:szCs w:val="21"/>
          <w:highlight w:val="none"/>
          <w:lang w:val="en-US" w:eastAsia="zh-CN" w:bidi="ar-SA"/>
        </w:rPr>
        <w:t>3.1</w:t>
      </w:r>
      <w:r>
        <w:rPr>
          <w:rFonts w:hint="eastAsia" w:ascii="宋体" w:hAnsi="宋体" w:eastAsia="宋体" w:cs="宋体"/>
          <w:color w:val="auto"/>
          <w:kern w:val="2"/>
          <w:sz w:val="21"/>
          <w:szCs w:val="21"/>
          <w:highlight w:val="none"/>
          <w:lang w:val="en-US" w:eastAsia="zh-CN" w:bidi="ar-SA"/>
        </w:rPr>
        <w:t>投标人须</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具</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有</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独立法人资</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格，具有有效的营业执照；</w:t>
      </w:r>
    </w:p>
    <w:p w14:paraId="3406E849">
      <w:pPr>
        <w:pStyle w:val="26"/>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line="360" w:lineRule="auto"/>
        <w:ind w:left="0" w:leftChars="0" w:right="0" w:rightChars="0" w:firstLine="440" w:firstLineChars="0"/>
        <w:jc w:val="left"/>
        <w:textAlignment w:val="auto"/>
        <w:outlineLvl w:val="9"/>
        <w:rPr>
          <w:rFonts w:hint="eastAsia" w:ascii="宋体" w:hAnsi="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3.2资质要求：投标人须具备公路工程施工总承包贰级及以上资质，具有有效的安全生产许可证，并在人员、设备、资金等方面具有相应的施工能力</w:t>
      </w:r>
      <w:r>
        <w:rPr>
          <w:rFonts w:hint="eastAsia" w:ascii="宋体" w:hAnsi="宋体" w:eastAsia="宋体" w:cs="宋体"/>
          <w:color w:val="000000" w:themeColor="text1"/>
          <w:sz w:val="21"/>
          <w:szCs w:val="21"/>
          <w:highlight w:val="none"/>
          <w14:textFill>
            <w14:solidFill>
              <w14:schemeClr w14:val="tx1"/>
            </w14:solidFill>
          </w14:textFill>
        </w:rPr>
        <w:t>；</w:t>
      </w:r>
    </w:p>
    <w:p w14:paraId="47E67FBC">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bookmarkStart w:id="12" w:name="OLE_LINK15"/>
      <w:r>
        <w:rPr>
          <w:rFonts w:hint="eastAsia" w:ascii="宋体" w:hAnsi="宋体" w:cs="宋体"/>
          <w:color w:val="000000" w:themeColor="text1"/>
          <w:kern w:val="2"/>
          <w:sz w:val="21"/>
          <w:szCs w:val="21"/>
          <w:highlight w:val="none"/>
          <w:lang w:val="en-US" w:eastAsia="zh-CN" w:bidi="ar-SA"/>
          <w14:textFill>
            <w14:solidFill>
              <w14:schemeClr w14:val="tx1"/>
            </w14:solidFill>
          </w14:textFill>
        </w:rPr>
        <w:t>3.3</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拟派项目经理</w:t>
      </w:r>
      <w:r>
        <w:rPr>
          <w:rFonts w:hint="eastAsia" w:ascii="宋体" w:hAnsi="宋体" w:eastAsia="宋体" w:cs="宋体"/>
          <w:color w:val="000000" w:themeColor="text1"/>
          <w:sz w:val="21"/>
          <w:szCs w:val="21"/>
          <w:highlight w:val="none"/>
          <w:lang w:val="en-US" w:eastAsia="zh-CN"/>
          <w14:textFill>
            <w14:solidFill>
              <w14:schemeClr w14:val="tx1"/>
            </w14:solidFill>
          </w14:textFill>
        </w:rPr>
        <w:t>须具有公路工程专业贰级及以上注册建造师执业资格</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且具备有效的安全生产考核合格证书</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。投标人应出具拟派项目经理无在建承诺书（格式自拟）</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，并提供本单位劳动合同和近期社保缴纳证明；</w:t>
      </w:r>
    </w:p>
    <w:p w14:paraId="7B5DAC91">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3.4</w:t>
      </w:r>
      <w:r>
        <w:rPr>
          <w:rFonts w:hint="eastAsia" w:ascii="宋体" w:hAnsi="宋体" w:eastAsia="宋体" w:cs="宋体"/>
          <w:color w:val="auto"/>
          <w:kern w:val="2"/>
          <w:sz w:val="21"/>
          <w:szCs w:val="21"/>
          <w:highlight w:val="none"/>
          <w:lang w:val="en-US" w:eastAsia="zh-CN" w:bidi="ar-SA"/>
        </w:rPr>
        <w:t>拟派项目总工须</w:t>
      </w:r>
      <w:r>
        <w:rPr>
          <w:rFonts w:hint="eastAsia" w:ascii="宋体" w:hAnsi="宋体" w:cs="宋体"/>
          <w:color w:val="auto"/>
          <w:kern w:val="2"/>
          <w:sz w:val="21"/>
          <w:szCs w:val="21"/>
          <w:highlight w:val="none"/>
          <w:lang w:val="en-US" w:eastAsia="zh-CN" w:bidi="ar-SA"/>
        </w:rPr>
        <w:t>具有公路工程相关专业</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中</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级及以</w:t>
      </w:r>
      <w:r>
        <w:rPr>
          <w:rFonts w:hint="eastAsia" w:ascii="宋体" w:hAnsi="宋体" w:eastAsia="宋体" w:cs="宋体"/>
          <w:color w:val="auto"/>
          <w:kern w:val="2"/>
          <w:sz w:val="21"/>
          <w:szCs w:val="21"/>
          <w:highlight w:val="none"/>
          <w:lang w:val="en-US" w:eastAsia="zh-CN" w:bidi="ar-SA"/>
        </w:rPr>
        <w:t>上</w:t>
      </w:r>
      <w:r>
        <w:rPr>
          <w:rFonts w:hint="eastAsia" w:ascii="宋体" w:hAnsi="宋体" w:cs="宋体"/>
          <w:color w:val="auto"/>
          <w:kern w:val="2"/>
          <w:sz w:val="21"/>
          <w:szCs w:val="21"/>
          <w:highlight w:val="none"/>
          <w:lang w:val="en-US" w:eastAsia="zh-CN" w:bidi="ar-SA"/>
        </w:rPr>
        <w:t>技术</w:t>
      </w:r>
      <w:r>
        <w:rPr>
          <w:rFonts w:hint="eastAsia" w:ascii="宋体" w:hAnsi="宋体" w:eastAsia="宋体" w:cs="宋体"/>
          <w:color w:val="auto"/>
          <w:kern w:val="2"/>
          <w:sz w:val="21"/>
          <w:szCs w:val="21"/>
          <w:highlight w:val="none"/>
          <w:lang w:val="en-US" w:eastAsia="zh-CN" w:bidi="ar-SA"/>
        </w:rPr>
        <w:t>职称证书</w:t>
      </w:r>
      <w:bookmarkEnd w:id="12"/>
      <w:r>
        <w:rPr>
          <w:rFonts w:hint="eastAsia" w:ascii="宋体" w:hAnsi="宋体" w:cs="宋体"/>
          <w:color w:val="auto"/>
          <w:kern w:val="2"/>
          <w:sz w:val="21"/>
          <w:szCs w:val="21"/>
          <w:highlight w:val="none"/>
          <w:lang w:val="en-US" w:eastAsia="zh-CN" w:bidi="ar-SA"/>
        </w:rPr>
        <w:t>，并提供本单位劳动合同和近期社保缴纳证明。</w:t>
      </w:r>
    </w:p>
    <w:p w14:paraId="0EFAC508">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3.5财务状况要求：财务运行状况良好，没有财务被接管、冻结、破产状态，提供企业近三年（2023年、2024年度、2025年度）经会计师事务所或审计机构审计的年度财务审计报告（公司成立不足三年的，从成立年份开始提供，新成立的企业无法提供财务审计报告的按实际情况提供银行资信证明即可）</w:t>
      </w:r>
      <w:r>
        <w:rPr>
          <w:rFonts w:hint="eastAsia" w:ascii="宋体" w:hAnsi="宋体" w:eastAsia="宋体" w:cs="宋体"/>
          <w:color w:val="auto"/>
          <w:kern w:val="2"/>
          <w:sz w:val="21"/>
          <w:szCs w:val="21"/>
          <w:highlight w:val="none"/>
          <w:lang w:val="en-US" w:eastAsia="zh-CN" w:bidi="ar-SA"/>
        </w:rPr>
        <w:t>。</w:t>
      </w:r>
    </w:p>
    <w:p w14:paraId="2F89311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ascii="宋体" w:hAnsi="宋体" w:eastAsia="宋体" w:cs="宋体"/>
          <w:color w:val="auto"/>
          <w:kern w:val="2"/>
          <w:sz w:val="21"/>
          <w:szCs w:val="21"/>
          <w:highlight w:val="none"/>
          <w:lang w:val="en-US" w:eastAsia="zh-CN" w:bidi="ar-SA"/>
        </w:rPr>
        <w:t>3.6信誉要求：</w:t>
      </w:r>
      <w:r>
        <w:rPr>
          <w:rFonts w:hint="eastAsia" w:ascii="宋体" w:hAnsi="宋体" w:cs="宋体"/>
          <w:color w:val="auto"/>
          <w:kern w:val="2"/>
          <w:sz w:val="21"/>
          <w:szCs w:val="21"/>
          <w:highlight w:val="none"/>
          <w:lang w:val="en-US" w:eastAsia="zh-CN" w:bidi="ar-SA"/>
        </w:rPr>
        <w:t>投标人须提供国家企业信用信息公示系统（www.gsxt.gov.cn）的“严重违法失信名单”，“信用中国”（www.creditchina.gov.cn）或“中国执行信息公开网”（zxgk.court.gov.cn）的“失信被执行人名单”、“重大税收违法失信主体名单”，“中国政府采购网”（www.ccgp.gov.cn）的“政府采购严重违法失信行为名单”查询网页截图，若有不良记录投标无效（查询日期为招标公告发布日期之后）。</w:t>
      </w:r>
    </w:p>
    <w:p w14:paraId="7A9F3DE2">
      <w:pPr>
        <w:keepNext w:val="0"/>
        <w:keepLines w:val="0"/>
        <w:pageBreakBefore w:val="0"/>
        <w:numPr>
          <w:ilvl w:val="0"/>
          <w:numId w:val="0"/>
        </w:numPr>
        <w:kinsoku/>
        <w:wordWrap w:val="0"/>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其他要求：（1）企业近三年没有处于被责令停产、停业或者投标资格被取消，没有骗取中标或者没有重大违约及重大工程质量、拖欠农民工工资、安全生产事故等问题；（2）企业近三年内没有被建设、公路、水利、土地等有关行政部门及相关监督部门通报有不良行为记录；（3）投标人从中标到施工过程中如被发现有挂靠行为的，将没收保证金及履约保证金，并终止合同清退出场，因合同无效给建设方造成经济损失的，应当由被挂靠企业来承担；（4）单位负责人为同一人或者存在控股、管理关系的不同单位，不得参加同一标段投标或者未划分标段的同一招标项目投标；（5）企业近三年无因投标申请人违约或不恰当履约引起的合同中止、纠纷、争议、仲裁和诉讼记录，所承接的工程无重大质量事故，没有处于投标禁入期内（投标人应自拟承诺，格式自拟，加盖单位公章）。</w:t>
      </w:r>
    </w:p>
    <w:p w14:paraId="6CC67EE6">
      <w:pPr>
        <w:keepNext w:val="0"/>
        <w:keepLines w:val="0"/>
        <w:pageBreakBefore w:val="0"/>
        <w:numPr>
          <w:ilvl w:val="0"/>
          <w:numId w:val="0"/>
        </w:numPr>
        <w:kinsoku/>
        <w:wordWrap w:val="0"/>
        <w:overflowPunct/>
        <w:topLinePunct w:val="0"/>
        <w:autoSpaceDE/>
        <w:autoSpaceDN/>
        <w:bidi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3.8本项目不接受联合体投标。</w:t>
      </w:r>
    </w:p>
    <w:p w14:paraId="0BFCB40B">
      <w:pPr>
        <w:keepNext w:val="0"/>
        <w:keepLines w:val="0"/>
        <w:pageBreakBefore w:val="0"/>
        <w:kinsoku/>
        <w:overflowPunct/>
        <w:topLinePunct w:val="0"/>
        <w:autoSpaceDE/>
        <w:autoSpaceDN/>
        <w:bidi w:val="0"/>
        <w:adjustRightInd/>
        <w:snapToGrid/>
        <w:spacing w:line="360" w:lineRule="auto"/>
        <w:jc w:val="left"/>
        <w:textAlignment w:val="auto"/>
        <w:outlineLvl w:val="0"/>
        <w:rPr>
          <w:rFonts w:hint="eastAsia" w:ascii="宋体" w:hAnsi="宋体" w:eastAsia="宋体" w:cs="宋体"/>
          <w:b/>
          <w:bCs/>
          <w:color w:val="auto"/>
          <w:kern w:val="2"/>
          <w:sz w:val="24"/>
          <w:szCs w:val="24"/>
          <w:highlight w:val="none"/>
          <w:lang w:val="en-US" w:eastAsia="zh-CN" w:bidi="ar-SA"/>
        </w:rPr>
      </w:pPr>
      <w:bookmarkStart w:id="13" w:name="_Toc16081"/>
      <w:r>
        <w:rPr>
          <w:rFonts w:hint="eastAsia" w:ascii="宋体" w:hAnsi="宋体" w:eastAsia="宋体" w:cs="宋体"/>
          <w:b/>
          <w:bCs/>
          <w:color w:val="auto"/>
          <w:kern w:val="2"/>
          <w:sz w:val="24"/>
          <w:szCs w:val="24"/>
          <w:highlight w:val="none"/>
          <w:lang w:val="en-US" w:eastAsia="zh-CN" w:bidi="ar-SA"/>
        </w:rPr>
        <w:t>4.企业注册</w:t>
      </w:r>
      <w:bookmarkEnd w:id="13"/>
    </w:p>
    <w:p w14:paraId="3048FB8F">
      <w:pPr>
        <w:keepNext w:val="0"/>
        <w:keepLines w:val="0"/>
        <w:pageBreakBefore w:val="0"/>
        <w:kinsoku/>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4.1投标人首先通过驻马店市公共资源交易中心电子招投标交易平台网站(以下简称“交易平台网站”)（</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"https://ggzy.zhumadian.gov.cn/TPFront/"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https://ggzy.zhumadian.gov.cn/TPFront/</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）进行交易主体注册，然后按网站通知公告及下载中心有关要求填报企业信息和上传有关扫描件原件，提交并完善企业投标所需资料信息,由企业自行核验通过，最后自行选择办理“</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"https://www.bqpoint.com/epbzt/index.html"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标证通</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”手机证书或者实体CA数字证书。“标证通”办理见</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"https://www.bqpoint.com/epbzt/index.html" </w:instrText>
      </w:r>
      <w:r>
        <w:rPr>
          <w:rFonts w:hint="eastAsia" w:ascii="宋体" w:hAnsi="宋体" w:eastAsia="宋体" w:cs="宋体"/>
          <w:color w:val="auto"/>
          <w:kern w:val="2"/>
          <w:sz w:val="21"/>
          <w:szCs w:val="21"/>
          <w:highlight w:val="none"/>
          <w:lang w:val="en-US" w:eastAsia="zh-CN" w:bidi="ar-SA"/>
        </w:rPr>
        <w:fldChar w:fldCharType="separate"/>
      </w:r>
      <w:r>
        <w:rPr>
          <w:rFonts w:hint="eastAsia" w:ascii="宋体" w:hAnsi="宋体" w:eastAsia="宋体" w:cs="宋体"/>
          <w:color w:val="auto"/>
          <w:kern w:val="2"/>
          <w:sz w:val="21"/>
          <w:szCs w:val="21"/>
          <w:highlight w:val="none"/>
          <w:lang w:val="en-US" w:eastAsia="zh-CN" w:bidi="ar-SA"/>
        </w:rPr>
        <w:t>https://www.bqpoint.com/epbzt/index.html</w:t>
      </w:r>
      <w:r>
        <w:rPr>
          <w:rFonts w:hint="eastAsia"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。实体CA数字证书申请咨询电话(北京CA：4009197888、华测CA：4006202211、深圳CA：4001123838、信安CA：0371-96596)。</w:t>
      </w:r>
    </w:p>
    <w:p w14:paraId="12F7F63A">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4.2请各投标人网上报名时注意完善主体信息（如开户银行及开户账号等），以免未填写或错误导致系统判定废标。</w:t>
      </w:r>
    </w:p>
    <w:p w14:paraId="2DEFC320">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rightChars="0"/>
        <w:jc w:val="left"/>
        <w:textAlignment w:val="auto"/>
        <w:outlineLvl w:val="0"/>
        <w:rPr>
          <w:rFonts w:hint="eastAsia" w:ascii="宋体" w:hAnsi="宋体" w:eastAsia="宋体" w:cs="宋体"/>
          <w:b/>
          <w:bCs/>
          <w:color w:val="auto"/>
          <w:kern w:val="2"/>
          <w:sz w:val="24"/>
          <w:szCs w:val="24"/>
          <w:highlight w:val="none"/>
          <w:lang w:val="en-US" w:eastAsia="zh-CN" w:bidi="ar-SA"/>
        </w:rPr>
      </w:pPr>
      <w:bookmarkStart w:id="14" w:name="_Toc23984"/>
      <w:bookmarkStart w:id="15" w:name="_Toc16778734"/>
      <w:r>
        <w:rPr>
          <w:rFonts w:hint="eastAsia" w:ascii="宋体" w:hAnsi="宋体" w:eastAsia="宋体" w:cs="宋体"/>
          <w:b/>
          <w:bCs/>
          <w:color w:val="auto"/>
          <w:kern w:val="2"/>
          <w:sz w:val="24"/>
          <w:szCs w:val="24"/>
          <w:highlight w:val="none"/>
          <w:lang w:val="en-US" w:eastAsia="zh-CN" w:bidi="ar-SA"/>
        </w:rPr>
        <w:t>5.招标文件的获取</w:t>
      </w:r>
      <w:bookmarkEnd w:id="14"/>
      <w:bookmarkEnd w:id="15"/>
    </w:p>
    <w:p w14:paraId="25A4381B">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5.1招标文件获取时间：凡有意参加投标者，请于2026年</w:t>
      </w:r>
      <w:r>
        <w:rPr>
          <w:rFonts w:hint="eastAsia" w:ascii="宋体"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lang w:val="en-US" w:eastAsia="zh-CN" w:bidi="ar-SA"/>
        </w:rPr>
        <w:t>12</w:t>
      </w:r>
      <w:r>
        <w:rPr>
          <w:rFonts w:hint="eastAsia" w:ascii="宋体" w:hAnsi="宋体" w:eastAsia="宋体" w:cs="宋体"/>
          <w:color w:val="auto"/>
          <w:kern w:val="2"/>
          <w:sz w:val="21"/>
          <w:szCs w:val="21"/>
          <w:highlight w:val="none"/>
          <w:lang w:val="en-US" w:eastAsia="zh-CN" w:bidi="ar-SA"/>
        </w:rPr>
        <w:t>日08：00时至2026年</w:t>
      </w:r>
      <w:r>
        <w:rPr>
          <w:rFonts w:hint="eastAsia" w:ascii="宋体" w:hAnsi="宋体" w:cs="宋体"/>
          <w:color w:val="auto"/>
          <w:kern w:val="2"/>
          <w:sz w:val="21"/>
          <w:szCs w:val="21"/>
          <w:highlight w:val="none"/>
          <w:lang w:val="en-US" w:eastAsia="zh-CN" w:bidi="ar-SA"/>
        </w:rPr>
        <w:t>10</w:t>
      </w:r>
      <w:r>
        <w:rPr>
          <w:rFonts w:hint="eastAsia" w:ascii="宋体" w:hAnsi="宋体" w:eastAsia="宋体" w:cs="宋体"/>
          <w:color w:val="auto"/>
          <w:kern w:val="2"/>
          <w:sz w:val="21"/>
          <w:szCs w:val="21"/>
          <w:highlight w:val="none"/>
          <w:lang w:val="en-US" w:eastAsia="zh-CN" w:bidi="ar-SA"/>
        </w:rPr>
        <w:t>月</w:t>
      </w:r>
      <w:r>
        <w:rPr>
          <w:rFonts w:hint="eastAsia" w:ascii="宋体" w:hAnsi="宋体" w:cs="宋体"/>
          <w:color w:val="auto"/>
          <w:kern w:val="2"/>
          <w:sz w:val="21"/>
          <w:szCs w:val="21"/>
          <w:highlight w:val="none"/>
          <w:lang w:val="en-US" w:eastAsia="zh-CN" w:bidi="ar-SA"/>
        </w:rPr>
        <w:t>16</w:t>
      </w:r>
      <w:r>
        <w:rPr>
          <w:rFonts w:hint="eastAsia" w:ascii="宋体" w:hAnsi="宋体" w:eastAsia="宋体" w:cs="宋体"/>
          <w:color w:val="auto"/>
          <w:kern w:val="2"/>
          <w:sz w:val="21"/>
          <w:szCs w:val="21"/>
          <w:highlight w:val="none"/>
          <w:lang w:val="en-US" w:eastAsia="zh-CN" w:bidi="ar-SA"/>
        </w:rPr>
        <w:t>日1</w:t>
      </w:r>
      <w:r>
        <w:rPr>
          <w:rFonts w:hint="eastAsia" w:ascii="宋体" w:hAnsi="宋体" w:cs="宋体"/>
          <w:color w:val="auto"/>
          <w:kern w:val="2"/>
          <w:sz w:val="21"/>
          <w:szCs w:val="21"/>
          <w:highlight w:val="none"/>
          <w:lang w:val="en-US" w:eastAsia="zh-CN" w:bidi="ar-SA"/>
        </w:rPr>
        <w:t>7</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0时，登录“交易平台网站”（https://ggzy.zhumadian.gov.cn//RNTPFront/），凭领取的企业身份认证锁（CA密钥）登录系统免费下载领取招标文件,投标人未按规定在网上下载招标文件的，其投标将被拒绝。</w:t>
      </w:r>
    </w:p>
    <w:p w14:paraId="0FBF61AF">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2"/>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5.2招标文件获取方式：凭CA密钥登陆会员系统并按网上提示下载招标文件及资料。（详见交易平台网站下载中心栏目里投标人操作手册）。</w:t>
      </w:r>
    </w:p>
    <w:p w14:paraId="5452E336">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2"/>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331E5FFE">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rightChars="0"/>
        <w:jc w:val="left"/>
        <w:textAlignment w:val="auto"/>
        <w:outlineLvl w:val="0"/>
        <w:rPr>
          <w:rFonts w:hint="eastAsia" w:ascii="宋体" w:hAnsi="宋体" w:eastAsia="宋体" w:cs="宋体"/>
          <w:b/>
          <w:bCs/>
          <w:color w:val="auto"/>
          <w:kern w:val="2"/>
          <w:sz w:val="24"/>
          <w:szCs w:val="24"/>
          <w:highlight w:val="none"/>
          <w:lang w:val="en-US" w:eastAsia="zh-CN" w:bidi="ar-SA"/>
        </w:rPr>
      </w:pPr>
      <w:bookmarkStart w:id="16" w:name="_Toc14888"/>
      <w:r>
        <w:rPr>
          <w:rFonts w:hint="eastAsia" w:ascii="宋体" w:hAnsi="宋体" w:eastAsia="宋体" w:cs="宋体"/>
          <w:b/>
          <w:bCs/>
          <w:color w:val="auto"/>
          <w:kern w:val="2"/>
          <w:sz w:val="24"/>
          <w:szCs w:val="24"/>
          <w:highlight w:val="none"/>
          <w:lang w:val="en-US" w:eastAsia="zh-CN" w:bidi="ar-SA"/>
        </w:rPr>
        <w:t>6.资格审查方式</w:t>
      </w:r>
      <w:bookmarkEnd w:id="16"/>
      <w:r>
        <w:rPr>
          <w:rFonts w:hint="eastAsia" w:ascii="宋体" w:hAnsi="宋体" w:eastAsia="宋体" w:cs="宋体"/>
          <w:b/>
          <w:bCs/>
          <w:color w:val="auto"/>
          <w:kern w:val="2"/>
          <w:sz w:val="24"/>
          <w:szCs w:val="24"/>
          <w:highlight w:val="none"/>
          <w:lang w:val="en-US" w:eastAsia="zh-CN" w:bidi="ar-SA"/>
        </w:rPr>
        <w:t xml:space="preserve"> </w:t>
      </w:r>
    </w:p>
    <w:p w14:paraId="1B120BA1">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bookmarkStart w:id="17" w:name="_Toc16778735"/>
      <w:r>
        <w:rPr>
          <w:rFonts w:hint="eastAsia" w:ascii="宋体" w:hAnsi="宋体" w:cs="宋体"/>
          <w:color w:val="auto"/>
          <w:kern w:val="2"/>
          <w:sz w:val="21"/>
          <w:szCs w:val="21"/>
          <w:highlight w:val="none"/>
          <w:lang w:val="en-US" w:eastAsia="zh-CN" w:bidi="ar-SA"/>
        </w:rPr>
        <w:t>6.1</w:t>
      </w:r>
      <w:r>
        <w:rPr>
          <w:rFonts w:hint="eastAsia" w:ascii="宋体" w:hAnsi="宋体" w:eastAsia="宋体" w:cs="宋体"/>
          <w:color w:val="auto"/>
          <w:kern w:val="2"/>
          <w:sz w:val="21"/>
          <w:szCs w:val="21"/>
          <w:highlight w:val="none"/>
          <w:lang w:val="en-US" w:eastAsia="zh-CN" w:bidi="ar-SA"/>
        </w:rPr>
        <w:t>本招标项目对投标申请人的资格审查采用资格后审方式，主要资格审查标准和内容详见招标文件，只有资格审查合格的投标申请人才有可能被授予合同。</w:t>
      </w:r>
    </w:p>
    <w:p w14:paraId="7D43763E">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6.2</w:t>
      </w:r>
      <w:r>
        <w:rPr>
          <w:rFonts w:hint="eastAsia" w:ascii="宋体" w:hAnsi="宋体" w:eastAsia="宋体" w:cs="宋体"/>
          <w:color w:val="auto"/>
          <w:kern w:val="2"/>
          <w:sz w:val="21"/>
          <w:szCs w:val="21"/>
          <w:highlight w:val="none"/>
          <w:lang w:val="en-US" w:eastAsia="zh-CN" w:bidi="ar-SA"/>
        </w:rPr>
        <w:t>本项目采用不见面开标，投标人无需递交纸质投标文件及原件，投标企业应在项目开标前，将</w:t>
      </w:r>
      <w:r>
        <w:rPr>
          <w:rFonts w:hint="eastAsia" w:ascii="宋体" w:hAnsi="宋体" w:cs="宋体"/>
          <w:color w:val="auto"/>
          <w:kern w:val="2"/>
          <w:sz w:val="21"/>
          <w:szCs w:val="21"/>
          <w:highlight w:val="none"/>
          <w:lang w:val="en-US" w:eastAsia="zh-CN" w:bidi="ar-SA"/>
        </w:rPr>
        <w:t>相关的</w:t>
      </w:r>
      <w:r>
        <w:rPr>
          <w:rFonts w:hint="eastAsia" w:ascii="宋体" w:hAnsi="宋体" w:eastAsia="宋体" w:cs="宋体"/>
          <w:color w:val="auto"/>
          <w:kern w:val="2"/>
          <w:sz w:val="21"/>
          <w:szCs w:val="21"/>
          <w:highlight w:val="none"/>
          <w:lang w:val="en-US" w:eastAsia="zh-CN" w:bidi="ar-SA"/>
        </w:rPr>
        <w:t>资质、人员、业绩、荣誉、财务报告等投标所需材料扫描件，上传至驻马店市公共资源电子交易平台诚信库中，同时在“资格审查及评审材料”菜单下按标段挑选该标段投标所用资格审查材料，以供评标过程中评委查阅。评标时以电子投标文件及“资格审查及评审材料”菜单中选取的信息为准。</w:t>
      </w:r>
    </w:p>
    <w:p w14:paraId="3C0D4E18">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rightChars="0"/>
        <w:jc w:val="left"/>
        <w:textAlignment w:val="auto"/>
        <w:outlineLvl w:val="0"/>
        <w:rPr>
          <w:rFonts w:hint="eastAsia" w:ascii="宋体" w:hAnsi="宋体" w:eastAsia="宋体" w:cs="宋体"/>
          <w:b/>
          <w:bCs/>
          <w:color w:val="auto"/>
          <w:kern w:val="2"/>
          <w:sz w:val="24"/>
          <w:szCs w:val="24"/>
          <w:highlight w:val="none"/>
          <w:lang w:val="en-US" w:eastAsia="zh-CN" w:bidi="ar-SA"/>
        </w:rPr>
      </w:pPr>
      <w:bookmarkStart w:id="18" w:name="_Toc22838"/>
      <w:r>
        <w:rPr>
          <w:rFonts w:hint="eastAsia" w:ascii="宋体" w:hAnsi="宋体" w:eastAsia="宋体" w:cs="宋体"/>
          <w:b/>
          <w:bCs/>
          <w:color w:val="auto"/>
          <w:kern w:val="2"/>
          <w:sz w:val="24"/>
          <w:szCs w:val="24"/>
          <w:highlight w:val="none"/>
          <w:lang w:val="en-US" w:eastAsia="zh-CN" w:bidi="ar-SA"/>
        </w:rPr>
        <w:t>7.</w:t>
      </w:r>
      <w:bookmarkEnd w:id="17"/>
      <w:r>
        <w:rPr>
          <w:rFonts w:hint="eastAsia" w:ascii="宋体" w:hAnsi="宋体" w:eastAsia="宋体" w:cs="宋体"/>
          <w:b/>
          <w:bCs/>
          <w:color w:val="auto"/>
          <w:kern w:val="2"/>
          <w:sz w:val="24"/>
          <w:szCs w:val="24"/>
          <w:highlight w:val="none"/>
          <w:lang w:val="en-US" w:eastAsia="zh-CN" w:bidi="ar-SA"/>
        </w:rPr>
        <w:t>投标文件的上传/递交</w:t>
      </w:r>
      <w:bookmarkEnd w:id="18"/>
    </w:p>
    <w:p w14:paraId="01E54CAC">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bookmarkStart w:id="19" w:name="_Toc16778736"/>
      <w:r>
        <w:rPr>
          <w:rFonts w:hint="eastAsia" w:ascii="宋体" w:hAnsi="宋体" w:eastAsia="宋体" w:cs="宋体"/>
          <w:color w:val="auto"/>
          <w:kern w:val="2"/>
          <w:sz w:val="21"/>
          <w:szCs w:val="21"/>
          <w:highlight w:val="none"/>
          <w:lang w:val="en-US" w:eastAsia="zh-CN" w:bidi="ar-SA"/>
        </w:rPr>
        <w:t>7.1本项目采用不见面开标、投标人需要递交电子投标文件，无需递交纸质文件。</w:t>
      </w:r>
    </w:p>
    <w:p w14:paraId="73896AFC">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7.2投标文件的上传/递交截止时间（投标截止时间，下同）和地点见招标文件。加密电子投标文件（*.ZMDTF格式）应在投标截止时间前通过驻马店市公共资源交易电子交易平台（http://ggzy.zhumadian.gov.cn:8820/TPbidder/login.aspx）上传完成。</w:t>
      </w:r>
    </w:p>
    <w:p w14:paraId="1D507C20">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49BCDD63">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7.4远程开标前，投标人务必在驻马店市公共资源交易电子交易平台（http://ggzy.zhumadian.gov.cn:8820/TPbidder/login.aspx）投标文件上传模块中使用“模拟解密”功能，验证本机远程自助解密环境。</w:t>
      </w:r>
    </w:p>
    <w:p w14:paraId="1EAAA8DE">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7.5逾期上传/送达的或者未上传/未送达指定地点的投标文件，招标人不予受理。</w:t>
      </w:r>
    </w:p>
    <w:p w14:paraId="0964E4F7">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rightChars="0"/>
        <w:jc w:val="left"/>
        <w:textAlignment w:val="auto"/>
        <w:outlineLvl w:val="0"/>
        <w:rPr>
          <w:rFonts w:hint="eastAsia" w:ascii="宋体" w:hAnsi="宋体" w:eastAsia="宋体" w:cs="宋体"/>
          <w:color w:val="auto"/>
          <w:kern w:val="2"/>
          <w:sz w:val="21"/>
          <w:szCs w:val="21"/>
          <w:highlight w:val="none"/>
          <w:lang w:val="en-US" w:eastAsia="zh-CN" w:bidi="ar-SA"/>
        </w:rPr>
      </w:pPr>
      <w:bookmarkStart w:id="20" w:name="_Toc32673"/>
      <w:r>
        <w:rPr>
          <w:rFonts w:hint="eastAsia" w:ascii="宋体" w:hAnsi="宋体" w:eastAsia="宋体" w:cs="宋体"/>
          <w:b/>
          <w:bCs/>
          <w:color w:val="auto"/>
          <w:kern w:val="2"/>
          <w:sz w:val="24"/>
          <w:szCs w:val="24"/>
          <w:highlight w:val="none"/>
          <w:lang w:val="en-US" w:eastAsia="zh-CN" w:bidi="ar-SA"/>
        </w:rPr>
        <w:t>8.发布公告的媒介</w:t>
      </w:r>
      <w:bookmarkEnd w:id="19"/>
      <w:bookmarkEnd w:id="20"/>
    </w:p>
    <w:p w14:paraId="3DFFF161">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本次招标公告同时在</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《驻马店市公共资源交易平台》、《中国招标投标公共服务平台》、《河南省政府采购网》、《新蔡县人民政府网》</w:t>
      </w:r>
      <w:r>
        <w:rPr>
          <w:rFonts w:hint="eastAsia" w:ascii="宋体" w:hAnsi="宋体" w:eastAsia="宋体" w:cs="宋体"/>
          <w:color w:val="auto"/>
          <w:kern w:val="2"/>
          <w:sz w:val="21"/>
          <w:szCs w:val="21"/>
          <w:highlight w:val="none"/>
          <w:lang w:val="en-US" w:eastAsia="zh-CN" w:bidi="ar-SA"/>
        </w:rPr>
        <w:t>发布。</w:t>
      </w:r>
    </w:p>
    <w:p w14:paraId="1CFAD361">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rightChars="0"/>
        <w:jc w:val="left"/>
        <w:textAlignment w:val="auto"/>
        <w:outlineLvl w:val="0"/>
        <w:rPr>
          <w:rFonts w:hint="eastAsia" w:ascii="宋体" w:hAnsi="宋体" w:eastAsia="宋体" w:cs="宋体"/>
          <w:b/>
          <w:bCs/>
          <w:color w:val="auto"/>
          <w:kern w:val="2"/>
          <w:sz w:val="24"/>
          <w:szCs w:val="24"/>
          <w:highlight w:val="none"/>
          <w:lang w:val="en-US" w:eastAsia="zh-CN" w:bidi="ar-SA"/>
        </w:rPr>
      </w:pPr>
      <w:bookmarkStart w:id="21" w:name="_Toc24269"/>
      <w:r>
        <w:rPr>
          <w:rFonts w:hint="eastAsia" w:ascii="宋体" w:hAnsi="宋体" w:eastAsia="宋体" w:cs="宋体"/>
          <w:b/>
          <w:bCs/>
          <w:color w:val="auto"/>
          <w:kern w:val="2"/>
          <w:sz w:val="24"/>
          <w:szCs w:val="24"/>
          <w:highlight w:val="none"/>
          <w:lang w:val="en-US" w:eastAsia="zh-CN" w:bidi="ar-SA"/>
        </w:rPr>
        <w:t>9.特别提醒：</w:t>
      </w:r>
      <w:bookmarkEnd w:id="21"/>
    </w:p>
    <w:p w14:paraId="35382DF8">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因驻马店不见面交易系统具备视频直播、语音通话等，对网络带宽及硬件要求相对较高的功能，故投标人在参与使用不见面交易系统开标的项目时，需确认是否满足如下要求：</w:t>
      </w:r>
    </w:p>
    <w:p w14:paraId="52EEDDDA">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1、网络要求：</w:t>
      </w:r>
    </w:p>
    <w:p w14:paraId="37C89AE0">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网络带宽4M以上。</w:t>
      </w:r>
    </w:p>
    <w:p w14:paraId="728F3123">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2、硬件要求</w:t>
      </w:r>
    </w:p>
    <w:p w14:paraId="2E1EAE14">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电脑要求内存4G及以上，且需配套网络摄像头、麦克风、音箱等，并确保其均能正常运转。操作系统要求Windows7及以上，IE浏览器IE11及以上。</w:t>
      </w:r>
    </w:p>
    <w:p w14:paraId="0772BAD9">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3、人员要求</w:t>
      </w:r>
    </w:p>
    <w:p w14:paraId="3E5C5A14">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对于参与驻马店不见面交易系统开标的投标人，要求能熟练掌握电脑基础操作。不见面开标操作手册下载地址：</w:t>
      </w:r>
    </w:p>
    <w:p w14:paraId="0DE9AAF2">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firstLine="440"/>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（http://ggzy.zhumadian.gov.cn:9190/BidOpening/bidopeninghallaction/hall/login）</w:t>
      </w:r>
    </w:p>
    <w:p w14:paraId="2C946DBE">
      <w:pPr>
        <w:pStyle w:val="26"/>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right="0" w:rightChars="0"/>
        <w:jc w:val="left"/>
        <w:textAlignment w:val="auto"/>
        <w:outlineLvl w:val="0"/>
        <w:rPr>
          <w:rFonts w:hint="eastAsia" w:ascii="宋体" w:hAnsi="宋体" w:eastAsia="宋体" w:cs="宋体"/>
          <w:b/>
          <w:bCs/>
          <w:color w:val="auto"/>
          <w:kern w:val="2"/>
          <w:sz w:val="24"/>
          <w:szCs w:val="24"/>
          <w:highlight w:val="none"/>
          <w:lang w:val="en-US" w:eastAsia="zh-CN" w:bidi="ar-SA"/>
        </w:rPr>
      </w:pPr>
      <w:bookmarkStart w:id="22" w:name="_Toc16778737"/>
      <w:bookmarkStart w:id="23" w:name="_Toc29291"/>
      <w:r>
        <w:rPr>
          <w:rFonts w:hint="eastAsia" w:ascii="宋体" w:hAnsi="宋体" w:eastAsia="宋体" w:cs="宋体"/>
          <w:b/>
          <w:bCs/>
          <w:color w:val="auto"/>
          <w:kern w:val="2"/>
          <w:sz w:val="24"/>
          <w:szCs w:val="24"/>
          <w:highlight w:val="none"/>
          <w:lang w:val="en-US" w:eastAsia="zh-CN" w:bidi="ar-SA"/>
        </w:rPr>
        <w:t>10.联系方式</w:t>
      </w:r>
      <w:bookmarkEnd w:id="22"/>
      <w:bookmarkEnd w:id="23"/>
    </w:p>
    <w:p w14:paraId="58B10D18">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招 标 人：新蔡县公路事业发展中心</w:t>
      </w:r>
    </w:p>
    <w:p w14:paraId="1F3FE22E">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地</w:t>
      </w:r>
      <w:r>
        <w:rPr>
          <w:rFonts w:hint="eastAsia" w:ascii="宋体" w:hAnsi="宋体" w:eastAsia="宋体" w:cs="宋体"/>
          <w:color w:val="000000"/>
          <w:sz w:val="20"/>
          <w:szCs w:val="20"/>
          <w:highlight w:val="none"/>
          <w:lang w:val="en-US" w:eastAsia="zh-CN"/>
        </w:rPr>
        <w:t xml:space="preserve">    </w:t>
      </w:r>
      <w:r>
        <w:rPr>
          <w:rFonts w:hint="eastAsia" w:ascii="宋体" w:hAnsi="宋体" w:eastAsia="宋体" w:cs="宋体"/>
          <w:color w:val="000000"/>
          <w:sz w:val="20"/>
          <w:szCs w:val="20"/>
          <w:highlight w:val="none"/>
          <w:lang w:eastAsia="zh-CN"/>
        </w:rPr>
        <w:t>址：新蔡县人民路南段</w:t>
      </w:r>
    </w:p>
    <w:p w14:paraId="440CD6F4">
      <w:pPr>
        <w:bidi w:val="0"/>
        <w:spacing w:line="360" w:lineRule="auto"/>
        <w:ind w:right="325" w:rightChars="155" w:firstLine="400" w:firstLineChars="20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电    话：</w:t>
      </w:r>
      <w:r>
        <w:rPr>
          <w:rFonts w:hint="eastAsia" w:ascii="宋体" w:hAnsi="宋体" w:cs="宋体"/>
          <w:color w:val="000000"/>
          <w:sz w:val="20"/>
          <w:szCs w:val="20"/>
          <w:highlight w:val="none"/>
          <w:lang w:val="en-US" w:eastAsia="zh-CN"/>
        </w:rPr>
        <w:t>陈昊</w:t>
      </w:r>
    </w:p>
    <w:p w14:paraId="13DF61A6">
      <w:pPr>
        <w:bidi w:val="0"/>
        <w:spacing w:line="360" w:lineRule="auto"/>
        <w:ind w:right="325" w:rightChars="155" w:firstLine="400" w:firstLineChars="200"/>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联 系 人：</w:t>
      </w:r>
      <w:r>
        <w:rPr>
          <w:rFonts w:hint="eastAsia" w:ascii="宋体" w:hAnsi="宋体" w:eastAsia="宋体" w:cs="宋体"/>
          <w:color w:val="000000"/>
          <w:sz w:val="20"/>
          <w:szCs w:val="20"/>
          <w:highlight w:val="none"/>
          <w:lang w:val="en-US" w:eastAsia="zh-CN"/>
        </w:rPr>
        <w:t>0396-5922261</w:t>
      </w:r>
    </w:p>
    <w:p w14:paraId="1900F8A2">
      <w:pPr>
        <w:bidi w:val="0"/>
        <w:spacing w:line="360" w:lineRule="auto"/>
        <w:ind w:right="325" w:rightChars="155" w:firstLine="400" w:firstLineChars="20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邮    箱：ch2267@163.com</w:t>
      </w:r>
    </w:p>
    <w:p w14:paraId="5075D9D3">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代理机构:河南茂泰项目管理有限公司</w:t>
      </w:r>
    </w:p>
    <w:p w14:paraId="60BD51AD">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地</w:t>
      </w:r>
      <w:r>
        <w:rPr>
          <w:rFonts w:hint="eastAsia" w:ascii="宋体" w:hAnsi="宋体" w:eastAsia="宋体" w:cs="宋体"/>
          <w:color w:val="000000"/>
          <w:sz w:val="20"/>
          <w:szCs w:val="20"/>
          <w:highlight w:val="none"/>
          <w:lang w:val="en-US" w:eastAsia="zh-CN"/>
        </w:rPr>
        <w:t xml:space="preserve">    </w:t>
      </w:r>
      <w:r>
        <w:rPr>
          <w:rFonts w:hint="eastAsia" w:ascii="宋体" w:hAnsi="宋体" w:eastAsia="宋体" w:cs="宋体"/>
          <w:color w:val="000000"/>
          <w:sz w:val="20"/>
          <w:szCs w:val="20"/>
          <w:highlight w:val="none"/>
          <w:lang w:eastAsia="zh-CN"/>
        </w:rPr>
        <w:t>址:新蔡县人民西路与锦溪路交叉口西南180米10区22号</w:t>
      </w:r>
    </w:p>
    <w:p w14:paraId="6A2EDD6A">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联</w:t>
      </w:r>
      <w:r>
        <w:rPr>
          <w:rFonts w:hint="eastAsia" w:ascii="宋体" w:hAnsi="宋体" w:eastAsia="宋体" w:cs="宋体"/>
          <w:color w:val="000000"/>
          <w:sz w:val="20"/>
          <w:szCs w:val="20"/>
          <w:highlight w:val="none"/>
          <w:lang w:val="en-US" w:eastAsia="zh-CN"/>
        </w:rPr>
        <w:t xml:space="preserve"> </w:t>
      </w:r>
      <w:r>
        <w:rPr>
          <w:rFonts w:hint="eastAsia" w:ascii="宋体" w:hAnsi="宋体" w:eastAsia="宋体" w:cs="宋体"/>
          <w:color w:val="000000"/>
          <w:sz w:val="20"/>
          <w:szCs w:val="20"/>
          <w:highlight w:val="none"/>
          <w:lang w:eastAsia="zh-CN"/>
        </w:rPr>
        <w:t>系</w:t>
      </w:r>
      <w:r>
        <w:rPr>
          <w:rFonts w:hint="eastAsia" w:ascii="宋体" w:hAnsi="宋体" w:eastAsia="宋体" w:cs="宋体"/>
          <w:color w:val="000000"/>
          <w:sz w:val="20"/>
          <w:szCs w:val="20"/>
          <w:highlight w:val="none"/>
          <w:lang w:val="en-US" w:eastAsia="zh-CN"/>
        </w:rPr>
        <w:t xml:space="preserve"> </w:t>
      </w:r>
      <w:r>
        <w:rPr>
          <w:rFonts w:hint="eastAsia" w:ascii="宋体" w:hAnsi="宋体" w:eastAsia="宋体" w:cs="宋体"/>
          <w:color w:val="000000"/>
          <w:sz w:val="20"/>
          <w:szCs w:val="20"/>
          <w:highlight w:val="none"/>
          <w:lang w:eastAsia="zh-CN"/>
        </w:rPr>
        <w:t>人:</w:t>
      </w:r>
      <w:r>
        <w:rPr>
          <w:rFonts w:hint="eastAsia" w:ascii="宋体" w:hAnsi="宋体" w:cs="宋体"/>
          <w:color w:val="000000"/>
          <w:sz w:val="20"/>
          <w:szCs w:val="20"/>
          <w:highlight w:val="none"/>
          <w:lang w:val="en-US" w:eastAsia="zh-CN"/>
        </w:rPr>
        <w:t>王香</w:t>
      </w:r>
    </w:p>
    <w:p w14:paraId="01ACB90A">
      <w:pPr>
        <w:bidi w:val="0"/>
        <w:spacing w:line="360" w:lineRule="auto"/>
        <w:ind w:right="325" w:rightChars="155" w:firstLine="400" w:firstLineChars="200"/>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eastAsia="zh-CN"/>
        </w:rPr>
        <w:t>电</w:t>
      </w:r>
      <w:r>
        <w:rPr>
          <w:rFonts w:hint="eastAsia" w:ascii="宋体" w:hAnsi="宋体" w:eastAsia="宋体" w:cs="宋体"/>
          <w:color w:val="000000"/>
          <w:sz w:val="20"/>
          <w:szCs w:val="20"/>
          <w:highlight w:val="none"/>
          <w:lang w:val="en-US" w:eastAsia="zh-CN"/>
        </w:rPr>
        <w:t xml:space="preserve">    </w:t>
      </w:r>
      <w:r>
        <w:rPr>
          <w:rFonts w:hint="eastAsia" w:ascii="宋体" w:hAnsi="宋体" w:eastAsia="宋体" w:cs="宋体"/>
          <w:color w:val="000000"/>
          <w:sz w:val="20"/>
          <w:szCs w:val="20"/>
          <w:highlight w:val="none"/>
          <w:lang w:eastAsia="zh-CN"/>
        </w:rPr>
        <w:t>话:13323645738</w:t>
      </w:r>
    </w:p>
    <w:p w14:paraId="5C807371">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eastAsia="zh-CN"/>
        </w:rPr>
        <w:t>邮</w:t>
      </w:r>
      <w:r>
        <w:rPr>
          <w:rFonts w:hint="eastAsia" w:ascii="宋体" w:hAnsi="宋体" w:eastAsia="宋体" w:cs="宋体"/>
          <w:color w:val="000000"/>
          <w:sz w:val="20"/>
          <w:szCs w:val="20"/>
          <w:highlight w:val="none"/>
          <w:lang w:val="en-US" w:eastAsia="zh-CN"/>
        </w:rPr>
        <w:t xml:space="preserve">    </w:t>
      </w:r>
      <w:r>
        <w:rPr>
          <w:rFonts w:hint="eastAsia" w:ascii="宋体" w:hAnsi="宋体" w:eastAsia="宋体" w:cs="宋体"/>
          <w:color w:val="000000"/>
          <w:sz w:val="20"/>
          <w:szCs w:val="20"/>
          <w:highlight w:val="none"/>
          <w:lang w:eastAsia="zh-CN"/>
        </w:rPr>
        <w:t>箱:hnmtxmgl@126.com</w:t>
      </w:r>
    </w:p>
    <w:p w14:paraId="1D6A7DB5">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监督单位：</w:t>
      </w:r>
      <w:r>
        <w:rPr>
          <w:rFonts w:hint="eastAsia" w:ascii="宋体" w:hAnsi="宋体" w:eastAsia="宋体" w:cs="宋体"/>
          <w:color w:val="000000"/>
          <w:sz w:val="20"/>
          <w:szCs w:val="20"/>
          <w:highlight w:val="none"/>
          <w:lang w:eastAsia="zh-CN"/>
        </w:rPr>
        <w:t>新蔡县交通运输局</w:t>
      </w:r>
    </w:p>
    <w:p w14:paraId="077F9A33">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办公地址：</w:t>
      </w:r>
      <w:r>
        <w:rPr>
          <w:rFonts w:hint="eastAsia" w:ascii="宋体" w:hAnsi="宋体" w:eastAsia="宋体" w:cs="宋体"/>
          <w:color w:val="000000"/>
          <w:sz w:val="20"/>
          <w:szCs w:val="20"/>
          <w:highlight w:val="none"/>
          <w:lang w:eastAsia="zh-CN"/>
        </w:rPr>
        <w:t>新蔡县古吕街道新正路</w:t>
      </w:r>
    </w:p>
    <w:p w14:paraId="2EFBE7D7">
      <w:pPr>
        <w:bidi w:val="0"/>
        <w:spacing w:line="360" w:lineRule="auto"/>
        <w:ind w:right="325" w:rightChars="155" w:firstLine="400" w:firstLineChars="200"/>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电    话：</w:t>
      </w:r>
      <w:r>
        <w:rPr>
          <w:rFonts w:hint="eastAsia" w:ascii="宋体" w:hAnsi="宋体" w:eastAsia="宋体" w:cs="宋体"/>
          <w:color w:val="000000"/>
          <w:sz w:val="20"/>
          <w:szCs w:val="20"/>
          <w:highlight w:val="none"/>
          <w:lang w:eastAsia="zh-CN"/>
        </w:rPr>
        <w:t>0396-5922203</w:t>
      </w:r>
    </w:p>
    <w:p w14:paraId="618B043D">
      <w:pPr>
        <w:bidi w:val="0"/>
        <w:spacing w:line="360" w:lineRule="auto"/>
        <w:ind w:right="325" w:rightChars="155" w:firstLine="400" w:firstLineChars="200"/>
        <w:rPr>
          <w:rFonts w:hint="eastAsia"/>
        </w:rPr>
      </w:pPr>
      <w:r>
        <w:rPr>
          <w:rFonts w:hint="eastAsia" w:ascii="宋体" w:hAnsi="宋体" w:eastAsia="宋体" w:cs="宋体"/>
          <w:color w:val="000000"/>
          <w:sz w:val="20"/>
          <w:szCs w:val="20"/>
          <w:highlight w:val="none"/>
          <w:lang w:val="en-US" w:eastAsia="zh-CN"/>
        </w:rPr>
        <w:t>邮    箱：xcxjtj2007@163.com</w:t>
      </w:r>
      <w:r>
        <w:rPr>
          <w:rFonts w:hint="eastAsia"/>
          <w:color w:val="auto"/>
          <w:sz w:val="20"/>
          <w:szCs w:val="22"/>
        </w:rPr>
        <w:t xml:space="preserve">  </w:t>
      </w:r>
    </w:p>
    <w:p w14:paraId="7C57E6ED">
      <w:pPr>
        <w:spacing w:line="360" w:lineRule="auto"/>
        <w:rPr>
          <w:rFonts w:hint="eastAsia" w:ascii="宋体" w:hAnsi="宋体"/>
          <w:b/>
          <w:color w:val="auto"/>
          <w:kern w:val="44"/>
          <w:sz w:val="48"/>
          <w:szCs w:val="48"/>
          <w:highlight w:val="none"/>
          <w:lang w:eastAsia="zh-CN"/>
        </w:rPr>
      </w:pPr>
      <w:r>
        <w:rPr>
          <w:rFonts w:hint="eastAsia" w:ascii="宋体" w:hAnsi="宋体"/>
          <w:b/>
          <w:color w:val="auto"/>
          <w:kern w:val="44"/>
          <w:sz w:val="48"/>
          <w:szCs w:val="48"/>
          <w:highlight w:val="none"/>
          <w:lang w:eastAsia="zh-CN"/>
        </w:rPr>
        <w:br w:type="page"/>
      </w:r>
    </w:p>
    <w:p w14:paraId="7FCF006F">
      <w:pPr>
        <w:pStyle w:val="26"/>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outlineLvl w:val="0"/>
        <w:rPr>
          <w:rFonts w:hint="default" w:ascii="宋体" w:hAnsi="宋体" w:eastAsia="宋体"/>
          <w:b/>
          <w:color w:val="auto"/>
          <w:kern w:val="44"/>
          <w:sz w:val="32"/>
          <w:szCs w:val="32"/>
          <w:highlight w:val="none"/>
          <w:lang w:val="en-US" w:eastAsia="zh-CN"/>
        </w:rPr>
      </w:pPr>
      <w:bookmarkStart w:id="24" w:name="_Toc27357"/>
      <w:r>
        <w:rPr>
          <w:rFonts w:hint="eastAsia" w:ascii="宋体" w:hAnsi="宋体"/>
          <w:b/>
          <w:color w:val="auto"/>
          <w:kern w:val="44"/>
          <w:sz w:val="32"/>
          <w:szCs w:val="32"/>
          <w:highlight w:val="none"/>
          <w:lang w:eastAsia="zh-CN"/>
        </w:rPr>
        <w:t>第二章</w:t>
      </w:r>
      <w:r>
        <w:rPr>
          <w:rFonts w:hint="eastAsia" w:ascii="宋体" w:hAnsi="宋体"/>
          <w:b/>
          <w:color w:val="auto"/>
          <w:kern w:val="44"/>
          <w:sz w:val="32"/>
          <w:szCs w:val="32"/>
          <w:highlight w:val="none"/>
          <w:lang w:val="en-US" w:eastAsia="zh-CN"/>
        </w:rPr>
        <w:t xml:space="preserve"> 投标人须知</w:t>
      </w:r>
      <w:bookmarkEnd w:id="24"/>
    </w:p>
    <w:p w14:paraId="2B6D975A">
      <w:pPr>
        <w:keepNext w:val="0"/>
        <w:keepLines w:val="0"/>
        <w:pageBreakBefore w:val="0"/>
        <w:widowControl w:val="0"/>
        <w:kinsoku/>
        <w:wordWrap/>
        <w:overflowPunct/>
        <w:topLinePunct w:val="0"/>
        <w:autoSpaceDE/>
        <w:autoSpaceDN/>
        <w:bidi w:val="0"/>
        <w:adjustRightInd w:val="0"/>
        <w:snapToGrid w:val="0"/>
        <w:spacing w:before="0" w:beforeLines="100" w:after="0" w:afterLines="50" w:line="240" w:lineRule="auto"/>
        <w:jc w:val="center"/>
        <w:textAlignment w:val="auto"/>
        <w:outlineLvl w:val="9"/>
        <w:rPr>
          <w:rFonts w:ascii="宋体" w:hAnsi="宋体"/>
          <w:b w:val="0"/>
          <w:bCs w:val="0"/>
          <w:color w:val="auto"/>
          <w:sz w:val="28"/>
          <w:szCs w:val="28"/>
          <w:highlight w:val="none"/>
        </w:rPr>
      </w:pPr>
      <w:bookmarkStart w:id="25" w:name="_Toc3854"/>
      <w:bookmarkEnd w:id="25"/>
      <w:r>
        <w:rPr>
          <w:rFonts w:hint="eastAsia" w:ascii="宋体" w:hAnsi="宋体"/>
          <w:b w:val="0"/>
          <w:bCs w:val="0"/>
          <w:color w:val="auto"/>
          <w:sz w:val="28"/>
          <w:szCs w:val="28"/>
          <w:highlight w:val="none"/>
        </w:rPr>
        <w:t>投标人须知前附表</w:t>
      </w:r>
      <w:bookmarkStart w:id="26" w:name="_Hlt111980600"/>
      <w:bookmarkEnd w:id="26"/>
    </w:p>
    <w:tbl>
      <w:tblPr>
        <w:tblStyle w:val="29"/>
        <w:tblW w:w="9708"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5"/>
        <w:gridCol w:w="2551"/>
        <w:gridCol w:w="9"/>
        <w:gridCol w:w="6187"/>
      </w:tblGrid>
      <w:tr w14:paraId="523A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DC3D2EA">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920FE47">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 款 名 称</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CA80426">
            <w:pPr>
              <w:keepNext w:val="0"/>
              <w:keepLines w:val="0"/>
              <w:pageBreakBefore w:val="0"/>
              <w:kinsoku/>
              <w:wordWrap/>
              <w:overflowPunct/>
              <w:topLinePunct w:val="0"/>
              <w:autoSpaceDN/>
              <w:bidi w:val="0"/>
              <w:spacing w:line="360" w:lineRule="atLeas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 列 内 容</w:t>
            </w:r>
          </w:p>
        </w:tc>
      </w:tr>
      <w:tr w14:paraId="5F837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9F9FE9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F273CE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4CC12D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标</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人：</w:t>
            </w:r>
            <w:r>
              <w:rPr>
                <w:rFonts w:hint="eastAsia" w:ascii="宋体" w:hAnsi="宋体" w:cs="宋体"/>
                <w:color w:val="auto"/>
                <w:sz w:val="21"/>
                <w:szCs w:val="21"/>
                <w:highlight w:val="none"/>
                <w:lang w:val="en-US" w:eastAsia="zh-CN"/>
              </w:rPr>
              <w:t>新蔡</w:t>
            </w:r>
            <w:r>
              <w:rPr>
                <w:rFonts w:hint="eastAsia" w:ascii="宋体" w:hAnsi="宋体" w:eastAsia="宋体" w:cs="宋体"/>
                <w:color w:val="auto"/>
                <w:sz w:val="21"/>
                <w:szCs w:val="21"/>
                <w:highlight w:val="none"/>
                <w:lang w:val="en-US" w:eastAsia="zh-CN"/>
              </w:rPr>
              <w:t>县公路事业发展中心</w:t>
            </w:r>
          </w:p>
          <w:p w14:paraId="6947FF5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办公地址：</w:t>
            </w:r>
            <w:r>
              <w:rPr>
                <w:rFonts w:hint="eastAsia" w:ascii="宋体" w:hAnsi="宋体" w:eastAsia="宋体" w:cs="宋体"/>
                <w:color w:val="auto"/>
                <w:sz w:val="21"/>
                <w:szCs w:val="21"/>
                <w:highlight w:val="none"/>
                <w:lang w:eastAsia="zh-CN"/>
              </w:rPr>
              <w:t>新蔡县人民路南段</w:t>
            </w:r>
          </w:p>
          <w:p w14:paraId="2B5514F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w:t>
            </w:r>
            <w:r>
              <w:rPr>
                <w:rFonts w:hint="eastAsia" w:ascii="宋体" w:hAnsi="宋体" w:cs="宋体"/>
                <w:color w:val="auto"/>
                <w:sz w:val="21"/>
                <w:szCs w:val="21"/>
                <w:highlight w:val="none"/>
                <w:lang w:val="en-US" w:eastAsia="zh-CN"/>
              </w:rPr>
              <w:t>陈昊</w:t>
            </w:r>
          </w:p>
          <w:p w14:paraId="6EDC69B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r>
              <w:rPr>
                <w:rFonts w:hint="eastAsia" w:ascii="宋体" w:hAnsi="宋体" w:eastAsia="宋体" w:cs="宋体"/>
                <w:color w:val="auto"/>
                <w:sz w:val="21"/>
                <w:szCs w:val="21"/>
                <w:highlight w:val="none"/>
                <w:lang w:val="en-US" w:eastAsia="zh-CN"/>
              </w:rPr>
              <w:t>0396-5922261</w:t>
            </w:r>
          </w:p>
        </w:tc>
      </w:tr>
      <w:tr w14:paraId="3409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AB6C8F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CA4BFA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EA9E81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招标代理机构:</w:t>
            </w:r>
            <w:r>
              <w:rPr>
                <w:rFonts w:hint="eastAsia" w:ascii="宋体" w:hAnsi="宋体" w:cs="宋体"/>
                <w:color w:val="auto"/>
                <w:sz w:val="21"/>
                <w:szCs w:val="21"/>
                <w:highlight w:val="none"/>
                <w:lang w:eastAsia="zh-CN"/>
              </w:rPr>
              <w:t>河南茂泰项目管理有限公司</w:t>
            </w:r>
          </w:p>
          <w:p w14:paraId="0886455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w:t>
            </w:r>
            <w:r>
              <w:rPr>
                <w:rFonts w:hint="eastAsia" w:ascii="宋体" w:hAnsi="宋体" w:cs="宋体"/>
                <w:color w:val="auto"/>
                <w:sz w:val="21"/>
                <w:szCs w:val="21"/>
                <w:highlight w:val="none"/>
                <w:lang w:eastAsia="zh-CN"/>
              </w:rPr>
              <w:t>新蔡县人民西路与锦溪路交叉口西南180米10区22号</w:t>
            </w:r>
          </w:p>
          <w:p w14:paraId="2A6FE85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人:</w:t>
            </w:r>
            <w:r>
              <w:rPr>
                <w:rFonts w:hint="eastAsia" w:ascii="宋体" w:hAnsi="宋体" w:cs="宋体"/>
                <w:color w:val="auto"/>
                <w:sz w:val="21"/>
                <w:szCs w:val="21"/>
                <w:highlight w:val="none"/>
                <w:lang w:val="en-US" w:eastAsia="zh-CN"/>
              </w:rPr>
              <w:t>王香</w:t>
            </w:r>
          </w:p>
          <w:p w14:paraId="320E270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r>
              <w:rPr>
                <w:rFonts w:hint="eastAsia" w:ascii="宋体" w:hAnsi="宋体" w:cs="宋体"/>
                <w:color w:val="auto"/>
                <w:sz w:val="21"/>
                <w:szCs w:val="21"/>
                <w:highlight w:val="none"/>
                <w:lang w:eastAsia="zh-CN"/>
              </w:rPr>
              <w:t>13323645738</w:t>
            </w:r>
          </w:p>
        </w:tc>
      </w:tr>
      <w:tr w14:paraId="3F13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8EC7BA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B688C0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招标项目名称</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F02215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S330豫皖交界至G106新蔡孙召段改建工程</w:t>
            </w:r>
          </w:p>
        </w:tc>
      </w:tr>
      <w:tr w14:paraId="0D5EE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2C5B59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B30086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建设地点</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2836E0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val="en-US" w:eastAsia="zh-CN"/>
              </w:rPr>
              <w:t>S330豫皖交界至G106新蔡孙召段改建工程呈东西走向，起点位于豫皖交界处(K0+000),经化庄乡、栎城乡、孙召镇，止于G106线(K26+460),路线全长26.460公里，建设里程17.592公里(完全利用段共计8.868公里。其中：K17+000.599～K18+264.839栎城大街段，长1.264公里；K18+856-K26+460段，长7.604公里。)</w:t>
            </w:r>
          </w:p>
        </w:tc>
      </w:tr>
      <w:tr w14:paraId="3AC6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6F450C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341C67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D11EAD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财政资金100%</w:t>
            </w:r>
          </w:p>
        </w:tc>
      </w:tr>
      <w:tr w14:paraId="1BB9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2B16A7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069C57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8101E2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042F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D715CC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4DF043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37B464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Cs w:val="21"/>
                <w:highlight w:val="none"/>
                <w:lang w:eastAsia="zh-CN"/>
              </w:rPr>
              <w:t>招标文件所含全部内容（最终以工程量清单、施工图纸内容和施工招标答疑纪要为准）</w:t>
            </w:r>
          </w:p>
        </w:tc>
      </w:tr>
      <w:tr w14:paraId="03C7A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04390F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18CC30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计划工期</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471756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365日历天，缺陷责任期24个月。</w:t>
            </w:r>
          </w:p>
          <w:p w14:paraId="5E9DCBAD">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计划开工日期：以合同约定时间为准</w:t>
            </w:r>
            <w:r>
              <w:rPr>
                <w:rFonts w:hint="eastAsia" w:ascii="宋体" w:hAnsi="宋体" w:cs="宋体"/>
                <w:color w:val="auto"/>
                <w:sz w:val="21"/>
                <w:szCs w:val="21"/>
                <w:highlight w:val="none"/>
                <w:lang w:eastAsia="zh-CN"/>
              </w:rPr>
              <w:t>；</w:t>
            </w:r>
          </w:p>
          <w:p w14:paraId="625A007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计划交工日期：以合同约定时间为</w:t>
            </w:r>
            <w:r>
              <w:rPr>
                <w:rFonts w:hint="eastAsia" w:ascii="宋体" w:hAnsi="宋体" w:cs="宋体"/>
                <w:color w:val="auto"/>
                <w:sz w:val="21"/>
                <w:szCs w:val="21"/>
                <w:highlight w:val="none"/>
                <w:lang w:eastAsia="zh-CN"/>
              </w:rPr>
              <w:t>准。</w:t>
            </w:r>
          </w:p>
        </w:tc>
      </w:tr>
      <w:tr w14:paraId="589AA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C72AE4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58CE17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F169422">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标段工程交工验收的质量评定：合格</w:t>
            </w:r>
          </w:p>
          <w:p w14:paraId="15D71471">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pacing w:val="-18"/>
                <w:sz w:val="21"/>
                <w:szCs w:val="21"/>
                <w:highlight w:val="none"/>
              </w:rPr>
            </w:pPr>
            <w:r>
              <w:rPr>
                <w:rFonts w:hint="eastAsia" w:ascii="宋体" w:hAnsi="宋体" w:eastAsia="宋体" w:cs="宋体"/>
                <w:color w:val="auto"/>
                <w:sz w:val="21"/>
                <w:szCs w:val="21"/>
                <w:highlight w:val="none"/>
              </w:rPr>
              <w:t>竣工验收的质量评定：合格</w:t>
            </w:r>
          </w:p>
        </w:tc>
      </w:tr>
      <w:tr w14:paraId="484E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782639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864C99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安全目标</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3B3B6FD">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无安全事故</w:t>
            </w:r>
          </w:p>
        </w:tc>
      </w:tr>
      <w:tr w14:paraId="04FF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E04E39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249B04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投标人资质条件、能力和信誉 </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C909A07">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资质要求：见附录1</w:t>
            </w:r>
          </w:p>
          <w:p w14:paraId="555E1295">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财务要求：见附录2</w:t>
            </w:r>
          </w:p>
          <w:p w14:paraId="1CEAE53E">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信誉要求：见附录</w:t>
            </w:r>
            <w:r>
              <w:rPr>
                <w:rFonts w:hint="eastAsia" w:ascii="宋体" w:hAnsi="宋体" w:cs="宋体"/>
                <w:color w:val="auto"/>
                <w:sz w:val="21"/>
                <w:szCs w:val="21"/>
                <w:highlight w:val="none"/>
                <w:lang w:val="en-US" w:eastAsia="zh-CN"/>
              </w:rPr>
              <w:t>3</w:t>
            </w:r>
          </w:p>
          <w:p w14:paraId="7E2618C6">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其他要求：</w:t>
            </w:r>
            <w:r>
              <w:rPr>
                <w:rFonts w:hint="eastAsia" w:ascii="宋体" w:hAnsi="宋体" w:eastAsia="宋体" w:cs="宋体"/>
                <w:color w:val="auto"/>
                <w:sz w:val="21"/>
                <w:szCs w:val="21"/>
                <w:highlight w:val="none"/>
              </w:rPr>
              <w:t>见附录</w:t>
            </w:r>
            <w:r>
              <w:rPr>
                <w:rFonts w:hint="eastAsia" w:ascii="宋体" w:hAnsi="宋体" w:cs="宋体"/>
                <w:color w:val="auto"/>
                <w:sz w:val="21"/>
                <w:szCs w:val="21"/>
                <w:highlight w:val="none"/>
                <w:lang w:val="en-US" w:eastAsia="zh-CN"/>
              </w:rPr>
              <w:t>4</w:t>
            </w:r>
          </w:p>
          <w:p w14:paraId="52210032">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项目经理和项目总工资格：见附录</w:t>
            </w:r>
            <w:r>
              <w:rPr>
                <w:rFonts w:hint="eastAsia" w:ascii="宋体" w:hAnsi="宋体" w:cs="宋体"/>
                <w:color w:val="auto"/>
                <w:sz w:val="21"/>
                <w:szCs w:val="21"/>
                <w:highlight w:val="none"/>
                <w:lang w:val="en-US" w:eastAsia="zh-CN"/>
              </w:rPr>
              <w:t>5</w:t>
            </w:r>
          </w:p>
        </w:tc>
      </w:tr>
      <w:tr w14:paraId="01A9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B6CE74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433D7C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8F15E8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6A58CC0F">
            <w:pPr>
              <w:pStyle w:val="32"/>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p>
          <w:p w14:paraId="12F57C07">
            <w:pPr>
              <w:pStyle w:val="32"/>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（1）联合体所有成员数量不得超过 / 家；</w:t>
            </w:r>
          </w:p>
          <w:p w14:paraId="30CF7855">
            <w:pPr>
              <w:pStyle w:val="32"/>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（2）联合体牵头人应具有 / 资质；</w:t>
            </w:r>
          </w:p>
          <w:p w14:paraId="5A2AAFC2">
            <w:pPr>
              <w:pStyle w:val="32"/>
              <w:keepNext w:val="0"/>
              <w:keepLines w:val="0"/>
              <w:pageBreakBefore w:val="0"/>
              <w:kinsoku/>
              <w:wordWrap/>
              <w:overflowPunct/>
              <w:topLinePunct w:val="0"/>
              <w:autoSpaceDE w:val="0"/>
              <w:autoSpaceDN/>
              <w:bidi w:val="0"/>
              <w:spacing w:line="360" w:lineRule="atLeast"/>
              <w:ind w:firstLine="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7DE7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DAF05C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B0CCDA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投标人不得存在的其他关联情形</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AEDEC4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见须知正文</w:t>
            </w:r>
          </w:p>
        </w:tc>
      </w:tr>
      <w:tr w14:paraId="7B71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E4A4D9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3C05DF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投标人不得存在的其他不良状况或不良信用记录</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F4FF6D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见须知正文</w:t>
            </w:r>
          </w:p>
        </w:tc>
      </w:tr>
      <w:tr w14:paraId="3C59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C52E71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5194A3D">
            <w:pPr>
              <w:keepNext w:val="0"/>
              <w:keepLines w:val="0"/>
              <w:pageBreakBefore w:val="0"/>
              <w:kinsoku/>
              <w:wordWrap/>
              <w:overflowPunct/>
              <w:topLinePunct w:val="0"/>
              <w:autoSpaceDE w:val="0"/>
              <w:autoSpaceDN/>
              <w:bidi w:val="0"/>
              <w:spacing w:line="360" w:lineRule="atLeast"/>
              <w:ind w:left="-106" w:leftChars="-51" w:right="-107" w:rightChars="-51" w:hanging="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投标人在投标预备会前提出问题</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3A4DCC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不召开预备会，如有疑问见条款2</w:t>
            </w:r>
          </w:p>
        </w:tc>
      </w:tr>
      <w:tr w14:paraId="4A86A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E1A3C3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77DB73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C85BE3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61FEC316">
            <w:pPr>
              <w:keepNext w:val="0"/>
              <w:keepLines w:val="0"/>
              <w:pageBreakBefore w:val="0"/>
              <w:kinsoku/>
              <w:wordWrap/>
              <w:overflowPunct/>
              <w:topLinePunct w:val="0"/>
              <w:autoSpaceDE w:val="0"/>
              <w:autoSpaceDN/>
              <w:bidi w:val="0"/>
              <w:spacing w:line="360" w:lineRule="atLeast"/>
              <w:textAlignment w:val="auto"/>
              <w:rPr>
                <w:rFonts w:hint="eastAsia" w:ascii="宋体" w:hAnsi="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□允许，允许分包的专项工程（或不允许分包的专项工程）：</w:t>
            </w:r>
            <w:r>
              <w:rPr>
                <w:rFonts w:hint="eastAsia" w:ascii="宋体" w:hAnsi="宋体" w:cs="宋体"/>
                <w:color w:val="auto"/>
                <w:sz w:val="21"/>
                <w:szCs w:val="21"/>
                <w:highlight w:val="none"/>
                <w:u w:val="single"/>
                <w:lang w:val="en-US" w:eastAsia="zh-CN"/>
              </w:rPr>
              <w:t xml:space="preserve">   </w:t>
            </w:r>
          </w:p>
          <w:p w14:paraId="21F11A37">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对分包人的资格要求：</w:t>
            </w:r>
            <w:r>
              <w:rPr>
                <w:rFonts w:hint="eastAsia" w:ascii="宋体" w:hAnsi="宋体" w:cs="宋体"/>
                <w:color w:val="auto"/>
                <w:sz w:val="21"/>
                <w:szCs w:val="21"/>
                <w:highlight w:val="none"/>
                <w:u w:val="single"/>
                <w:lang w:val="en-US" w:eastAsia="zh-CN"/>
              </w:rPr>
              <w:t xml:space="preserve">          </w:t>
            </w:r>
          </w:p>
        </w:tc>
      </w:tr>
      <w:tr w14:paraId="2CFD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2C6EA5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2AD780D">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17D7E4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1.招标人发布的最高投标限价、招标补遗书、澄清、修改等招标文件的补充文件（如有）；</w:t>
            </w:r>
          </w:p>
          <w:p w14:paraId="1DDC4B7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2.其他相关规范、要求等。</w:t>
            </w:r>
          </w:p>
        </w:tc>
      </w:tr>
      <w:tr w14:paraId="38FFE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956" w:type="dxa"/>
            <w:vMerge w:val="restart"/>
            <w:tcBorders>
              <w:top w:val="nil"/>
              <w:left w:val="single" w:color="auto" w:sz="4" w:space="0"/>
              <w:bottom w:val="single" w:color="auto" w:sz="4" w:space="0"/>
              <w:right w:val="single" w:color="auto" w:sz="4" w:space="0"/>
            </w:tcBorders>
            <w:noWrap/>
            <w:vAlign w:val="center"/>
          </w:tcPr>
          <w:p w14:paraId="58FEACC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556" w:type="dxa"/>
            <w:gridSpan w:val="2"/>
            <w:vMerge w:val="restart"/>
            <w:tcBorders>
              <w:top w:val="nil"/>
              <w:left w:val="single" w:color="auto" w:sz="4" w:space="0"/>
              <w:bottom w:val="single" w:color="auto" w:sz="4" w:space="0"/>
              <w:right w:val="single" w:color="auto" w:sz="4" w:space="0"/>
            </w:tcBorders>
            <w:noWrap/>
            <w:vAlign w:val="center"/>
          </w:tcPr>
          <w:p w14:paraId="760699B8">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12EB28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时间：投标截止时间15日前</w:t>
            </w:r>
          </w:p>
        </w:tc>
      </w:tr>
      <w:tr w14:paraId="6F8D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56" w:type="dxa"/>
            <w:vMerge w:val="continue"/>
            <w:tcBorders>
              <w:top w:val="nil"/>
              <w:left w:val="single" w:color="auto" w:sz="4" w:space="0"/>
              <w:bottom w:val="single" w:color="auto" w:sz="4" w:space="0"/>
              <w:right w:val="single" w:color="auto" w:sz="4" w:space="0"/>
            </w:tcBorders>
            <w:vAlign w:val="center"/>
          </w:tcPr>
          <w:p w14:paraId="2AF46098">
            <w:pPr>
              <w:keepNext w:val="0"/>
              <w:keepLines w:val="0"/>
              <w:pageBreakBefore w:val="0"/>
              <w:widowControl/>
              <w:kinsoku/>
              <w:wordWrap/>
              <w:overflowPunct/>
              <w:topLinePunct w:val="0"/>
              <w:autoSpaceDN/>
              <w:bidi w:val="0"/>
              <w:spacing w:line="360" w:lineRule="atLeast"/>
              <w:jc w:val="left"/>
              <w:textAlignment w:val="auto"/>
              <w:rPr>
                <w:rFonts w:hint="eastAsia" w:ascii="宋体" w:hAnsi="宋体" w:eastAsia="宋体" w:cs="宋体"/>
                <w:color w:val="auto"/>
                <w:sz w:val="21"/>
                <w:szCs w:val="21"/>
                <w:highlight w:val="none"/>
              </w:rPr>
            </w:pPr>
          </w:p>
        </w:tc>
        <w:tc>
          <w:tcPr>
            <w:tcW w:w="2556" w:type="dxa"/>
            <w:gridSpan w:val="2"/>
            <w:vMerge w:val="continue"/>
            <w:tcBorders>
              <w:top w:val="nil"/>
              <w:left w:val="single" w:color="auto" w:sz="4" w:space="0"/>
              <w:bottom w:val="single" w:color="auto" w:sz="4" w:space="0"/>
              <w:right w:val="single" w:color="auto" w:sz="4" w:space="0"/>
            </w:tcBorders>
            <w:vAlign w:val="center"/>
          </w:tcPr>
          <w:p w14:paraId="06C2CB01">
            <w:pPr>
              <w:keepNext w:val="0"/>
              <w:keepLines w:val="0"/>
              <w:pageBreakBefore w:val="0"/>
              <w:widowControl/>
              <w:kinsoku/>
              <w:wordWrap/>
              <w:overflowPunct/>
              <w:topLinePunct w:val="0"/>
              <w:autoSpaceDN/>
              <w:bidi w:val="0"/>
              <w:spacing w:line="360" w:lineRule="atLeast"/>
              <w:jc w:val="left"/>
              <w:textAlignment w:val="auto"/>
              <w:rPr>
                <w:rFonts w:hint="eastAsia" w:ascii="宋体" w:hAnsi="宋体" w:eastAsia="宋体" w:cs="宋体"/>
                <w:color w:val="auto"/>
                <w:sz w:val="21"/>
                <w:szCs w:val="21"/>
                <w:highlight w:val="none"/>
              </w:rPr>
            </w:pP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5B971C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形式：通过“驻马店市公共资源交易平台”要求澄清招标文件。</w:t>
            </w:r>
          </w:p>
        </w:tc>
      </w:tr>
      <w:tr w14:paraId="762AC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1D0118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E1CC8F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招标文件澄清发出的形式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D033022">
            <w:pPr>
              <w:keepNext w:val="0"/>
              <w:keepLines w:val="0"/>
              <w:pageBreakBefore w:val="0"/>
              <w:widowControl w:val="0"/>
              <w:kinsoku/>
              <w:wordWrap w:val="0"/>
              <w:overflowPunct/>
              <w:topLinePunct w:val="0"/>
              <w:autoSpaceDE w:val="0"/>
              <w:autoSpaceDN/>
              <w:bidi w:val="0"/>
              <w:adjustRightInd/>
              <w:snapToGrid/>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通过“驻马店市公共资源交易平台(https://ggzy.zhumadian.gov.cn/TPFront/)”进行公布，不再另行通知，请各投标人及时关注交易平台，因投标人未看到或其他原因造成的损失，由投标人自行承担。</w:t>
            </w:r>
          </w:p>
        </w:tc>
      </w:tr>
      <w:tr w14:paraId="591E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1CB31E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3354B8B">
            <w:pPr>
              <w:keepNext w:val="0"/>
              <w:keepLines w:val="0"/>
              <w:pageBreakBefore w:val="0"/>
              <w:kinsoku/>
              <w:wordWrap/>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0F194C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所有澄清均通过“驻马店市公共资源交易平台”发布，一经发布即视为投标人已收到，请各投标人关注系统通知，如有遗漏自行负责。投标人无需书面回复确认收到。</w:t>
            </w:r>
          </w:p>
        </w:tc>
      </w:tr>
      <w:tr w14:paraId="0A1FA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062D99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BB9D8D3">
            <w:pPr>
              <w:keepNext w:val="0"/>
              <w:keepLines w:val="0"/>
              <w:pageBreakBefore w:val="0"/>
              <w:kinsoku/>
              <w:wordWrap/>
              <w:overflowPunct/>
              <w:topLinePunct w:val="0"/>
              <w:autoSpaceDE w:val="0"/>
              <w:autoSpaceDN/>
              <w:bidi w:val="0"/>
              <w:spacing w:line="360" w:lineRule="atLeast"/>
              <w:ind w:left="-141" w:leftChars="-67" w:right="-107" w:rightChars="-51" w:firstLine="27" w:firstLineChars="1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招标文件修改发出的形式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AA857CC">
            <w:pPr>
              <w:keepNext w:val="0"/>
              <w:keepLines w:val="0"/>
              <w:pageBreakBefore w:val="0"/>
              <w:widowControl w:val="0"/>
              <w:kinsoku/>
              <w:wordWrap w:val="0"/>
              <w:overflowPunct/>
              <w:topLinePunct w:val="0"/>
              <w:autoSpaceDE w:val="0"/>
              <w:autoSpaceDN/>
              <w:bidi w:val="0"/>
              <w:adjustRightInd/>
              <w:snapToGrid/>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通过“驻马店市公共资源交易平台(https://ggzy.zhumadian.gov.cn/TPFront/)”进行公布，不再另行通知，请各投标人及时关注交易平台，因投标人未看到或其他原因造成的损失，由投标人自行承担。</w:t>
            </w:r>
          </w:p>
        </w:tc>
      </w:tr>
      <w:tr w14:paraId="5D7B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597B7F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E4D049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投标人确认收到招标文件修改</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6D053E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所有招标文件修改均通过“驻马店市公共资源交易平台”发布，一经发布即视为投标人已收到，请各投标人关注系统通知，如有遗漏自行负责。投标人无需书面回复确认收到。</w:t>
            </w:r>
          </w:p>
        </w:tc>
      </w:tr>
      <w:tr w14:paraId="19791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995378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DDDCA1A">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投标文件密封形式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1F0B9A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双信封</w:t>
            </w:r>
          </w:p>
          <w:p w14:paraId="42D48898">
            <w:pPr>
              <w:keepNext w:val="0"/>
              <w:keepLines w:val="0"/>
              <w:pageBreakBefore w:val="0"/>
              <w:tabs>
                <w:tab w:val="left" w:pos="2278"/>
              </w:tabs>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□单信封</w:t>
            </w:r>
            <w:r>
              <w:rPr>
                <w:rFonts w:hint="eastAsia" w:ascii="宋体" w:hAnsi="宋体" w:eastAsia="宋体" w:cs="宋体"/>
                <w:color w:val="auto"/>
                <w:sz w:val="21"/>
                <w:szCs w:val="21"/>
                <w:highlight w:val="none"/>
                <w:lang w:eastAsia="zh-CN"/>
              </w:rPr>
              <w:tab/>
            </w:r>
          </w:p>
        </w:tc>
      </w:tr>
      <w:tr w14:paraId="308F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3D2528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22BDB9B">
            <w:pPr>
              <w:keepNext w:val="0"/>
              <w:keepLines w:val="0"/>
              <w:pageBreakBefore w:val="0"/>
              <w:kinsoku/>
              <w:wordWrap/>
              <w:overflowPunct/>
              <w:topLinePunct w:val="0"/>
              <w:autoSpaceDE w:val="0"/>
              <w:autoSpaceDN/>
              <w:bidi w:val="0"/>
              <w:spacing w:line="360" w:lineRule="atLeast"/>
              <w:ind w:left="-107" w:leftChars="-51" w:right="-107" w:rightChars="-5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构成投标文件的其他资料</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6039F74">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1357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7B2F4F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D91692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增值税税金的计算方法</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5955E3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按国家最新规定</w:t>
            </w:r>
          </w:p>
        </w:tc>
      </w:tr>
      <w:tr w14:paraId="0977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F584E9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C37A6F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工程量清单的填写方式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0FC5642">
            <w:pPr>
              <w:keepNext w:val="0"/>
              <w:keepLines w:val="0"/>
              <w:pageBreakBefore w:val="0"/>
              <w:widowControl w:val="0"/>
              <w:kinsoku/>
              <w:wordWrap w:val="0"/>
              <w:overflowPunct/>
              <w:topLinePunct w:val="0"/>
              <w:autoSpaceDE w:val="0"/>
              <w:autoSpaceDN/>
              <w:bidi w:val="0"/>
              <w:adjustRightInd/>
              <w:snapToGrid/>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投标人按照招标人提供的工程量固化清单电子文件填写工程量清单，下载网站：驻马店市公共资源交易平台https://ggzy.zhumadian.gov.cn/TPFront/</w:t>
            </w:r>
          </w:p>
          <w:p w14:paraId="13A4B8A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投标人按照招标人提供的书面工程量清单填写工程量清单</w:t>
            </w:r>
          </w:p>
        </w:tc>
      </w:tr>
      <w:tr w14:paraId="2EA5C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7D685B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F4E6B4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报价方式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EEDB0D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单价</w:t>
            </w:r>
          </w:p>
          <w:p w14:paraId="3CF19EA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总价</w:t>
            </w:r>
          </w:p>
        </w:tc>
      </w:tr>
      <w:tr w14:paraId="559E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3135D4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C91087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是否接受调价函</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F50AA2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4C8A908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984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05A331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3.2.8</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E9076E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7BB385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p w14:paraId="030F4CC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有，最高投标限价：</w:t>
            </w:r>
            <w:r>
              <w:rPr>
                <w:rFonts w:hint="eastAsia" w:ascii="宋体" w:hAnsi="宋体" w:cs="宋体"/>
                <w:color w:val="auto"/>
                <w:sz w:val="21"/>
                <w:szCs w:val="21"/>
                <w:highlight w:val="none"/>
                <w:u w:val="single"/>
                <w:lang w:val="en-US" w:eastAsia="zh-CN"/>
              </w:rPr>
              <w:t>102485098.00</w:t>
            </w:r>
            <w:r>
              <w:rPr>
                <w:rFonts w:hint="eastAsia" w:ascii="宋体" w:hAnsi="宋体" w:eastAsia="宋体" w:cs="宋体"/>
                <w:color w:val="auto"/>
                <w:sz w:val="21"/>
                <w:szCs w:val="21"/>
                <w:highlight w:val="none"/>
              </w:rPr>
              <w:t>元</w:t>
            </w:r>
          </w:p>
        </w:tc>
      </w:tr>
      <w:tr w14:paraId="5FACF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424E17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3.2.9</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85EDBD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投标报价的其他要求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4DA96D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7E3F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A44883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556" w:type="dxa"/>
            <w:gridSpan w:val="2"/>
            <w:tcBorders>
              <w:top w:val="single" w:color="auto" w:sz="4" w:space="0"/>
              <w:left w:val="nil"/>
              <w:bottom w:val="single" w:color="auto" w:sz="4" w:space="0"/>
              <w:right w:val="single" w:color="auto" w:sz="4" w:space="0"/>
            </w:tcBorders>
            <w:noWrap/>
            <w:vAlign w:val="center"/>
          </w:tcPr>
          <w:p w14:paraId="6A5B8CD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96" w:type="dxa"/>
            <w:gridSpan w:val="2"/>
            <w:tcBorders>
              <w:top w:val="single" w:color="auto" w:sz="4" w:space="0"/>
              <w:left w:val="nil"/>
              <w:bottom w:val="single" w:color="auto" w:sz="4" w:space="0"/>
              <w:right w:val="single" w:color="auto" w:sz="4" w:space="0"/>
            </w:tcBorders>
            <w:noWrap/>
            <w:vAlign w:val="center"/>
          </w:tcPr>
          <w:p w14:paraId="12B7364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自投标人提交投标文件截止之日起计算</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rPr>
              <w:t>日</w:t>
            </w:r>
          </w:p>
        </w:tc>
      </w:tr>
      <w:tr w14:paraId="59E7A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4BE6D2B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944FCF0">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投标保证金</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0248DC0">
            <w:pPr>
              <w:pStyle w:val="10"/>
              <w:jc w:val="both"/>
              <w:rPr>
                <w:rFonts w:hint="eastAsia" w:ascii="宋体" w:hAnsi="宋体" w:eastAsia="宋体" w:cs="宋体"/>
                <w:color w:val="auto"/>
                <w:sz w:val="21"/>
                <w:szCs w:val="21"/>
              </w:rPr>
            </w:pPr>
            <w:r>
              <w:rPr>
                <w:rFonts w:hint="eastAsia" w:ascii="宋体" w:hAnsi="宋体" w:eastAsia="宋体" w:cs="宋体"/>
                <w:color w:val="auto"/>
                <w:sz w:val="21"/>
                <w:szCs w:val="21"/>
              </w:rPr>
              <w:t>是否要求投标人递交投标保证金：</w:t>
            </w:r>
          </w:p>
          <w:p w14:paraId="722E299C">
            <w:pPr>
              <w:pStyle w:val="1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要求</w:t>
            </w:r>
            <w:r>
              <w:rPr>
                <w:rFonts w:hint="eastAsia" w:ascii="宋体" w:cs="宋体"/>
                <w:color w:val="auto"/>
                <w:sz w:val="21"/>
                <w:szCs w:val="21"/>
                <w:lang w:eastAsia="zh-CN"/>
              </w:rPr>
              <w:t>，投标保证金递交形式：银行转账或电子投标保函</w:t>
            </w:r>
          </w:p>
          <w:p w14:paraId="2D3CA5FE">
            <w:pPr>
              <w:pStyle w:val="1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投标保证金的金额</w:t>
            </w:r>
            <w:r>
              <w:rPr>
                <w:rFonts w:hint="eastAsia" w:ascii="宋体" w:hAnsi="宋体" w:eastAsia="宋体" w:cs="宋体"/>
                <w:color w:val="auto"/>
                <w:sz w:val="21"/>
                <w:szCs w:val="21"/>
                <w:lang w:val="en-US" w:eastAsia="zh-CN"/>
              </w:rPr>
              <w:t>：</w:t>
            </w:r>
            <w:r>
              <w:rPr>
                <w:rFonts w:hint="eastAsia" w:ascii="宋体" w:cs="宋体"/>
                <w:color w:val="auto"/>
                <w:sz w:val="21"/>
                <w:szCs w:val="21"/>
                <w:lang w:val="en-US" w:eastAsia="zh-CN"/>
              </w:rPr>
              <w:t>捌拾万元整</w:t>
            </w:r>
            <w:r>
              <w:rPr>
                <w:rFonts w:hint="eastAsia" w:ascii="宋体" w:hAnsi="宋体" w:eastAsia="宋体" w:cs="宋体"/>
                <w:color w:val="auto"/>
                <w:sz w:val="21"/>
                <w:szCs w:val="21"/>
                <w:lang w:val="en-US" w:eastAsia="zh-CN"/>
              </w:rPr>
              <w:t>（</w:t>
            </w:r>
            <w:r>
              <w:rPr>
                <w:rFonts w:hint="eastAsia" w:ascii="宋体" w:cs="宋体"/>
                <w:color w:val="auto"/>
                <w:sz w:val="21"/>
                <w:szCs w:val="21"/>
                <w:lang w:val="en-US" w:eastAsia="zh-CN"/>
              </w:rPr>
              <w:t>8</w:t>
            </w:r>
            <w:r>
              <w:rPr>
                <w:rFonts w:hint="eastAsia" w:ascii="宋体" w:hAnsi="宋体" w:eastAsia="宋体" w:cs="宋体"/>
                <w:color w:val="auto"/>
                <w:sz w:val="21"/>
                <w:szCs w:val="21"/>
                <w:lang w:val="en-US" w:eastAsia="zh-CN"/>
              </w:rPr>
              <w:t>00000.00元）</w:t>
            </w:r>
          </w:p>
          <w:p w14:paraId="76F3593E">
            <w:pPr>
              <w:pStyle w:val="10"/>
              <w:jc w:val="both"/>
              <w:rPr>
                <w:rFonts w:hint="eastAsia" w:ascii="宋体" w:hAnsi="宋体" w:eastAsia="宋体" w:cs="宋体"/>
                <w:color w:val="auto"/>
                <w:sz w:val="21"/>
                <w:szCs w:val="21"/>
              </w:rPr>
            </w:pPr>
            <w:r>
              <w:rPr>
                <w:rFonts w:hint="eastAsia" w:ascii="宋体" w:hAnsi="宋体" w:eastAsia="宋体" w:cs="宋体"/>
                <w:color w:val="auto"/>
                <w:sz w:val="21"/>
                <w:szCs w:val="21"/>
              </w:rPr>
              <w:t>投标保证金提交截止时间：同投标截止时间</w:t>
            </w:r>
          </w:p>
          <w:p w14:paraId="781E08DA">
            <w:pPr>
              <w:pStyle w:val="10"/>
              <w:jc w:val="both"/>
              <w:rPr>
                <w:rFonts w:hint="eastAsia" w:ascii="宋体" w:hAnsi="宋体" w:eastAsia="宋体" w:cs="宋体"/>
                <w:color w:val="auto"/>
                <w:sz w:val="21"/>
                <w:szCs w:val="21"/>
              </w:rPr>
            </w:pPr>
            <w:r>
              <w:rPr>
                <w:rFonts w:hint="eastAsia" w:ascii="宋体" w:hAnsi="宋体" w:eastAsia="宋体" w:cs="宋体"/>
                <w:color w:val="auto"/>
                <w:sz w:val="21"/>
                <w:szCs w:val="21"/>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6A4D412C">
            <w:pPr>
              <w:pStyle w:val="10"/>
              <w:jc w:val="both"/>
              <w:rPr>
                <w:rFonts w:hint="eastAsia" w:ascii="宋体" w:hAnsi="宋体" w:eastAsia="宋体" w:cs="宋体"/>
                <w:color w:val="auto"/>
                <w:sz w:val="21"/>
                <w:szCs w:val="21"/>
              </w:rPr>
            </w:pPr>
            <w:r>
              <w:rPr>
                <w:rFonts w:hint="eastAsia" w:ascii="宋体" w:hAnsi="宋体" w:eastAsia="宋体" w:cs="宋体"/>
                <w:color w:val="auto"/>
                <w:sz w:val="21"/>
                <w:szCs w:val="21"/>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如联合体投标，应当以联合体中牵头人的名义提交保证金。</w:t>
            </w:r>
          </w:p>
          <w:p w14:paraId="15E1AA82">
            <w:pPr>
              <w:pStyle w:val="10"/>
              <w:jc w:val="both"/>
              <w:rPr>
                <w:rFonts w:hint="eastAsia" w:ascii="宋体" w:hAnsi="宋体" w:eastAsia="宋体" w:cs="宋体"/>
                <w:color w:val="auto"/>
                <w:sz w:val="21"/>
                <w:szCs w:val="21"/>
              </w:rPr>
            </w:pPr>
            <w:r>
              <w:rPr>
                <w:rFonts w:hint="eastAsia" w:ascii="宋体" w:hAnsi="宋体" w:eastAsia="宋体" w:cs="宋体"/>
                <w:color w:val="auto"/>
                <w:sz w:val="21"/>
                <w:szCs w:val="21"/>
              </w:rPr>
              <w:t>2、电子投标保函</w:t>
            </w:r>
            <w:r>
              <w:rPr>
                <w:rFonts w:hint="eastAsia" w:ascii="宋体" w:cs="宋体"/>
                <w:color w:val="auto"/>
                <w:sz w:val="21"/>
                <w:szCs w:val="21"/>
                <w:lang w:val="en-US" w:eastAsia="zh-CN"/>
              </w:rPr>
              <w:t>形式</w:t>
            </w:r>
            <w:r>
              <w:rPr>
                <w:rFonts w:hint="eastAsia" w:ascii="宋体" w:hAnsi="宋体" w:eastAsia="宋体" w:cs="宋体"/>
                <w:color w:val="auto"/>
                <w:sz w:val="21"/>
                <w:szCs w:val="21"/>
              </w:rPr>
              <w:t>：</w:t>
            </w:r>
          </w:p>
          <w:p w14:paraId="428EBA84">
            <w:pPr>
              <w:pStyle w:val="10"/>
              <w:keepNext w:val="0"/>
              <w:keepLines w:val="0"/>
              <w:pageBreakBefore w:val="0"/>
              <w:widowControl w:val="0"/>
              <w:kinsoku/>
              <w:wordWrap/>
              <w:overflowPunct/>
              <w:topLinePunct w:val="0"/>
              <w:autoSpaceDN/>
              <w:bidi w:val="0"/>
              <w:adjustRightInd/>
              <w:snapToGrid/>
              <w:spacing w:line="480" w:lineRule="auto"/>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①投标企业必须首先确认本企业诚信库内填写的基本账户相关信息真实准确；</w:t>
            </w:r>
          </w:p>
          <w:p w14:paraId="205CEBA0">
            <w:pPr>
              <w:pStyle w:val="10"/>
              <w:keepNext w:val="0"/>
              <w:keepLines w:val="0"/>
              <w:pageBreakBefore w:val="0"/>
              <w:widowControl w:val="0"/>
              <w:kinsoku/>
              <w:wordWrap/>
              <w:overflowPunct/>
              <w:topLinePunct w:val="0"/>
              <w:autoSpaceDN/>
              <w:bidi w:val="0"/>
              <w:adjustRightInd/>
              <w:snapToGrid/>
              <w:spacing w:line="480" w:lineRule="auto"/>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②企业可以在交易中心电子交易系统业务管理“电子保函申请”功能中自主选择电子保函平台、承保机构办理电子保函业务；</w:t>
            </w:r>
          </w:p>
          <w:p w14:paraId="1F4A0516">
            <w:pPr>
              <w:pStyle w:val="10"/>
              <w:keepNext w:val="0"/>
              <w:keepLines w:val="0"/>
              <w:pageBreakBefore w:val="0"/>
              <w:widowControl w:val="0"/>
              <w:kinsoku/>
              <w:wordWrap/>
              <w:overflowPunct/>
              <w:topLinePunct w:val="0"/>
              <w:autoSpaceDN/>
              <w:bidi w:val="0"/>
              <w:adjustRightInd/>
              <w:snapToGrid/>
              <w:spacing w:line="480" w:lineRule="auto"/>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③办理电子投标保函费用必须出自投标企业基本账户；</w:t>
            </w:r>
          </w:p>
          <w:p w14:paraId="786BD517">
            <w:pPr>
              <w:pStyle w:val="10"/>
              <w:keepNext w:val="0"/>
              <w:keepLines w:val="0"/>
              <w:pageBreakBefore w:val="0"/>
              <w:widowControl w:val="0"/>
              <w:kinsoku/>
              <w:wordWrap/>
              <w:overflowPunct/>
              <w:topLinePunct w:val="0"/>
              <w:autoSpaceDN/>
              <w:bidi w:val="0"/>
              <w:adjustRightInd/>
              <w:snapToGrid/>
              <w:spacing w:line="480" w:lineRule="auto"/>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p>
          <w:p w14:paraId="45960A8E">
            <w:pPr>
              <w:pStyle w:val="10"/>
              <w:keepNext w:val="0"/>
              <w:keepLines w:val="0"/>
              <w:pageBreakBefore w:val="0"/>
              <w:widowControl w:val="0"/>
              <w:kinsoku/>
              <w:wordWrap/>
              <w:overflowPunct/>
              <w:topLinePunct w:val="0"/>
              <w:autoSpaceDN/>
              <w:bidi w:val="0"/>
              <w:adjustRightInd/>
              <w:snapToGrid/>
              <w:spacing w:line="48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交易平台技术咨询：0396-2613088</w:t>
            </w:r>
          </w:p>
          <w:p w14:paraId="530B450A">
            <w:pPr>
              <w:keepNext w:val="0"/>
              <w:keepLines w:val="0"/>
              <w:pageBreakBefore w:val="0"/>
              <w:widowControl w:val="0"/>
              <w:kinsoku/>
              <w:wordWrap/>
              <w:overflowPunct/>
              <w:topLinePunct w:val="0"/>
              <w:autoSpaceDE w:val="0"/>
              <w:autoSpaceDN/>
              <w:bidi w:val="0"/>
              <w:adjustRightInd/>
              <w:snapToGrid/>
              <w:spacing w:line="48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lang w:eastAsia="zh-CN"/>
              </w:rPr>
              <w:t>□</w:t>
            </w:r>
            <w:r>
              <w:rPr>
                <w:rFonts w:hint="eastAsia" w:ascii="宋体" w:hAnsi="宋体" w:eastAsia="宋体" w:cs="宋体"/>
                <w:sz w:val="21"/>
                <w:szCs w:val="21"/>
              </w:rPr>
              <w:t>不要求</w:t>
            </w:r>
          </w:p>
        </w:tc>
      </w:tr>
      <w:tr w14:paraId="4654A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32EF5A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FA5C4DE">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投标保证金的利息计算原则</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E49C806">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按照驻马店市公共资源交易中心相关规定执行</w:t>
            </w:r>
          </w:p>
        </w:tc>
      </w:tr>
      <w:tr w14:paraId="3E1B5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EEBCEA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8F55E49">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其他可以不予退还保证金的情形</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ECD838D">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投标人在投标过程中若存在弄虚作假，招标人保留扣除投标保证金的权利。</w:t>
            </w:r>
          </w:p>
        </w:tc>
      </w:tr>
      <w:tr w14:paraId="6E1F6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76F2609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E00DCB5">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资格审查资料的特殊要求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8B4AC05">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0"/>
                <w:sz w:val="21"/>
                <w:szCs w:val="21"/>
                <w:highlight w:val="none"/>
              </w:rPr>
              <w:t>无</w:t>
            </w:r>
          </w:p>
          <w:p w14:paraId="0CBB113A">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□有，具体要求：</w:t>
            </w:r>
          </w:p>
        </w:tc>
      </w:tr>
      <w:tr w14:paraId="4F9C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CB39F4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3.5.2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59ED6A4">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近三年财务状况的年份要求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435A7F1">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202</w:t>
            </w:r>
            <w:r>
              <w:rPr>
                <w:rFonts w:hint="eastAsia" w:ascii="宋体" w:hAnsi="宋体" w:cs="宋体"/>
                <w:color w:val="auto"/>
                <w:spacing w:val="-10"/>
                <w:sz w:val="21"/>
                <w:szCs w:val="21"/>
                <w:highlight w:val="none"/>
                <w:lang w:val="en-US" w:eastAsia="zh-CN"/>
              </w:rPr>
              <w:t>3</w:t>
            </w:r>
            <w:r>
              <w:rPr>
                <w:rFonts w:hint="eastAsia" w:ascii="宋体" w:hAnsi="宋体" w:eastAsia="宋体" w:cs="宋体"/>
                <w:color w:val="auto"/>
                <w:spacing w:val="-10"/>
                <w:sz w:val="21"/>
                <w:szCs w:val="21"/>
                <w:highlight w:val="none"/>
              </w:rPr>
              <w:t>年至202</w:t>
            </w:r>
            <w:r>
              <w:rPr>
                <w:rFonts w:hint="eastAsia" w:ascii="宋体" w:hAnsi="宋体" w:cs="宋体"/>
                <w:color w:val="auto"/>
                <w:spacing w:val="-10"/>
                <w:sz w:val="21"/>
                <w:szCs w:val="21"/>
                <w:highlight w:val="none"/>
                <w:lang w:val="en-US" w:eastAsia="zh-CN"/>
              </w:rPr>
              <w:t>5</w:t>
            </w:r>
            <w:r>
              <w:rPr>
                <w:rFonts w:hint="eastAsia" w:ascii="宋体" w:hAnsi="宋体" w:eastAsia="宋体" w:cs="宋体"/>
                <w:color w:val="auto"/>
                <w:spacing w:val="-10"/>
                <w:sz w:val="21"/>
                <w:szCs w:val="21"/>
                <w:highlight w:val="none"/>
              </w:rPr>
              <w:t>年</w:t>
            </w:r>
          </w:p>
        </w:tc>
      </w:tr>
      <w:tr w14:paraId="1518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07378C7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3.5.3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CBBCCF5">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近年类似项目情况的时间要求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260D629">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202</w:t>
            </w:r>
            <w:r>
              <w:rPr>
                <w:rFonts w:hint="eastAsia" w:ascii="宋体" w:hAnsi="宋体" w:cs="宋体"/>
                <w:color w:val="auto"/>
                <w:spacing w:val="-10"/>
                <w:sz w:val="21"/>
                <w:szCs w:val="21"/>
                <w:highlight w:val="none"/>
                <w:lang w:val="en-US" w:eastAsia="zh-CN"/>
              </w:rPr>
              <w:t>3</w:t>
            </w:r>
            <w:r>
              <w:rPr>
                <w:rFonts w:hint="eastAsia" w:ascii="宋体" w:hAnsi="宋体" w:eastAsia="宋体" w:cs="宋体"/>
                <w:color w:val="auto"/>
                <w:spacing w:val="-10"/>
                <w:sz w:val="21"/>
                <w:szCs w:val="21"/>
                <w:highlight w:val="none"/>
              </w:rPr>
              <w:t>年1月1日至今</w:t>
            </w:r>
          </w:p>
        </w:tc>
      </w:tr>
      <w:tr w14:paraId="133F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B5847B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38D3D33">
            <w:pPr>
              <w:keepNext w:val="0"/>
              <w:keepLines w:val="0"/>
              <w:pageBreakBefore w:val="0"/>
              <w:kinsoku/>
              <w:wordWrap/>
              <w:overflowPunct/>
              <w:topLinePunct w:val="0"/>
              <w:autoSpaceDE w:val="0"/>
              <w:autoSpaceDN/>
              <w:bidi w:val="0"/>
              <w:spacing w:line="360" w:lineRule="atLeast"/>
              <w:ind w:left="-13" w:leftChars="-67" w:right="-107" w:rightChars="-51" w:hanging="128" w:hangingChars="6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是否允许递交备选投标方案</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DCBDE8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400593F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tc>
      </w:tr>
      <w:tr w14:paraId="52DC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1096FB5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3.7.</w:t>
            </w:r>
            <w:r>
              <w:rPr>
                <w:rFonts w:hint="eastAsia" w:ascii="宋体" w:hAnsi="宋体" w:cs="宋体"/>
                <w:color w:val="auto"/>
                <w:sz w:val="21"/>
                <w:szCs w:val="21"/>
                <w:highlight w:val="none"/>
                <w:lang w:val="en-US" w:eastAsia="zh-CN"/>
              </w:rPr>
              <w:t>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0AF50F1">
            <w:pPr>
              <w:keepNext w:val="0"/>
              <w:keepLines w:val="0"/>
              <w:pageBreakBefore w:val="0"/>
              <w:kinsoku/>
              <w:wordWrap/>
              <w:overflowPunct/>
              <w:topLinePunct w:val="0"/>
              <w:autoSpaceDE w:val="0"/>
              <w:autoSpaceDN/>
              <w:bidi w:val="0"/>
              <w:spacing w:line="360" w:lineRule="atLeast"/>
              <w:ind w:left="-13" w:leftChars="-67" w:right="-107" w:rightChars="-51" w:hanging="128" w:hangingChars="61"/>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C3E9BD3">
            <w:pPr>
              <w:keepNext w:val="0"/>
              <w:keepLines w:val="0"/>
              <w:pageBreakBefore w:val="0"/>
              <w:kinsoku/>
              <w:wordWrap/>
              <w:overflowPunct/>
              <w:topLinePunct w:val="0"/>
              <w:autoSpaceDE w:val="0"/>
              <w:autoSpaceDN/>
              <w:bidi w:val="0"/>
              <w:adjustRightInd w:val="0"/>
              <w:snapToGrid w:val="0"/>
              <w:spacing w:line="360" w:lineRule="atLeast"/>
              <w:ind w:left="-21"/>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电子投标文件</w:t>
            </w:r>
          </w:p>
          <w:p w14:paraId="1DFB0251">
            <w:pPr>
              <w:keepNext w:val="0"/>
              <w:keepLines w:val="0"/>
              <w:pageBreakBefore w:val="0"/>
              <w:kinsoku/>
              <w:wordWrap/>
              <w:overflowPunct/>
              <w:topLinePunct w:val="0"/>
              <w:autoSpaceDE w:val="0"/>
              <w:autoSpaceDN/>
              <w:bidi w:val="0"/>
              <w:adjustRightInd w:val="0"/>
              <w:snapToGrid w:val="0"/>
              <w:spacing w:line="360" w:lineRule="atLeast"/>
              <w:ind w:left="-21"/>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（1）经过加密的电子投标文件上传件为正本。</w:t>
            </w:r>
          </w:p>
          <w:p w14:paraId="5A950752">
            <w:pPr>
              <w:keepNext w:val="0"/>
              <w:keepLines w:val="0"/>
              <w:pageBreakBefore w:val="0"/>
              <w:kinsoku/>
              <w:wordWrap/>
              <w:overflowPunct/>
              <w:topLinePunct w:val="0"/>
              <w:autoSpaceDE w:val="0"/>
              <w:autoSpaceDN/>
              <w:bidi w:val="0"/>
              <w:adjustRightInd w:val="0"/>
              <w:snapToGrid w:val="0"/>
              <w:spacing w:line="360" w:lineRule="atLeast"/>
              <w:ind w:left="-126" w:leftChars="-60" w:firstLine="105" w:firstLineChars="5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（2）所有要求投标人加盖公章的地方都须加盖投标人单位的 CA 印章。</w:t>
            </w:r>
          </w:p>
          <w:p w14:paraId="2180354B">
            <w:pPr>
              <w:keepNext w:val="0"/>
              <w:keepLines w:val="0"/>
              <w:pageBreakBefore w:val="0"/>
              <w:kinsoku/>
              <w:wordWrap/>
              <w:overflowPunct/>
              <w:topLinePunct w:val="0"/>
              <w:autoSpaceDE w:val="0"/>
              <w:autoSpaceDN/>
              <w:bidi w:val="0"/>
              <w:adjustRightInd w:val="0"/>
              <w:snapToGrid w:val="0"/>
              <w:spacing w:line="360" w:lineRule="atLeast"/>
              <w:ind w:left="-126" w:leftChars="-60" w:firstLine="105" w:firstLineChars="5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（3）所有要求法定代表人签字的地方都须加盖法定代表人CA印章, 需要委托代理人签字的地方，可由委托代理人签字后以图片的形式扫描上传。</w:t>
            </w:r>
          </w:p>
        </w:tc>
      </w:tr>
      <w:tr w14:paraId="627C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620C6BC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3.7.</w:t>
            </w:r>
            <w:r>
              <w:rPr>
                <w:rFonts w:hint="eastAsia" w:ascii="宋体" w:hAnsi="宋体" w:cs="宋体"/>
                <w:color w:val="auto"/>
                <w:sz w:val="21"/>
                <w:szCs w:val="21"/>
                <w:highlight w:val="none"/>
                <w:lang w:val="en-US" w:eastAsia="zh-CN"/>
              </w:rPr>
              <w:t>5</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948B48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投标文件副本份数及其他要求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753777C">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投标文件副本份数：开标时不需提交纸质投标文件。</w:t>
            </w:r>
          </w:p>
          <w:p w14:paraId="1775F083">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是否要求提交电子版文件：是，加密的电子投标文件壹份（*.zmdtf 格式，在会员系统指定位置上传）上传至电子招标投标系统。</w:t>
            </w:r>
          </w:p>
          <w:p w14:paraId="47F327B1">
            <w:pPr>
              <w:pStyle w:val="13"/>
              <w:keepNext w:val="0"/>
              <w:keepLines w:val="0"/>
              <w:pageBreakBefore w:val="0"/>
              <w:widowControl w:val="0"/>
              <w:kinsoku/>
              <w:wordWrap/>
              <w:overflowPunct/>
              <w:topLinePunct w:val="0"/>
              <w:autoSpaceDN/>
              <w:bidi w:val="0"/>
              <w:adjustRightInd/>
              <w:snapToGrid/>
              <w:spacing w:line="360" w:lineRule="atLeast"/>
              <w:ind w:firstLine="0" w:firstLineChars="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其他要求：中标人需在合同协议书签订前按照招标人要求提交纸质投标文件。</w:t>
            </w:r>
          </w:p>
        </w:tc>
      </w:tr>
      <w:tr w14:paraId="42C2C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5FB6404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3.7.</w:t>
            </w:r>
            <w:r>
              <w:rPr>
                <w:rFonts w:hint="eastAsia" w:ascii="宋体" w:hAnsi="宋体" w:cs="宋体"/>
                <w:color w:val="auto"/>
                <w:sz w:val="21"/>
                <w:szCs w:val="21"/>
                <w:highlight w:val="none"/>
                <w:lang w:val="en-US" w:eastAsia="zh-CN"/>
              </w:rPr>
              <w:t>6</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57BE512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装订的其他要求</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0C0A8E0A">
            <w:pPr>
              <w:keepLines/>
              <w:wordWrap w:val="0"/>
              <w:spacing w:line="400" w:lineRule="exact"/>
              <w:jc w:val="left"/>
              <w:rPr>
                <w:rFonts w:hint="eastAsia" w:ascii="宋体" w:hAnsi="宋体" w:eastAsia="宋体" w:cs="宋体"/>
                <w:color w:val="auto"/>
                <w:sz w:val="21"/>
                <w:szCs w:val="21"/>
                <w:highlight w:val="none"/>
              </w:rPr>
            </w:pPr>
            <w:r>
              <w:rPr>
                <w:rFonts w:hint="eastAsia" w:ascii="宋体" w:hAnsi="宋体" w:cs="宋体"/>
                <w:color w:val="auto"/>
              </w:rPr>
              <w:t>中标候选人须在中标候选人公示期间向招标人或招标代理机构提供与上传电子投标文件一致的纸质投标文件正本壹份、副本肆份，供定标委员会核查定标，逾期或未送达者视为不符合招标文件要求。</w:t>
            </w:r>
            <w:r>
              <w:rPr>
                <w:rFonts w:hint="eastAsia" w:ascii="宋体" w:hAnsi="宋体" w:eastAsia="宋体" w:cs="宋体"/>
                <w:color w:val="auto"/>
                <w:sz w:val="21"/>
                <w:szCs w:val="21"/>
                <w:highlight w:val="none"/>
              </w:rPr>
              <w:t>中标人提供与上传电子投标文件一致的纸质文件并装订成册，不得采用活页夹等可随时拆换的方式装订。</w:t>
            </w:r>
          </w:p>
        </w:tc>
      </w:tr>
      <w:tr w14:paraId="3DFD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30CA766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5E4481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资格审查文件及业绩信誉资料原件的递交</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1D89A13">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投标人无需递交纸质投标文件及原件，投标人应在项目开标前，将涉及的资格审查、业绩、荣誉、财务</w:t>
            </w:r>
            <w:r>
              <w:rPr>
                <w:rFonts w:hint="eastAsia" w:ascii="宋体" w:hAnsi="宋体" w:cs="宋体"/>
                <w:bCs/>
                <w:color w:val="auto"/>
                <w:sz w:val="21"/>
                <w:szCs w:val="21"/>
                <w:highlight w:val="none"/>
                <w:lang w:val="en-US" w:eastAsia="zh-CN"/>
              </w:rPr>
              <w:t>报告</w:t>
            </w:r>
            <w:r>
              <w:rPr>
                <w:rFonts w:hint="eastAsia" w:ascii="宋体" w:hAnsi="宋体" w:eastAsia="宋体" w:cs="宋体"/>
                <w:bCs/>
                <w:color w:val="auto"/>
                <w:sz w:val="21"/>
                <w:szCs w:val="21"/>
                <w:highlight w:val="none"/>
              </w:rPr>
              <w:t>、项目经理等投标所需材料扫描件，上传至驻马店市公共资源交易平台诚信库中，并且在“资格审查材料（不见面开标）”菜单下按标段挑选该标段投标所用资格审查材料，以供评标过程中评委查阅。评标时以电子投标文件及“资格审查材料（不见面开标）”菜单中选取的信息为准。</w:t>
            </w:r>
          </w:p>
          <w:p w14:paraId="6AA54594">
            <w:pPr>
              <w:keepNext w:val="0"/>
              <w:keepLines w:val="0"/>
              <w:pageBreakBefore w:val="0"/>
              <w:widowControl w:val="0"/>
              <w:kinsoku/>
              <w:wordWrap/>
              <w:overflowPunct/>
              <w:topLinePunct w:val="0"/>
              <w:autoSpaceDE w:val="0"/>
              <w:autoSpaceDN/>
              <w:bidi w:val="0"/>
              <w:adjustRightInd/>
              <w:snapToGrid/>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（注：各投标企业应如实填报诚信库信息，因交易主体自行填报信息的错误、缺项、虚假而造成的后果由交易主体自行承担。）</w:t>
            </w:r>
          </w:p>
        </w:tc>
      </w:tr>
      <w:tr w14:paraId="6DF1E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900600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528876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2BE453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4FB7787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□是，退还时间：</w:t>
            </w:r>
          </w:p>
        </w:tc>
      </w:tr>
      <w:tr w14:paraId="32AA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8715F1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2DEDC5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4F7C0ED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投标文件第一个信封（商务及技术文件）</w:t>
            </w:r>
          </w:p>
          <w:p w14:paraId="4850E6F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cs="宋体"/>
                <w:color w:val="auto"/>
                <w:szCs w:val="21"/>
                <w:highlight w:val="none"/>
                <w:lang w:val="en-US" w:eastAsia="zh-CN"/>
              </w:rPr>
              <w:t>2026年11月03日09时00分</w:t>
            </w:r>
            <w:r>
              <w:rPr>
                <w:rFonts w:hint="eastAsia" w:ascii="宋体" w:hAnsi="宋体" w:eastAsia="宋体" w:cs="宋体"/>
                <w:color w:val="auto"/>
                <w:szCs w:val="21"/>
                <w:highlight w:val="none"/>
                <w:lang w:val="en-US" w:eastAsia="zh-CN"/>
              </w:rPr>
              <w:t xml:space="preserve">（北京时间） </w:t>
            </w:r>
          </w:p>
          <w:p w14:paraId="408C2521">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投标文件第一个信封（商务及技术文件）</w:t>
            </w:r>
          </w:p>
          <w:p w14:paraId="00AA351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FF0000"/>
                <w:sz w:val="21"/>
                <w:szCs w:val="21"/>
                <w:highlight w:val="none"/>
              </w:rPr>
            </w:pPr>
            <w:r>
              <w:rPr>
                <w:rFonts w:hint="eastAsia" w:ascii="宋体" w:hAnsi="宋体" w:eastAsia="宋体" w:cs="宋体"/>
                <w:color w:val="auto"/>
                <w:sz w:val="21"/>
                <w:szCs w:val="21"/>
                <w:highlight w:val="none"/>
              </w:rPr>
              <w:t>开标地点：本项目为远程不见面开标，</w:t>
            </w:r>
            <w:r>
              <w:rPr>
                <w:rFonts w:hint="eastAsia" w:ascii="宋体" w:hAnsi="宋体" w:cs="宋体"/>
                <w:color w:val="auto"/>
                <w:sz w:val="21"/>
                <w:szCs w:val="21"/>
                <w:highlight w:val="none"/>
                <w:lang w:val="en-US" w:eastAsia="zh-CN"/>
              </w:rPr>
              <w:t>驻马店市</w:t>
            </w:r>
            <w:r>
              <w:rPr>
                <w:rFonts w:hint="eastAsia" w:ascii="宋体" w:hAnsi="宋体" w:eastAsia="宋体" w:cs="宋体"/>
                <w:color w:val="auto"/>
                <w:sz w:val="21"/>
                <w:szCs w:val="21"/>
                <w:highlight w:val="none"/>
                <w:lang w:val="en-US" w:eastAsia="zh-CN"/>
              </w:rPr>
              <w:t>公共资源交易中心不见面开标</w:t>
            </w: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lang w:val="en-US" w:eastAsia="zh-CN"/>
              </w:rPr>
              <w:t>厅</w:t>
            </w:r>
          </w:p>
          <w:p w14:paraId="3720401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投标文件第二个信封（报价文件）</w:t>
            </w:r>
          </w:p>
          <w:p w14:paraId="6962F3A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开标时间：第一个信封（商务及技术文件）完成评审后</w:t>
            </w:r>
          </w:p>
          <w:p w14:paraId="17117EAE">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投标文件第二个信封（报价文件）</w:t>
            </w:r>
          </w:p>
          <w:p w14:paraId="363FF4E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r>
              <w:rPr>
                <w:rFonts w:hint="eastAsia" w:ascii="宋体" w:hAnsi="宋体" w:eastAsia="宋体" w:cs="宋体"/>
                <w:color w:val="auto"/>
                <w:szCs w:val="21"/>
                <w:highlight w:val="none"/>
                <w:lang w:val="en-US" w:eastAsia="zh-CN"/>
              </w:rPr>
              <w:t>同第一个信封开标地点</w:t>
            </w:r>
          </w:p>
          <w:p w14:paraId="0602784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（电子投标文件必须凭制作投标文件所用的 CA 密匙在10分钟内完成解密）。</w:t>
            </w:r>
          </w:p>
        </w:tc>
      </w:tr>
      <w:tr w14:paraId="5E72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3691519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192823B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第一个信封（商务及技术文件）开标程序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641F31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开标顺序：按电子版投标文件上传顺序开标。</w:t>
            </w:r>
          </w:p>
          <w:p w14:paraId="540FD16F">
            <w:pPr>
              <w:pStyle w:val="13"/>
              <w:keepNext w:val="0"/>
              <w:keepLines w:val="0"/>
              <w:pageBreakBefore w:val="0"/>
              <w:kinsoku/>
              <w:wordWrap/>
              <w:overflowPunct/>
              <w:topLinePunct w:val="0"/>
              <w:autoSpaceDE w:val="0"/>
              <w:autoSpaceDN/>
              <w:bidi w:val="0"/>
              <w:spacing w:line="360" w:lineRule="atLeas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对商务文件和技术文件进行开标，对报价文件不予开标。</w:t>
            </w:r>
          </w:p>
        </w:tc>
      </w:tr>
      <w:tr w14:paraId="49186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2C25BE3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5A1B26E">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第二个信封（报价文件）开标程序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34EB51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公布入围第二信封开标人名单；公布唱标信息；开标结束。</w:t>
            </w:r>
          </w:p>
        </w:tc>
      </w:tr>
      <w:tr w14:paraId="4C23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4A6905EC">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6.1</w:t>
            </w:r>
            <w:r>
              <w:rPr>
                <w:rFonts w:hint="eastAsia" w:ascii="宋体" w:hAnsi="宋体" w:eastAsia="宋体" w:cs="宋体"/>
                <w:color w:val="auto"/>
                <w:sz w:val="21"/>
                <w:szCs w:val="21"/>
                <w:highlight w:val="none"/>
                <w:lang w:val="en-US" w:eastAsia="zh-CN"/>
              </w:rPr>
              <w:t>.1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15ADB9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评标委员会的组建</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1EB8E5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评标委员会构成：招标人代表</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人（招标人代表应由具有评标专家相应或者类似条件的人员担任，或招标人从河南省综合专家库确定评标专家作为招标人代表）</w:t>
            </w:r>
          </w:p>
          <w:p w14:paraId="01335C9C">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经济、技术类</w:t>
            </w:r>
            <w:r>
              <w:rPr>
                <w:rFonts w:hint="eastAsia" w:ascii="宋体" w:hAnsi="宋体" w:eastAsia="宋体" w:cs="宋体"/>
                <w:color w:val="auto"/>
                <w:sz w:val="21"/>
                <w:szCs w:val="21"/>
                <w:highlight w:val="none"/>
              </w:rPr>
              <w:t>专家</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人；</w:t>
            </w:r>
          </w:p>
          <w:p w14:paraId="5F85B97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527E9FFD">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w:t>
            </w:r>
            <w:r>
              <w:rPr>
                <w:rFonts w:hint="eastAsia" w:ascii="宋体" w:hAnsi="宋体" w:eastAsia="宋体" w:cs="宋体"/>
                <w:color w:val="auto"/>
                <w:sz w:val="21"/>
                <w:szCs w:val="21"/>
                <w:highlight w:val="none"/>
                <w:lang w:val="en-US" w:eastAsia="zh-CN"/>
              </w:rPr>
              <w:t>前24小时之内</w:t>
            </w:r>
            <w:r>
              <w:rPr>
                <w:rFonts w:hint="eastAsia" w:ascii="宋体" w:hAnsi="宋体" w:eastAsia="宋体" w:cs="宋体"/>
                <w:color w:val="auto"/>
                <w:sz w:val="21"/>
                <w:szCs w:val="21"/>
                <w:highlight w:val="none"/>
              </w:rPr>
              <w:t>在监督部门的监督下从《河南省综合专家库》中采用电脑随机抽签方式确定,负责评标活动。</w:t>
            </w:r>
          </w:p>
        </w:tc>
      </w:tr>
      <w:tr w14:paraId="0EACF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8636376">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2.1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48AE14B8">
            <w:pPr>
              <w:keepNext w:val="0"/>
              <w:keepLines w:val="0"/>
              <w:pageBreakBefore w:val="0"/>
              <w:kinsoku/>
              <w:wordWrap/>
              <w:overflowPunct/>
              <w:topLinePunct w:val="0"/>
              <w:autoSpaceDE w:val="0"/>
              <w:autoSpaceDN/>
              <w:bidi w:val="0"/>
              <w:adjustRightInd w:val="0"/>
              <w:snapToGrid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597B192E">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网络电子评标（电子评标过程中当出现突发情况，导致系统无法正常运行且短时间内无法修复时，经监督部门同意，延迟评标。）</w:t>
            </w:r>
          </w:p>
          <w:p w14:paraId="5A677CBD">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□纸质评标</w:t>
            </w:r>
          </w:p>
          <w:p w14:paraId="555AE2DD">
            <w:pPr>
              <w:keepNext w:val="0"/>
              <w:keepLines w:val="0"/>
              <w:pageBreakBefore w:val="0"/>
              <w:kinsoku/>
              <w:wordWrap/>
              <w:overflowPunct/>
              <w:topLinePunct w:val="0"/>
              <w:autoSpaceDE w:val="0"/>
              <w:autoSpaceDN/>
              <w:bidi w:val="0"/>
              <w:adjustRightInd w:val="0"/>
              <w:snapToGrid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远程网络电子评标</w:t>
            </w:r>
          </w:p>
        </w:tc>
      </w:tr>
      <w:tr w14:paraId="0D98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9"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58BA84B9">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6.3.</w:t>
            </w:r>
            <w:r>
              <w:rPr>
                <w:rFonts w:hint="eastAsia" w:ascii="宋体" w:hAnsi="宋体" w:eastAsia="宋体" w:cs="宋体"/>
                <w:color w:val="auto"/>
                <w:sz w:val="21"/>
                <w:szCs w:val="21"/>
                <w:highlight w:val="none"/>
                <w:lang w:val="en-US" w:eastAsia="zh-CN"/>
              </w:rPr>
              <w:t>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30B0DA8B">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采用评定分离，</w:t>
            </w:r>
            <w:r>
              <w:rPr>
                <w:rFonts w:hint="eastAsia" w:ascii="宋体" w:hAnsi="宋体" w:eastAsia="宋体" w:cs="宋体"/>
                <w:color w:val="auto"/>
                <w:sz w:val="21"/>
                <w:szCs w:val="21"/>
                <w:highlight w:val="none"/>
              </w:rPr>
              <w:t>评标委员会推荐中标候选人的人数</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28663B16">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有效投标人数量为3家至10家(含10家)时，全部推荐</w:t>
            </w:r>
            <w:r>
              <w:rPr>
                <w:rFonts w:hint="eastAsia" w:ascii="宋体" w:hAnsi="宋体" w:eastAsia="宋体" w:cs="宋体"/>
                <w:color w:val="auto"/>
                <w:sz w:val="21"/>
                <w:szCs w:val="21"/>
                <w:highlight w:val="none"/>
                <w:lang w:eastAsia="zh-CN"/>
              </w:rPr>
              <w:t>为</w:t>
            </w:r>
            <w:r>
              <w:rPr>
                <w:rFonts w:hint="eastAsia" w:ascii="宋体" w:hAnsi="宋体" w:eastAsia="宋体" w:cs="宋体"/>
                <w:color w:val="auto"/>
                <w:sz w:val="21"/>
                <w:szCs w:val="21"/>
                <w:highlight w:val="none"/>
              </w:rPr>
              <w:t>中标候选人；有效投标人数量为10家以上时，按照择优原则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推荐原则详见评标办法评审标准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进行评标，</w:t>
            </w:r>
            <w:r>
              <w:rPr>
                <w:rFonts w:hint="eastAsia" w:ascii="宋体" w:hAnsi="宋体" w:eastAsia="宋体" w:cs="宋体"/>
                <w:color w:val="auto"/>
                <w:sz w:val="21"/>
                <w:szCs w:val="21"/>
                <w:highlight w:val="none"/>
                <w:lang w:val="en-US" w:eastAsia="zh-CN"/>
              </w:rPr>
              <w:t>按评标报告综合得分由高到低顺序推荐10名中标候选人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评标报告应当载明每个中标候选人的特点、优势、缺点、风险等评审情况和推荐理由，并对技术、质量、安全、工期的控制能力等提供技术咨询建议。</w:t>
            </w:r>
          </w:p>
        </w:tc>
      </w:tr>
      <w:tr w14:paraId="2663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026558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0DBB413">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中标候选人公示媒介及期限</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63C3592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公示媒介：招标公告发布同一媒介</w:t>
            </w:r>
          </w:p>
          <w:p w14:paraId="722F7FB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公示期限：不少于3日</w:t>
            </w:r>
          </w:p>
        </w:tc>
      </w:tr>
      <w:tr w14:paraId="1A2D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29BAA46">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C92B3E5">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是否授权评标委员会确定中标人</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6A653C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p w14:paraId="48C5AE6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tc>
      </w:tr>
      <w:tr w14:paraId="61A8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74FC45BB">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7.4.2</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5B5717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定标方法</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BB3694F">
            <w:pPr>
              <w:keepNext w:val="0"/>
              <w:keepLines w:val="0"/>
              <w:pageBreakBefore w:val="0"/>
              <w:kinsoku/>
              <w:wordWrap/>
              <w:overflowPunct/>
              <w:topLinePunct w:val="0"/>
              <w:autoSpaceDE w:val="0"/>
              <w:autoSpaceDN/>
              <w:bidi w:val="0"/>
              <w:spacing w:line="360" w:lineRule="atLeast"/>
              <w:textAlignment w:val="auto"/>
              <w:rPr>
                <w:rFonts w:hint="eastAsia"/>
                <w:color w:val="auto"/>
                <w:highlight w:val="none"/>
                <w:lang w:eastAsia="zh-CN"/>
              </w:rPr>
            </w:pPr>
            <w:r>
              <w:rPr>
                <w:rFonts w:hint="eastAsia"/>
                <w:color w:val="auto"/>
                <w:highlight w:val="none"/>
                <w:lang w:eastAsia="zh-CN"/>
              </w:rPr>
              <w:t>☑核查随机法</w:t>
            </w:r>
          </w:p>
          <w:p w14:paraId="6565D76B">
            <w:pPr>
              <w:keepNext w:val="0"/>
              <w:keepLines w:val="0"/>
              <w:pageBreakBefore w:val="0"/>
              <w:kinsoku/>
              <w:wordWrap/>
              <w:overflowPunct/>
              <w:topLinePunct w:val="0"/>
              <w:autoSpaceDE w:val="0"/>
              <w:autoSpaceDN/>
              <w:bidi w:val="0"/>
              <w:spacing w:line="360" w:lineRule="atLeast"/>
              <w:textAlignment w:val="auto"/>
              <w:rPr>
                <w:rFonts w:hint="eastAsia"/>
                <w:color w:val="auto"/>
                <w:highlight w:val="none"/>
                <w:lang w:eastAsia="zh-CN"/>
              </w:rPr>
            </w:pPr>
            <w:r>
              <w:rPr>
                <w:rFonts w:hint="eastAsia"/>
                <w:color w:val="auto"/>
                <w:highlight w:val="none"/>
                <w:lang w:eastAsia="zh-CN"/>
              </w:rPr>
              <w:t>□票决法</w:t>
            </w:r>
          </w:p>
          <w:p w14:paraId="32192DF1">
            <w:pPr>
              <w:keepNext w:val="0"/>
              <w:keepLines w:val="0"/>
              <w:pageBreakBefore w:val="0"/>
              <w:kinsoku/>
              <w:wordWrap/>
              <w:overflowPunct/>
              <w:topLinePunct w:val="0"/>
              <w:autoSpaceDE w:val="0"/>
              <w:autoSpaceDN/>
              <w:bidi w:val="0"/>
              <w:spacing w:line="360" w:lineRule="atLeast"/>
              <w:textAlignment w:val="auto"/>
              <w:rPr>
                <w:rFonts w:hint="eastAsia"/>
                <w:color w:val="auto"/>
                <w:highlight w:val="none"/>
                <w:lang w:eastAsia="zh-CN"/>
              </w:rPr>
            </w:pPr>
            <w:r>
              <w:rPr>
                <w:rFonts w:hint="eastAsia"/>
                <w:color w:val="auto"/>
                <w:highlight w:val="none"/>
                <w:lang w:eastAsia="zh-CN"/>
              </w:rPr>
              <w:t>□集体议事法</w:t>
            </w:r>
          </w:p>
          <w:p w14:paraId="709B2F60">
            <w:pPr>
              <w:keepNext w:val="0"/>
              <w:keepLines w:val="0"/>
              <w:pageBreakBefore w:val="0"/>
              <w:kinsoku/>
              <w:wordWrap/>
              <w:overflowPunct/>
              <w:topLinePunct w:val="0"/>
              <w:autoSpaceDE w:val="0"/>
              <w:autoSpaceDN/>
              <w:bidi w:val="0"/>
              <w:spacing w:line="360" w:lineRule="atLeast"/>
              <w:textAlignment w:val="auto"/>
              <w:rPr>
                <w:rFonts w:hint="eastAsia"/>
                <w:color w:val="auto"/>
                <w:highlight w:val="none"/>
              </w:rPr>
            </w:pPr>
            <w:r>
              <w:rPr>
                <w:rFonts w:hint="eastAsia"/>
                <w:color w:val="auto"/>
                <w:highlight w:val="none"/>
                <w:lang w:eastAsia="zh-CN"/>
              </w:rPr>
              <w:t>□其他方法</w:t>
            </w:r>
          </w:p>
        </w:tc>
      </w:tr>
      <w:tr w14:paraId="6093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F2DDC7F">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0ADB8161">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中标通知书和中标结果通知发出的形式</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3F423477">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中标通知书：书面形式</w:t>
            </w:r>
          </w:p>
          <w:p w14:paraId="65C7B16B">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中标结果通知：电子形式（网上发布）</w:t>
            </w:r>
          </w:p>
        </w:tc>
      </w:tr>
      <w:tr w14:paraId="2666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2C93A767">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3FAB1E8">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中标结果公告媒介及期限</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A3285F8">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公告媒介：招标公告发布同一媒介</w:t>
            </w:r>
          </w:p>
          <w:p w14:paraId="77A60399">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公告期限：不少于3日</w:t>
            </w:r>
          </w:p>
        </w:tc>
      </w:tr>
      <w:tr w14:paraId="12D11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1FF1D18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608E760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196569F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是否要求中标人提交履约保证金：</w:t>
            </w:r>
          </w:p>
          <w:p w14:paraId="6559278F">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189F4BD0">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履约担保的形式：银行转账或保函</w:t>
            </w:r>
          </w:p>
          <w:p w14:paraId="60331282">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履约担保的金额：</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签约</w:t>
            </w:r>
            <w:r>
              <w:rPr>
                <w:rFonts w:hint="eastAsia" w:ascii="宋体" w:hAnsi="宋体" w:eastAsia="宋体" w:cs="宋体"/>
                <w:color w:val="auto"/>
                <w:sz w:val="21"/>
                <w:szCs w:val="21"/>
                <w:highlight w:val="none"/>
              </w:rPr>
              <w:t>合同价</w:t>
            </w:r>
          </w:p>
          <w:p w14:paraId="3D5C2EB3">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□不要求</w:t>
            </w:r>
          </w:p>
        </w:tc>
      </w:tr>
      <w:tr w14:paraId="25E1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trPr>
        <w:tc>
          <w:tcPr>
            <w:tcW w:w="956" w:type="dxa"/>
            <w:tcBorders>
              <w:top w:val="single" w:color="auto" w:sz="4" w:space="0"/>
              <w:left w:val="single" w:color="auto" w:sz="4" w:space="0"/>
              <w:bottom w:val="single" w:color="auto" w:sz="4" w:space="0"/>
              <w:right w:val="single" w:color="auto" w:sz="4" w:space="0"/>
            </w:tcBorders>
            <w:noWrap/>
            <w:vAlign w:val="center"/>
          </w:tcPr>
          <w:p w14:paraId="68FE7710">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8.5.1</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2E2F8B92">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监督部门</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D0E5352">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监督单位：新蔡县交通运输局</w:t>
            </w:r>
          </w:p>
          <w:p w14:paraId="0AEB7C36">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办公地址：新蔡县古吕街道新正路</w:t>
            </w:r>
          </w:p>
          <w:p w14:paraId="04FE2DCA">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电    话：0396-5922203</w:t>
            </w:r>
          </w:p>
          <w:p w14:paraId="5C2C97A6">
            <w:pPr>
              <w:keepNext w:val="0"/>
              <w:keepLines w:val="0"/>
              <w:pageBreakBefore w:val="0"/>
              <w:kinsoku/>
              <w:wordWrap/>
              <w:overflowPunct/>
              <w:topLinePunct w:val="0"/>
              <w:autoSpaceDE w:val="0"/>
              <w:autoSpaceDN/>
              <w:bidi w:val="0"/>
              <w:spacing w:line="360" w:lineRule="atLeast"/>
              <w:textAlignment w:val="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邮    箱：xcxjtj2007@163.com  </w:t>
            </w:r>
          </w:p>
        </w:tc>
      </w:tr>
      <w:tr w14:paraId="5B77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ign w:val="center"/>
          </w:tcPr>
          <w:p w14:paraId="006C4A9A">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556" w:type="dxa"/>
            <w:gridSpan w:val="2"/>
            <w:tcBorders>
              <w:top w:val="single" w:color="auto" w:sz="4" w:space="0"/>
              <w:left w:val="single" w:color="auto" w:sz="4" w:space="0"/>
              <w:bottom w:val="single" w:color="auto" w:sz="4" w:space="0"/>
              <w:right w:val="single" w:color="auto" w:sz="4" w:space="0"/>
            </w:tcBorders>
            <w:noWrap/>
            <w:vAlign w:val="center"/>
          </w:tcPr>
          <w:p w14:paraId="7B8F169D">
            <w:pPr>
              <w:keepNext w:val="0"/>
              <w:keepLines w:val="0"/>
              <w:pageBreakBefore w:val="0"/>
              <w:kinsoku/>
              <w:wordWrap/>
              <w:overflowPunct/>
              <w:topLinePunct w:val="0"/>
              <w:autoSpaceDE w:val="0"/>
              <w:autoSpaceDN/>
              <w:bidi w:val="0"/>
              <w:spacing w:line="36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是否采用电子招标投标</w:t>
            </w:r>
          </w:p>
        </w:tc>
        <w:tc>
          <w:tcPr>
            <w:tcW w:w="6196" w:type="dxa"/>
            <w:gridSpan w:val="2"/>
            <w:tcBorders>
              <w:top w:val="single" w:color="auto" w:sz="4" w:space="0"/>
              <w:left w:val="single" w:color="auto" w:sz="4" w:space="0"/>
              <w:bottom w:val="single" w:color="auto" w:sz="4" w:space="0"/>
              <w:right w:val="single" w:color="auto" w:sz="4" w:space="0"/>
            </w:tcBorders>
            <w:noWrap/>
            <w:vAlign w:val="center"/>
          </w:tcPr>
          <w:p w14:paraId="7281944F">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p w14:paraId="2A8FB435">
            <w:pPr>
              <w:keepNext w:val="0"/>
              <w:keepLines w:val="0"/>
              <w:pageBreakBefore w:val="0"/>
              <w:kinsoku/>
              <w:wordWrap/>
              <w:overflowPunct/>
              <w:topLinePunct w:val="0"/>
              <w:autoSpaceDE w:val="0"/>
              <w:autoSpaceDN/>
              <w:bidi w:val="0"/>
              <w:spacing w:line="360" w:lineRule="atLeas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具体要求：本工程采用远程不见面交易的模式。开标当日，投标人无需到达开标现场，仅需在任意地点通过驻马店不见面开标系统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14:paraId="4A6A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08" w:type="dxa"/>
            <w:gridSpan w:val="5"/>
            <w:tcBorders>
              <w:top w:val="single" w:color="auto" w:sz="4" w:space="0"/>
              <w:left w:val="single" w:color="auto" w:sz="4" w:space="0"/>
              <w:bottom w:val="single" w:color="auto" w:sz="4" w:space="0"/>
              <w:right w:val="single" w:color="auto" w:sz="4" w:space="0"/>
            </w:tcBorders>
            <w:noWrap/>
            <w:vAlign w:val="center"/>
          </w:tcPr>
          <w:p w14:paraId="6D746FBA">
            <w:pPr>
              <w:keepNext w:val="0"/>
              <w:keepLines w:val="0"/>
              <w:pageBreakBefore w:val="0"/>
              <w:kinsoku/>
              <w:wordWrap/>
              <w:overflowPunct/>
              <w:topLinePunct w:val="0"/>
              <w:autoSpaceDE w:val="0"/>
              <w:autoSpaceDN/>
              <w:bidi w:val="0"/>
              <w:spacing w:line="360" w:lineRule="atLeas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需要补充的其他内容</w:t>
            </w:r>
          </w:p>
        </w:tc>
      </w:tr>
      <w:tr w14:paraId="2714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1" w:type="dxa"/>
            <w:gridSpan w:val="2"/>
            <w:tcBorders>
              <w:top w:val="single" w:color="auto" w:sz="4" w:space="0"/>
              <w:left w:val="single" w:color="auto" w:sz="4" w:space="0"/>
              <w:bottom w:val="single" w:color="auto" w:sz="4" w:space="0"/>
              <w:right w:val="single" w:color="auto" w:sz="4" w:space="0"/>
            </w:tcBorders>
            <w:noWrap/>
            <w:vAlign w:val="center"/>
          </w:tcPr>
          <w:p w14:paraId="2DAD80BF">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10.1</w:t>
            </w:r>
          </w:p>
        </w:tc>
        <w:tc>
          <w:tcPr>
            <w:tcW w:w="256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C0B0868">
            <w:pPr>
              <w:spacing w:line="400" w:lineRule="exact"/>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农民工工资保证金</w:t>
            </w:r>
          </w:p>
        </w:tc>
        <w:tc>
          <w:tcPr>
            <w:tcW w:w="6187" w:type="dxa"/>
            <w:tcBorders>
              <w:top w:val="single" w:color="auto" w:sz="4" w:space="0"/>
              <w:left w:val="single" w:color="auto" w:sz="4" w:space="0"/>
              <w:bottom w:val="single" w:color="auto" w:sz="4" w:space="0"/>
              <w:right w:val="single" w:color="auto" w:sz="4" w:space="0"/>
            </w:tcBorders>
            <w:shd w:val="clear" w:color="auto" w:fill="auto"/>
            <w:noWrap/>
            <w:vAlign w:val="top"/>
          </w:tcPr>
          <w:p w14:paraId="380236B4">
            <w:pPr>
              <w:spacing w:line="400" w:lineRule="exact"/>
              <w:jc w:val="left"/>
              <w:rPr>
                <w:rFonts w:hint="eastAsia" w:ascii="宋体" w:hAnsi="宋体" w:cs="宋体"/>
                <w:szCs w:val="21"/>
                <w:highlight w:val="none"/>
              </w:rPr>
            </w:pPr>
            <w:r>
              <w:rPr>
                <w:rFonts w:hint="eastAsia" w:ascii="宋体" w:hAnsi="宋体" w:cs="宋体"/>
                <w:szCs w:val="21"/>
                <w:highlight w:val="none"/>
              </w:rPr>
              <w:t>是否要求中标人提供农民工工资保证金</w:t>
            </w:r>
          </w:p>
          <w:p w14:paraId="3F4745F8">
            <w:pPr>
              <w:spacing w:line="400" w:lineRule="exact"/>
              <w:jc w:val="left"/>
              <w:rPr>
                <w:rFonts w:hint="eastAsia"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eq \o\ac(□,√)</w:instrText>
            </w:r>
            <w:r>
              <w:rPr>
                <w:rFonts w:hint="eastAsia" w:ascii="宋体" w:hAnsi="宋体" w:cs="宋体"/>
                <w:szCs w:val="21"/>
                <w:highlight w:val="none"/>
              </w:rPr>
              <w:fldChar w:fldCharType="end"/>
            </w:r>
            <w:r>
              <w:rPr>
                <w:rFonts w:hint="eastAsia" w:ascii="宋体" w:hAnsi="宋体" w:cs="宋体"/>
                <w:szCs w:val="21"/>
                <w:highlight w:val="none"/>
              </w:rPr>
              <w:t>要求提供(根据豫人社规(2022〕4号文规定执行)</w:t>
            </w:r>
          </w:p>
          <w:p w14:paraId="19BED517">
            <w:pPr>
              <w:spacing w:line="400" w:lineRule="exact"/>
              <w:jc w:val="left"/>
              <w:rPr>
                <w:rFonts w:hint="eastAsia" w:ascii="宋体" w:hAnsi="宋体" w:cs="宋体"/>
                <w:szCs w:val="21"/>
                <w:highlight w:val="none"/>
              </w:rPr>
            </w:pPr>
            <w:r>
              <w:rPr>
                <w:rFonts w:hint="eastAsia" w:ascii="宋体" w:hAnsi="宋体" w:cs="宋体"/>
                <w:szCs w:val="21"/>
                <w:highlight w:val="none"/>
              </w:rPr>
              <w:t>农民工工资保证金的形式:转账或保函</w:t>
            </w:r>
          </w:p>
          <w:p w14:paraId="45222BD0">
            <w:pPr>
              <w:spacing w:line="400" w:lineRule="exact"/>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中标人需按中标总价</w:t>
            </w:r>
            <w:r>
              <w:rPr>
                <w:rFonts w:hint="eastAsia" w:ascii="宋体" w:hAnsi="宋体" w:cs="宋体"/>
                <w:color w:val="000000" w:themeColor="text1"/>
                <w:szCs w:val="21"/>
                <w:highlight w:val="none"/>
                <w14:textFill>
                  <w14:solidFill>
                    <w14:schemeClr w14:val="tx1"/>
                  </w14:solidFill>
                </w14:textFill>
              </w:rPr>
              <w:t>的2%向有</w:t>
            </w:r>
            <w:r>
              <w:rPr>
                <w:rFonts w:hint="eastAsia" w:ascii="宋体" w:hAnsi="宋体" w:cs="宋体"/>
                <w:szCs w:val="21"/>
                <w:highlight w:val="none"/>
              </w:rPr>
              <w:t>关单位交纳农民工工资保证金，对一定时期内发生工资拖欠的企业可适当提高缴存比例，</w:t>
            </w:r>
            <w:r>
              <w:rPr>
                <w:rFonts w:hint="eastAsia" w:ascii="宋体" w:hAnsi="宋体" w:cs="宋体"/>
                <w:szCs w:val="21"/>
                <w:highlight w:val="none"/>
                <w:shd w:val="clear"/>
              </w:rPr>
              <w:t>并承诺一</w:t>
            </w:r>
            <w:r>
              <w:rPr>
                <w:rFonts w:hint="eastAsia" w:ascii="宋体" w:hAnsi="宋体" w:cs="宋体"/>
                <w:szCs w:val="21"/>
                <w:highlight w:val="none"/>
              </w:rPr>
              <w:t>旦出现拖欠农民工工资情形的，由招标人申请有关部门从其工资保证金中先予划支；若拖欠农民工工资超过农民工工资保障金，建设单位将直接从工程款中扣除。</w:t>
            </w:r>
          </w:p>
        </w:tc>
      </w:tr>
      <w:tr w14:paraId="4277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1" w:type="dxa"/>
            <w:gridSpan w:val="2"/>
            <w:tcBorders>
              <w:top w:val="single" w:color="auto" w:sz="4" w:space="0"/>
              <w:left w:val="single" w:color="auto" w:sz="4" w:space="0"/>
              <w:bottom w:val="single" w:color="auto" w:sz="4" w:space="0"/>
              <w:right w:val="single" w:color="auto" w:sz="4" w:space="0"/>
            </w:tcBorders>
            <w:noWrap/>
            <w:vAlign w:val="center"/>
          </w:tcPr>
          <w:p w14:paraId="0910C97F">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10.2</w:t>
            </w:r>
          </w:p>
        </w:tc>
        <w:tc>
          <w:tcPr>
            <w:tcW w:w="256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8F8163C">
            <w:pPr>
              <w:spacing w:line="400" w:lineRule="exact"/>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Cs w:val="21"/>
              </w:rPr>
              <w:t>重新招标和不再招标</w:t>
            </w:r>
          </w:p>
        </w:tc>
        <w:tc>
          <w:tcPr>
            <w:tcW w:w="6187" w:type="dxa"/>
            <w:tcBorders>
              <w:top w:val="single" w:color="auto" w:sz="4" w:space="0"/>
              <w:left w:val="single" w:color="auto" w:sz="4" w:space="0"/>
              <w:bottom w:val="single" w:color="auto" w:sz="4" w:space="0"/>
              <w:right w:val="single" w:color="auto" w:sz="4" w:space="0"/>
            </w:tcBorders>
            <w:shd w:val="clear" w:color="auto" w:fill="auto"/>
            <w:noWrap/>
            <w:vAlign w:val="top"/>
          </w:tcPr>
          <w:p w14:paraId="35918682">
            <w:pPr>
              <w:spacing w:line="400" w:lineRule="exact"/>
              <w:jc w:val="left"/>
              <w:rPr>
                <w:rFonts w:hint="eastAsia" w:ascii="宋体" w:hAnsi="宋体" w:eastAsia="宋体" w:cs="宋体"/>
                <w:color w:val="auto"/>
                <w:szCs w:val="21"/>
              </w:rPr>
            </w:pPr>
            <w:r>
              <w:rPr>
                <w:rFonts w:hint="eastAsia" w:ascii="宋体" w:hAnsi="宋体" w:eastAsia="宋体" w:cs="宋体"/>
                <w:color w:val="auto"/>
                <w:szCs w:val="21"/>
              </w:rPr>
              <w:t>1、重新招标</w:t>
            </w:r>
          </w:p>
          <w:p w14:paraId="3F302574">
            <w:pPr>
              <w:spacing w:line="400" w:lineRule="exact"/>
              <w:jc w:val="left"/>
              <w:rPr>
                <w:rFonts w:hint="eastAsia" w:ascii="宋体" w:hAnsi="宋体" w:eastAsia="宋体" w:cs="宋体"/>
                <w:color w:val="auto"/>
                <w:szCs w:val="21"/>
              </w:rPr>
            </w:pPr>
            <w:r>
              <w:rPr>
                <w:rFonts w:hint="eastAsia" w:ascii="宋体" w:hAnsi="宋体" w:eastAsia="宋体" w:cs="宋体"/>
                <w:color w:val="auto"/>
                <w:szCs w:val="21"/>
              </w:rPr>
              <w:t>有下列情形之一的，招标人将重新招标：</w:t>
            </w:r>
          </w:p>
          <w:p w14:paraId="1EA37447">
            <w:pPr>
              <w:spacing w:line="400" w:lineRule="exact"/>
              <w:jc w:val="left"/>
              <w:rPr>
                <w:rFonts w:hint="eastAsia" w:ascii="宋体" w:hAnsi="宋体" w:eastAsia="宋体" w:cs="宋体"/>
                <w:color w:val="auto"/>
                <w:szCs w:val="21"/>
              </w:rPr>
            </w:pPr>
            <w:r>
              <w:rPr>
                <w:rFonts w:hint="eastAsia" w:ascii="宋体" w:hAnsi="宋体" w:eastAsia="宋体" w:cs="宋体"/>
                <w:color w:val="auto"/>
                <w:szCs w:val="21"/>
              </w:rPr>
              <w:t>（1）投标截止时间止，投标人少于3个的；</w:t>
            </w:r>
          </w:p>
          <w:p w14:paraId="02CA9DD9">
            <w:pPr>
              <w:spacing w:line="400" w:lineRule="exact"/>
              <w:jc w:val="left"/>
              <w:rPr>
                <w:rFonts w:hint="eastAsia" w:ascii="宋体" w:hAnsi="宋体" w:eastAsia="宋体" w:cs="宋体"/>
                <w:color w:val="auto"/>
                <w:szCs w:val="21"/>
              </w:rPr>
            </w:pPr>
            <w:r>
              <w:rPr>
                <w:rFonts w:hint="eastAsia" w:ascii="宋体" w:hAnsi="宋体" w:eastAsia="宋体" w:cs="宋体"/>
                <w:color w:val="auto"/>
                <w:szCs w:val="21"/>
              </w:rPr>
              <w:t>（2）经评标委员会评审后否决所有投标的。</w:t>
            </w:r>
          </w:p>
          <w:p w14:paraId="715180F9">
            <w:pPr>
              <w:spacing w:line="400" w:lineRule="exact"/>
              <w:jc w:val="left"/>
              <w:rPr>
                <w:rFonts w:hint="eastAsia" w:ascii="宋体" w:hAnsi="宋体" w:eastAsia="宋体" w:cs="宋体"/>
                <w:color w:val="auto"/>
                <w:szCs w:val="21"/>
              </w:rPr>
            </w:pPr>
            <w:r>
              <w:rPr>
                <w:rFonts w:hint="eastAsia" w:ascii="宋体" w:hAnsi="宋体" w:eastAsia="宋体" w:cs="宋体"/>
                <w:color w:val="auto"/>
                <w:szCs w:val="21"/>
              </w:rPr>
              <w:t>2、不再招标</w:t>
            </w:r>
          </w:p>
          <w:p w14:paraId="53D4C4D6">
            <w:pPr>
              <w:spacing w:line="400" w:lineRule="exact"/>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szCs w:val="21"/>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3775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1" w:type="dxa"/>
            <w:gridSpan w:val="2"/>
            <w:tcBorders>
              <w:top w:val="single" w:color="auto" w:sz="4" w:space="0"/>
              <w:left w:val="single" w:color="auto" w:sz="4" w:space="0"/>
              <w:bottom w:val="single" w:color="auto" w:sz="4" w:space="0"/>
              <w:right w:val="single" w:color="auto" w:sz="4" w:space="0"/>
            </w:tcBorders>
            <w:noWrap/>
            <w:vAlign w:val="center"/>
          </w:tcPr>
          <w:p w14:paraId="2040919E">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10.3</w:t>
            </w:r>
          </w:p>
        </w:tc>
        <w:tc>
          <w:tcPr>
            <w:tcW w:w="256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56823EA">
            <w:pPr>
              <w:spacing w:line="400" w:lineRule="exact"/>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highlight w:val="none"/>
              </w:rPr>
              <w:t>解释权</w:t>
            </w:r>
          </w:p>
        </w:tc>
        <w:tc>
          <w:tcPr>
            <w:tcW w:w="6187" w:type="dxa"/>
            <w:tcBorders>
              <w:top w:val="single" w:color="auto" w:sz="4" w:space="0"/>
              <w:left w:val="single" w:color="auto" w:sz="4" w:space="0"/>
              <w:bottom w:val="single" w:color="auto" w:sz="4" w:space="0"/>
              <w:right w:val="single" w:color="auto" w:sz="4" w:space="0"/>
            </w:tcBorders>
            <w:shd w:val="clear" w:color="auto" w:fill="auto"/>
            <w:noWrap/>
            <w:vAlign w:val="top"/>
          </w:tcPr>
          <w:p w14:paraId="10A5E8AD">
            <w:pPr>
              <w:spacing w:line="400" w:lineRule="exact"/>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6E961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1" w:type="dxa"/>
            <w:gridSpan w:val="2"/>
            <w:tcBorders>
              <w:top w:val="single" w:color="auto" w:sz="4" w:space="0"/>
              <w:left w:val="single" w:color="auto" w:sz="4" w:space="0"/>
              <w:bottom w:val="single" w:color="auto" w:sz="4" w:space="0"/>
              <w:right w:val="single" w:color="auto" w:sz="4" w:space="0"/>
            </w:tcBorders>
            <w:noWrap/>
            <w:vAlign w:val="center"/>
          </w:tcPr>
          <w:p w14:paraId="2DD797B9">
            <w:pPr>
              <w:keepNext w:val="0"/>
              <w:keepLines w:val="0"/>
              <w:pageBreakBefore w:val="0"/>
              <w:kinsoku/>
              <w:wordWrap/>
              <w:overflowPunct/>
              <w:topLinePunct w:val="0"/>
              <w:autoSpaceDE w:val="0"/>
              <w:autoSpaceDN/>
              <w:bidi w:val="0"/>
              <w:spacing w:line="360" w:lineRule="atLeast"/>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10.4</w:t>
            </w:r>
          </w:p>
        </w:tc>
        <w:tc>
          <w:tcPr>
            <w:tcW w:w="256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A95955C">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招标代理服务费</w:t>
            </w:r>
          </w:p>
        </w:tc>
        <w:tc>
          <w:tcPr>
            <w:tcW w:w="6187" w:type="dxa"/>
            <w:tcBorders>
              <w:top w:val="single" w:color="auto" w:sz="4" w:space="0"/>
              <w:left w:val="single" w:color="auto" w:sz="4" w:space="0"/>
              <w:bottom w:val="single" w:color="auto" w:sz="4" w:space="0"/>
              <w:right w:val="single" w:color="auto" w:sz="4" w:space="0"/>
            </w:tcBorders>
            <w:shd w:val="clear" w:color="auto" w:fill="auto"/>
            <w:noWrap/>
            <w:vAlign w:val="top"/>
          </w:tcPr>
          <w:p w14:paraId="2CA5B2D0">
            <w:pPr>
              <w:spacing w:line="400" w:lineRule="exact"/>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参照</w:t>
            </w:r>
            <w:r>
              <w:rPr>
                <w:rFonts w:hint="eastAsia" w:ascii="宋体" w:hAnsi="宋体" w:eastAsia="宋体" w:cs="宋体"/>
                <w:color w:val="auto"/>
                <w:szCs w:val="21"/>
                <w:highlight w:val="none"/>
                <w:lang w:val="en-US" w:eastAsia="zh-CN"/>
              </w:rPr>
              <w:t>河南省招标投标协会关于印发《河南省招标代理服务收费指导意见》的通知规定的收费标准</w:t>
            </w:r>
            <w:r>
              <w:rPr>
                <w:rFonts w:hint="eastAsia" w:ascii="宋体" w:hAnsi="宋体" w:cs="宋体"/>
                <w:color w:val="auto"/>
                <w:szCs w:val="21"/>
                <w:highlight w:val="none"/>
                <w:lang w:val="en-US" w:eastAsia="zh-CN"/>
              </w:rPr>
              <w:t>收取</w:t>
            </w:r>
            <w:r>
              <w:rPr>
                <w:rFonts w:hint="eastAsia" w:ascii="宋体" w:hAnsi="宋体" w:eastAsia="宋体" w:cs="宋体"/>
                <w:color w:val="auto"/>
                <w:szCs w:val="21"/>
                <w:highlight w:val="none"/>
                <w:lang w:val="en-US" w:eastAsia="zh-CN"/>
              </w:rPr>
              <w:t>，招标代理合同约定</w:t>
            </w:r>
            <w:r>
              <w:rPr>
                <w:rFonts w:hint="eastAsia" w:ascii="宋体" w:hAnsi="宋体" w:cs="宋体"/>
                <w:color w:val="auto"/>
                <w:szCs w:val="21"/>
                <w:highlight w:val="none"/>
                <w:lang w:val="en-US" w:eastAsia="zh-CN"/>
              </w:rPr>
              <w:t>服务费15万元</w:t>
            </w:r>
            <w:r>
              <w:rPr>
                <w:rFonts w:hint="eastAsia" w:ascii="宋体" w:hAnsi="宋体" w:eastAsia="宋体" w:cs="宋体"/>
                <w:color w:val="auto"/>
                <w:szCs w:val="21"/>
                <w:highlight w:val="none"/>
                <w:lang w:val="en-US" w:eastAsia="zh-CN"/>
              </w:rPr>
              <w:t>由中标人支付，中标人须在领取中标通知书前向招标代理公司按照规定一次性支付完毕</w:t>
            </w:r>
            <w:r>
              <w:rPr>
                <w:rFonts w:hint="eastAsia" w:ascii="宋体" w:hAnsi="宋体" w:eastAsia="宋体" w:cs="宋体"/>
                <w:color w:val="auto"/>
                <w:szCs w:val="21"/>
                <w:highlight w:val="none"/>
              </w:rPr>
              <w:t>。</w:t>
            </w:r>
          </w:p>
        </w:tc>
      </w:tr>
    </w:tbl>
    <w:p w14:paraId="2D504CE5">
      <w:pPr>
        <w:jc w:val="center"/>
        <w:rPr>
          <w:rFonts w:ascii="宋体" w:hAnsi="宋体"/>
          <w:b/>
          <w:color w:val="auto"/>
          <w:sz w:val="28"/>
          <w:szCs w:val="28"/>
          <w:highlight w:val="none"/>
        </w:rPr>
      </w:pPr>
      <w:bookmarkStart w:id="27" w:name="_Toc152042305"/>
      <w:bookmarkEnd w:id="27"/>
      <w:bookmarkStart w:id="28" w:name="_Toc144974497"/>
      <w:bookmarkEnd w:id="28"/>
      <w:bookmarkStart w:id="29" w:name="_Toc179632546"/>
      <w:bookmarkEnd w:id="29"/>
      <w:bookmarkStart w:id="30" w:name="_Toc132601551"/>
      <w:bookmarkEnd w:id="30"/>
      <w:bookmarkStart w:id="31" w:name="_Toc152045529"/>
      <w:bookmarkEnd w:id="31"/>
      <w:bookmarkStart w:id="32" w:name="_Hlt111980141"/>
      <w:bookmarkEnd w:id="32"/>
      <w:bookmarkStart w:id="33" w:name="_Hlt125377922"/>
      <w:r>
        <w:rPr>
          <w:rFonts w:hint="eastAsia" w:ascii="宋体" w:hAnsi="宋体"/>
          <w:b/>
          <w:color w:val="auto"/>
          <w:sz w:val="28"/>
          <w:szCs w:val="28"/>
          <w:highlight w:val="none"/>
        </w:rPr>
        <w:t xml:space="preserve"> </w:t>
      </w:r>
      <w:bookmarkEnd w:id="33"/>
    </w:p>
    <w:p w14:paraId="289164D0">
      <w:pPr>
        <w:jc w:val="center"/>
        <w:rPr>
          <w:rFonts w:ascii="宋体" w:hAnsi="宋体"/>
          <w:b/>
          <w:color w:val="auto"/>
          <w:sz w:val="28"/>
          <w:szCs w:val="28"/>
          <w:highlight w:val="none"/>
        </w:rPr>
      </w:pPr>
      <w:r>
        <w:rPr>
          <w:rFonts w:hint="eastAsia" w:ascii="宋体" w:hAnsi="宋体"/>
          <w:b/>
          <w:color w:val="auto"/>
          <w:sz w:val="28"/>
          <w:szCs w:val="28"/>
          <w:highlight w:val="none"/>
        </w:rPr>
        <w:t xml:space="preserve">  </w:t>
      </w:r>
    </w:p>
    <w:p w14:paraId="62060191">
      <w:pPr>
        <w:jc w:val="center"/>
        <w:outlineLvl w:val="0"/>
        <w:rPr>
          <w:rFonts w:hint="eastAsia" w:ascii="宋体" w:hAnsi="宋体" w:cs="宋体"/>
          <w:b/>
          <w:color w:val="auto"/>
          <w:sz w:val="28"/>
          <w:szCs w:val="28"/>
          <w:highlight w:val="none"/>
        </w:rPr>
      </w:pPr>
      <w:r>
        <w:rPr>
          <w:rFonts w:hint="eastAsia" w:ascii="宋体" w:hAnsi="宋体"/>
          <w:b/>
          <w:color w:val="auto"/>
          <w:sz w:val="28"/>
          <w:szCs w:val="28"/>
          <w:highlight w:val="none"/>
        </w:rPr>
        <w:br w:type="page"/>
      </w:r>
      <w:bookmarkStart w:id="34" w:name="_Toc19443"/>
      <w:bookmarkEnd w:id="34"/>
      <w:bookmarkStart w:id="35" w:name="_Toc21400"/>
      <w:r>
        <w:rPr>
          <w:rFonts w:hint="eastAsia" w:ascii="宋体" w:hAnsi="宋体" w:cs="宋体"/>
          <w:b/>
          <w:color w:val="auto"/>
          <w:sz w:val="28"/>
          <w:szCs w:val="28"/>
          <w:highlight w:val="none"/>
        </w:rPr>
        <w:t>附录1 资格审查条件（资质最低要求）</w:t>
      </w:r>
      <w:bookmarkEnd w:id="35"/>
    </w:p>
    <w:tbl>
      <w:tblPr>
        <w:tblStyle w:val="29"/>
        <w:tblW w:w="0" w:type="auto"/>
        <w:jc w:val="center"/>
        <w:tblLayout w:type="fixed"/>
        <w:tblCellMar>
          <w:top w:w="0" w:type="dxa"/>
          <w:left w:w="108" w:type="dxa"/>
          <w:bottom w:w="0" w:type="dxa"/>
          <w:right w:w="108" w:type="dxa"/>
        </w:tblCellMar>
      </w:tblPr>
      <w:tblGrid>
        <w:gridCol w:w="8720"/>
      </w:tblGrid>
      <w:tr w14:paraId="2C413D26">
        <w:tblPrEx>
          <w:tblCellMar>
            <w:top w:w="0" w:type="dxa"/>
            <w:left w:w="108" w:type="dxa"/>
            <w:bottom w:w="0" w:type="dxa"/>
            <w:right w:w="108" w:type="dxa"/>
          </w:tblCellMar>
        </w:tblPrEx>
        <w:trPr>
          <w:trHeight w:val="90" w:hRule="atLeast"/>
          <w:jc w:val="center"/>
        </w:trPr>
        <w:tc>
          <w:tcPr>
            <w:tcW w:w="8720" w:type="dxa"/>
            <w:tcBorders>
              <w:top w:val="single" w:color="auto" w:sz="6" w:space="0"/>
              <w:left w:val="single" w:color="auto" w:sz="6" w:space="0"/>
              <w:bottom w:val="single" w:color="auto" w:sz="6" w:space="0"/>
              <w:right w:val="single" w:color="auto" w:sz="6" w:space="0"/>
            </w:tcBorders>
            <w:noWrap w:val="0"/>
            <w:vAlign w:val="center"/>
          </w:tcPr>
          <w:p w14:paraId="6C1B847C">
            <w:pPr>
              <w:pStyle w:val="22"/>
              <w:tabs>
                <w:tab w:val="right" w:leader="dot" w:pos="8495"/>
              </w:tabs>
              <w:jc w:val="center"/>
              <w:rPr>
                <w:rFonts w:hint="eastAsia" w:hAnsi="宋体"/>
                <w:color w:val="auto"/>
                <w:sz w:val="21"/>
                <w:szCs w:val="21"/>
                <w:highlight w:val="none"/>
              </w:rPr>
            </w:pPr>
            <w:r>
              <w:rPr>
                <w:rFonts w:hint="eastAsia" w:ascii="宋体" w:hAnsi="宋体" w:eastAsia="宋体" w:cs="宋体"/>
                <w:b/>
                <w:bCs/>
                <w:caps/>
                <w:color w:val="auto"/>
                <w:szCs w:val="24"/>
                <w:highlight w:val="none"/>
                <w:lang w:val="en-US" w:eastAsia="zh-CN"/>
              </w:rPr>
              <w:t>施工企业资质等级要求</w:t>
            </w:r>
          </w:p>
        </w:tc>
      </w:tr>
      <w:tr w14:paraId="53FD4FC3">
        <w:tblPrEx>
          <w:tblCellMar>
            <w:top w:w="0" w:type="dxa"/>
            <w:left w:w="108" w:type="dxa"/>
            <w:bottom w:w="0" w:type="dxa"/>
            <w:right w:w="108" w:type="dxa"/>
          </w:tblCellMar>
        </w:tblPrEx>
        <w:trPr>
          <w:cantSplit/>
          <w:trHeight w:val="1302" w:hRule="atLeast"/>
          <w:jc w:val="center"/>
        </w:trPr>
        <w:tc>
          <w:tcPr>
            <w:tcW w:w="8720" w:type="dxa"/>
            <w:tcBorders>
              <w:top w:val="single" w:color="auto" w:sz="6" w:space="0"/>
              <w:left w:val="single" w:color="auto" w:sz="6" w:space="0"/>
              <w:bottom w:val="single" w:color="auto" w:sz="6" w:space="0"/>
              <w:right w:val="single" w:color="auto" w:sz="6" w:space="0"/>
            </w:tcBorders>
            <w:noWrap w:val="0"/>
            <w:vAlign w:val="top"/>
          </w:tcPr>
          <w:p w14:paraId="5A650407">
            <w:pPr>
              <w:spacing w:line="360" w:lineRule="auto"/>
              <w:jc w:val="left"/>
              <w:rPr>
                <w:rFonts w:hint="eastAsia" w:ascii="宋体" w:hAnsi="宋体" w:cs="宋体"/>
                <w:bCs/>
                <w:caps/>
                <w:color w:val="auto"/>
                <w:szCs w:val="21"/>
                <w:highlight w:val="none"/>
              </w:rPr>
            </w:pPr>
            <w:r>
              <w:rPr>
                <w:rFonts w:hint="eastAsia" w:ascii="宋体" w:hAnsi="宋体" w:cs="宋体"/>
                <w:b/>
                <w:bCs/>
                <w:caps/>
                <w:color w:val="auto"/>
                <w:szCs w:val="21"/>
                <w:lang w:eastAsia="zh-CN"/>
              </w:rPr>
              <w:t>投标人须具有独立法人资格，具有有效的营业执照。</w:t>
            </w:r>
            <w:r>
              <w:rPr>
                <w:rFonts w:hint="eastAsia" w:ascii="宋体" w:hAnsi="宋体" w:cs="宋体"/>
                <w:b/>
                <w:bCs/>
                <w:caps/>
                <w:color w:val="auto"/>
                <w:szCs w:val="21"/>
                <w:lang w:val="en-US" w:eastAsia="zh-CN"/>
              </w:rPr>
              <w:t>投标人须具备公路工程施工总承包贰级及以上资质，具有有效的安全生产许可证</w:t>
            </w:r>
            <w:r>
              <w:rPr>
                <w:rFonts w:hint="eastAsia" w:ascii="宋体" w:hAnsi="宋体" w:cs="宋体"/>
                <w:b/>
                <w:bCs/>
                <w:caps/>
                <w:color w:val="auto"/>
                <w:szCs w:val="21"/>
                <w:lang w:eastAsia="zh-CN"/>
              </w:rPr>
              <w:t>，并在人员、设备、资金等方面具有相应的施工能力。</w:t>
            </w:r>
          </w:p>
        </w:tc>
      </w:tr>
    </w:tbl>
    <w:p w14:paraId="225F466C">
      <w:pPr>
        <w:jc w:val="center"/>
        <w:rPr>
          <w:rFonts w:hint="eastAsia" w:ascii="宋体" w:hAnsi="宋体" w:cs="宋体"/>
          <w:b/>
          <w:color w:val="auto"/>
          <w:sz w:val="28"/>
          <w:szCs w:val="28"/>
          <w:highlight w:val="none"/>
        </w:rPr>
      </w:pPr>
    </w:p>
    <w:p w14:paraId="2BCB3AA5">
      <w:pPr>
        <w:jc w:val="center"/>
        <w:outlineLvl w:val="0"/>
        <w:rPr>
          <w:rFonts w:hint="eastAsia" w:ascii="宋体" w:hAnsi="宋体" w:cs="宋体"/>
          <w:color w:val="auto"/>
          <w:highlight w:val="none"/>
        </w:rPr>
      </w:pPr>
      <w:bookmarkStart w:id="36" w:name="_Toc8033"/>
      <w:r>
        <w:rPr>
          <w:rFonts w:hint="eastAsia" w:ascii="宋体" w:hAnsi="宋体" w:cs="宋体"/>
          <w:b/>
          <w:color w:val="auto"/>
          <w:sz w:val="28"/>
          <w:szCs w:val="28"/>
          <w:highlight w:val="none"/>
        </w:rPr>
        <w:t>附录2 资格审查条件（财务最低要求）</w:t>
      </w:r>
      <w:bookmarkEnd w:id="36"/>
    </w:p>
    <w:tbl>
      <w:tblPr>
        <w:tblStyle w:val="29"/>
        <w:tblW w:w="0" w:type="auto"/>
        <w:jc w:val="center"/>
        <w:tblLayout w:type="fixed"/>
        <w:tblCellMar>
          <w:top w:w="0" w:type="dxa"/>
          <w:left w:w="108" w:type="dxa"/>
          <w:bottom w:w="0" w:type="dxa"/>
          <w:right w:w="108" w:type="dxa"/>
        </w:tblCellMar>
      </w:tblPr>
      <w:tblGrid>
        <w:gridCol w:w="8760"/>
      </w:tblGrid>
      <w:tr w14:paraId="69F49006">
        <w:tblPrEx>
          <w:tblCellMar>
            <w:top w:w="0" w:type="dxa"/>
            <w:left w:w="108" w:type="dxa"/>
            <w:bottom w:w="0" w:type="dxa"/>
            <w:right w:w="108" w:type="dxa"/>
          </w:tblCellMar>
        </w:tblPrEx>
        <w:trPr>
          <w:trHeight w:val="985" w:hRule="atLeast"/>
          <w:jc w:val="center"/>
        </w:trPr>
        <w:tc>
          <w:tcPr>
            <w:tcW w:w="8760" w:type="dxa"/>
            <w:tcBorders>
              <w:top w:val="single" w:color="auto" w:sz="6" w:space="0"/>
              <w:left w:val="single" w:color="auto" w:sz="6" w:space="0"/>
              <w:bottom w:val="single" w:color="auto" w:sz="6" w:space="0"/>
              <w:right w:val="single" w:color="auto" w:sz="6" w:space="0"/>
            </w:tcBorders>
            <w:noWrap w:val="0"/>
            <w:vAlign w:val="center"/>
          </w:tcPr>
          <w:p w14:paraId="421F0674">
            <w:pPr>
              <w:pStyle w:val="22"/>
              <w:tabs>
                <w:tab w:val="right" w:leader="dot" w:pos="8495"/>
              </w:tabs>
              <w:jc w:val="center"/>
              <w:rPr>
                <w:rFonts w:hint="eastAsia" w:ascii="宋体" w:hAnsi="宋体" w:eastAsia="宋体" w:cs="宋体"/>
                <w:b w:val="0"/>
                <w:bCs w:val="0"/>
                <w:caps/>
                <w:color w:val="auto"/>
                <w:sz w:val="21"/>
                <w:szCs w:val="21"/>
                <w:highlight w:val="none"/>
              </w:rPr>
            </w:pPr>
            <w:r>
              <w:rPr>
                <w:rFonts w:hint="eastAsia" w:ascii="宋体" w:hAnsi="宋体" w:eastAsia="宋体" w:cs="宋体"/>
                <w:b/>
                <w:bCs/>
                <w:caps/>
                <w:color w:val="auto"/>
                <w:szCs w:val="24"/>
                <w:highlight w:val="none"/>
                <w:lang w:val="en-US" w:eastAsia="zh-CN"/>
              </w:rPr>
              <w:t>财 务 要 求</w:t>
            </w:r>
          </w:p>
        </w:tc>
      </w:tr>
      <w:tr w14:paraId="1E29ACF0">
        <w:tblPrEx>
          <w:tblCellMar>
            <w:top w:w="0" w:type="dxa"/>
            <w:left w:w="108" w:type="dxa"/>
            <w:bottom w:w="0" w:type="dxa"/>
            <w:right w:w="108" w:type="dxa"/>
          </w:tblCellMar>
        </w:tblPrEx>
        <w:trPr>
          <w:cantSplit/>
          <w:trHeight w:val="1128" w:hRule="atLeast"/>
          <w:jc w:val="center"/>
        </w:trPr>
        <w:tc>
          <w:tcPr>
            <w:tcW w:w="8760" w:type="dxa"/>
            <w:tcBorders>
              <w:top w:val="single" w:color="auto" w:sz="6" w:space="0"/>
              <w:left w:val="single" w:color="auto" w:sz="6" w:space="0"/>
              <w:bottom w:val="single" w:color="auto" w:sz="6" w:space="0"/>
              <w:right w:val="single" w:color="auto" w:sz="6" w:space="0"/>
            </w:tcBorders>
            <w:noWrap w:val="0"/>
            <w:vAlign w:val="top"/>
          </w:tcPr>
          <w:p w14:paraId="7024A10E">
            <w:pPr>
              <w:pStyle w:val="22"/>
              <w:tabs>
                <w:tab w:val="right" w:leader="dot" w:pos="8495"/>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财务运行状况良好，没有财务被接管、冻结、破产状态，提供企业近三年（2023年、2024年度、2025年度）经会计师事务所或审计机构审计的年度财务审计报告（公司成立不足三年的，从成立年份开始提供，新成立的企业无法提供财务审计报告的按实际情况提供银行资信证明即可）</w:t>
            </w:r>
            <w:r>
              <w:rPr>
                <w:rFonts w:hint="eastAsia" w:ascii="宋体" w:hAnsi="宋体" w:eastAsia="宋体" w:cs="宋体"/>
                <w:color w:val="auto"/>
                <w:sz w:val="21"/>
                <w:szCs w:val="21"/>
                <w:highlight w:val="none"/>
              </w:rPr>
              <w:t>。</w:t>
            </w:r>
          </w:p>
        </w:tc>
      </w:tr>
    </w:tbl>
    <w:p w14:paraId="559D79C0">
      <w:pPr>
        <w:jc w:val="center"/>
        <w:rPr>
          <w:rFonts w:hint="eastAsia" w:ascii="宋体" w:hAnsi="宋体" w:cs="宋体"/>
          <w:b/>
          <w:color w:val="auto"/>
          <w:sz w:val="28"/>
          <w:szCs w:val="28"/>
          <w:highlight w:val="none"/>
        </w:rPr>
      </w:pPr>
    </w:p>
    <w:p w14:paraId="7A8F96D2">
      <w:pPr>
        <w:jc w:val="center"/>
        <w:rPr>
          <w:rFonts w:hint="eastAsia" w:ascii="宋体" w:hAnsi="宋体" w:cs="宋体"/>
          <w:b/>
          <w:color w:val="auto"/>
          <w:sz w:val="28"/>
          <w:szCs w:val="28"/>
          <w:highlight w:val="none"/>
        </w:rPr>
      </w:pPr>
    </w:p>
    <w:p w14:paraId="271F9AC7">
      <w:pPr>
        <w:jc w:val="center"/>
        <w:outlineLvl w:val="0"/>
        <w:rPr>
          <w:rFonts w:hint="eastAsia" w:ascii="宋体" w:hAnsi="宋体" w:cs="宋体"/>
          <w:b/>
          <w:color w:val="auto"/>
          <w:sz w:val="28"/>
          <w:szCs w:val="28"/>
          <w:highlight w:val="none"/>
        </w:rPr>
      </w:pPr>
      <w:bookmarkStart w:id="37" w:name="_Toc30082"/>
      <w:r>
        <w:rPr>
          <w:rFonts w:hint="eastAsia" w:ascii="宋体" w:hAnsi="宋体" w:cs="宋体"/>
          <w:b/>
          <w:color w:val="auto"/>
          <w:sz w:val="28"/>
          <w:szCs w:val="28"/>
          <w:highlight w:val="none"/>
        </w:rPr>
        <w:t>附录3 资格审查条件（信誉最低要求）</w:t>
      </w:r>
      <w:bookmarkEnd w:id="37"/>
    </w:p>
    <w:tbl>
      <w:tblPr>
        <w:tblStyle w:val="29"/>
        <w:tblW w:w="0" w:type="auto"/>
        <w:jc w:val="center"/>
        <w:tblLayout w:type="fixed"/>
        <w:tblCellMar>
          <w:top w:w="0" w:type="dxa"/>
          <w:left w:w="108" w:type="dxa"/>
          <w:bottom w:w="0" w:type="dxa"/>
          <w:right w:w="108" w:type="dxa"/>
        </w:tblCellMar>
      </w:tblPr>
      <w:tblGrid>
        <w:gridCol w:w="9000"/>
      </w:tblGrid>
      <w:tr w14:paraId="77A49716">
        <w:tblPrEx>
          <w:tblCellMar>
            <w:top w:w="0" w:type="dxa"/>
            <w:left w:w="108" w:type="dxa"/>
            <w:bottom w:w="0" w:type="dxa"/>
            <w:right w:w="108" w:type="dxa"/>
          </w:tblCellMar>
        </w:tblPrEx>
        <w:trPr>
          <w:trHeight w:val="774" w:hRule="atLeast"/>
          <w:jc w:val="center"/>
        </w:trPr>
        <w:tc>
          <w:tcPr>
            <w:tcW w:w="9000" w:type="dxa"/>
            <w:tcBorders>
              <w:top w:val="single" w:color="auto" w:sz="6" w:space="0"/>
              <w:left w:val="single" w:color="auto" w:sz="6" w:space="0"/>
              <w:bottom w:val="single" w:color="auto" w:sz="6" w:space="0"/>
              <w:right w:val="single" w:color="auto" w:sz="6" w:space="0"/>
            </w:tcBorders>
            <w:noWrap w:val="0"/>
            <w:vAlign w:val="center"/>
          </w:tcPr>
          <w:p w14:paraId="71574AA7">
            <w:pPr>
              <w:pStyle w:val="22"/>
              <w:tabs>
                <w:tab w:val="right" w:leader="dot" w:pos="8495"/>
              </w:tabs>
              <w:jc w:val="center"/>
              <w:rPr>
                <w:rFonts w:hint="eastAsia" w:ascii="宋体" w:hAnsi="宋体" w:eastAsia="宋体" w:cs="宋体"/>
                <w:b w:val="0"/>
                <w:bCs w:val="0"/>
                <w:caps/>
                <w:color w:val="auto"/>
                <w:sz w:val="21"/>
                <w:szCs w:val="21"/>
                <w:highlight w:val="none"/>
              </w:rPr>
            </w:pPr>
            <w:r>
              <w:rPr>
                <w:rFonts w:hint="eastAsia" w:ascii="宋体" w:hAnsi="宋体" w:eastAsia="宋体" w:cs="宋体"/>
                <w:b/>
                <w:bCs/>
                <w:caps/>
                <w:color w:val="auto"/>
                <w:szCs w:val="24"/>
                <w:highlight w:val="none"/>
                <w:lang w:val="en-US" w:eastAsia="zh-CN"/>
              </w:rPr>
              <w:t>信 誉 要 求</w:t>
            </w:r>
          </w:p>
        </w:tc>
      </w:tr>
      <w:tr w14:paraId="7DDF0A9D">
        <w:tblPrEx>
          <w:tblCellMar>
            <w:top w:w="0" w:type="dxa"/>
            <w:left w:w="108" w:type="dxa"/>
            <w:bottom w:w="0" w:type="dxa"/>
            <w:right w:w="108" w:type="dxa"/>
          </w:tblCellMar>
        </w:tblPrEx>
        <w:trPr>
          <w:cantSplit/>
          <w:trHeight w:val="1710" w:hRule="atLeast"/>
          <w:jc w:val="center"/>
        </w:trPr>
        <w:tc>
          <w:tcPr>
            <w:tcW w:w="9000" w:type="dxa"/>
            <w:tcBorders>
              <w:top w:val="single" w:color="auto" w:sz="6" w:space="0"/>
              <w:left w:val="single" w:color="auto" w:sz="6" w:space="0"/>
              <w:bottom w:val="single" w:color="auto" w:sz="6" w:space="0"/>
              <w:right w:val="single" w:color="auto" w:sz="6" w:space="0"/>
            </w:tcBorders>
            <w:noWrap w:val="0"/>
            <w:vAlign w:val="top"/>
          </w:tcPr>
          <w:p w14:paraId="50C6ADB2">
            <w:pPr>
              <w:pStyle w:val="22"/>
              <w:tabs>
                <w:tab w:val="right" w:leader="dot" w:pos="8495"/>
              </w:tabs>
              <w:jc w:val="left"/>
              <w:rPr>
                <w:rFonts w:hint="eastAsia" w:ascii="宋体" w:hAnsi="宋体" w:eastAsia="宋体" w:cs="宋体"/>
                <w:bCs w:val="0"/>
                <w:caps/>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投标人须提供国家企业信用信息公示系统（www.gsxt.gov.cn）的“严重违法失信名单”，“信用中国”（www.creditchina.gov.cn）或“中国执行信息公开网”（zxgk.court.gov.cn）的“失信被执行人名单”、“重大税收违法失信主体名单”，“中国政府采购网”（www.ccgp.gov.cn）的“政府采购严重违法失信行为名单”查询网页截图，若有不良记录投标无效（查询日期为招标公告发布日期之后）。</w:t>
            </w:r>
          </w:p>
        </w:tc>
      </w:tr>
    </w:tbl>
    <w:p w14:paraId="0CDEADF1">
      <w:pPr>
        <w:jc w:val="both"/>
        <w:rPr>
          <w:rFonts w:hint="eastAsia" w:ascii="宋体" w:hAnsi="宋体" w:cs="宋体"/>
          <w:b/>
          <w:color w:val="auto"/>
          <w:sz w:val="28"/>
          <w:szCs w:val="28"/>
          <w:highlight w:val="none"/>
        </w:rPr>
      </w:pPr>
    </w:p>
    <w:p w14:paraId="494C0E56">
      <w:pPr>
        <w:pStyle w:val="10"/>
        <w:rPr>
          <w:rFonts w:hint="eastAsia" w:ascii="宋体" w:hAnsi="宋体" w:cs="宋体"/>
          <w:b/>
          <w:color w:val="auto"/>
          <w:sz w:val="28"/>
          <w:szCs w:val="28"/>
          <w:highlight w:val="none"/>
        </w:rPr>
      </w:pPr>
    </w:p>
    <w:p w14:paraId="07D7EBD4">
      <w:pPr>
        <w:pStyle w:val="11"/>
        <w:rPr>
          <w:rFonts w:hint="eastAsia" w:ascii="宋体" w:hAnsi="宋体" w:cs="宋体"/>
          <w:b/>
          <w:color w:val="auto"/>
          <w:sz w:val="28"/>
          <w:szCs w:val="28"/>
          <w:highlight w:val="none"/>
        </w:rPr>
      </w:pPr>
    </w:p>
    <w:p w14:paraId="0F8A8386">
      <w:pPr>
        <w:pStyle w:val="14"/>
        <w:rPr>
          <w:rFonts w:hint="eastAsia" w:ascii="宋体" w:hAnsi="宋体" w:cs="宋体"/>
          <w:b/>
          <w:color w:val="auto"/>
          <w:sz w:val="28"/>
          <w:szCs w:val="28"/>
          <w:highlight w:val="none"/>
        </w:rPr>
      </w:pPr>
    </w:p>
    <w:p w14:paraId="54DAE817">
      <w:pPr>
        <w:rPr>
          <w:rFonts w:hint="eastAsia" w:ascii="宋体" w:hAnsi="宋体" w:cs="宋体"/>
          <w:b/>
          <w:color w:val="auto"/>
          <w:sz w:val="28"/>
          <w:szCs w:val="28"/>
          <w:highlight w:val="none"/>
        </w:rPr>
      </w:pPr>
    </w:p>
    <w:p w14:paraId="39C464BC">
      <w:pPr>
        <w:rPr>
          <w:rFonts w:hint="eastAsia" w:ascii="宋体" w:hAnsi="宋体" w:cs="宋体"/>
          <w:b/>
          <w:color w:val="auto"/>
          <w:sz w:val="28"/>
          <w:szCs w:val="28"/>
          <w:highlight w:val="none"/>
        </w:rPr>
      </w:pPr>
    </w:p>
    <w:p w14:paraId="2CA78DAF">
      <w:pPr>
        <w:pStyle w:val="10"/>
        <w:rPr>
          <w:rFonts w:hint="eastAsia" w:ascii="宋体" w:hAnsi="宋体" w:cs="宋体"/>
          <w:b/>
          <w:color w:val="auto"/>
          <w:sz w:val="28"/>
          <w:szCs w:val="28"/>
          <w:highlight w:val="none"/>
        </w:rPr>
      </w:pPr>
    </w:p>
    <w:p w14:paraId="6B34BC76">
      <w:pPr>
        <w:pStyle w:val="11"/>
        <w:rPr>
          <w:rFonts w:hint="eastAsia"/>
        </w:rPr>
      </w:pPr>
    </w:p>
    <w:p w14:paraId="63FF3950">
      <w:pPr>
        <w:pStyle w:val="14"/>
        <w:rPr>
          <w:rFonts w:hint="eastAsia"/>
        </w:rPr>
      </w:pPr>
    </w:p>
    <w:p w14:paraId="31640F6D">
      <w:pPr>
        <w:jc w:val="center"/>
        <w:outlineLvl w:val="0"/>
        <w:rPr>
          <w:rFonts w:hint="eastAsia" w:ascii="宋体" w:hAnsi="宋体" w:cs="宋体"/>
          <w:b/>
          <w:color w:val="auto"/>
          <w:sz w:val="28"/>
          <w:szCs w:val="28"/>
          <w:highlight w:val="none"/>
        </w:rPr>
      </w:pPr>
      <w:bookmarkStart w:id="38" w:name="_Toc9309"/>
      <w:r>
        <w:rPr>
          <w:rFonts w:hint="eastAsia" w:ascii="宋体" w:hAnsi="宋体" w:cs="宋体"/>
          <w:b/>
          <w:color w:val="auto"/>
          <w:sz w:val="28"/>
          <w:szCs w:val="28"/>
          <w:highlight w:val="none"/>
        </w:rPr>
        <w:t>附录</w:t>
      </w:r>
      <w:r>
        <w:rPr>
          <w:rFonts w:hint="eastAsia" w:ascii="宋体" w:hAnsi="宋体" w:cs="宋体"/>
          <w:b/>
          <w:color w:val="auto"/>
          <w:sz w:val="28"/>
          <w:szCs w:val="28"/>
          <w:highlight w:val="none"/>
          <w:lang w:val="en-US" w:eastAsia="zh-CN"/>
        </w:rPr>
        <w:t>4</w:t>
      </w:r>
      <w:r>
        <w:rPr>
          <w:rFonts w:hint="eastAsia" w:ascii="宋体" w:hAnsi="宋体" w:cs="宋体"/>
          <w:b/>
          <w:color w:val="auto"/>
          <w:sz w:val="28"/>
          <w:szCs w:val="28"/>
          <w:highlight w:val="none"/>
        </w:rPr>
        <w:t xml:space="preserve"> 资格审查条件（</w:t>
      </w:r>
      <w:r>
        <w:rPr>
          <w:rFonts w:hint="eastAsia" w:ascii="宋体" w:hAnsi="宋体" w:cs="宋体"/>
          <w:b/>
          <w:color w:val="auto"/>
          <w:sz w:val="28"/>
          <w:szCs w:val="28"/>
          <w:highlight w:val="none"/>
          <w:lang w:val="en-US" w:eastAsia="zh-CN"/>
        </w:rPr>
        <w:t>其他</w:t>
      </w:r>
      <w:r>
        <w:rPr>
          <w:rFonts w:hint="eastAsia" w:ascii="宋体" w:hAnsi="宋体" w:cs="宋体"/>
          <w:b/>
          <w:color w:val="auto"/>
          <w:sz w:val="28"/>
          <w:szCs w:val="28"/>
          <w:highlight w:val="none"/>
        </w:rPr>
        <w:t>最低要求）</w:t>
      </w:r>
      <w:bookmarkEnd w:id="38"/>
    </w:p>
    <w:tbl>
      <w:tblPr>
        <w:tblStyle w:val="29"/>
        <w:tblW w:w="0" w:type="auto"/>
        <w:jc w:val="center"/>
        <w:tblLayout w:type="fixed"/>
        <w:tblCellMar>
          <w:top w:w="0" w:type="dxa"/>
          <w:left w:w="108" w:type="dxa"/>
          <w:bottom w:w="0" w:type="dxa"/>
          <w:right w:w="108" w:type="dxa"/>
        </w:tblCellMar>
      </w:tblPr>
      <w:tblGrid>
        <w:gridCol w:w="8980"/>
      </w:tblGrid>
      <w:tr w14:paraId="02DA80C2">
        <w:tblPrEx>
          <w:tblCellMar>
            <w:top w:w="0" w:type="dxa"/>
            <w:left w:w="108" w:type="dxa"/>
            <w:bottom w:w="0" w:type="dxa"/>
            <w:right w:w="108" w:type="dxa"/>
          </w:tblCellMar>
        </w:tblPrEx>
        <w:trPr>
          <w:trHeight w:val="501" w:hRule="atLeast"/>
          <w:jc w:val="center"/>
        </w:trPr>
        <w:tc>
          <w:tcPr>
            <w:tcW w:w="8980" w:type="dxa"/>
            <w:tcBorders>
              <w:top w:val="single" w:color="auto" w:sz="6" w:space="0"/>
              <w:left w:val="single" w:color="auto" w:sz="6" w:space="0"/>
              <w:bottom w:val="single" w:color="auto" w:sz="6" w:space="0"/>
              <w:right w:val="single" w:color="auto" w:sz="6" w:space="0"/>
            </w:tcBorders>
            <w:noWrap w:val="0"/>
            <w:vAlign w:val="center"/>
          </w:tcPr>
          <w:p w14:paraId="3EE362BB">
            <w:pPr>
              <w:pStyle w:val="22"/>
              <w:tabs>
                <w:tab w:val="right" w:leader="dot" w:pos="8495"/>
              </w:tabs>
              <w:jc w:val="center"/>
              <w:rPr>
                <w:rFonts w:hint="default" w:ascii="宋体" w:hAnsi="宋体" w:eastAsia="宋体" w:cs="宋体"/>
                <w:b w:val="0"/>
                <w:bCs w:val="0"/>
                <w:caps/>
                <w:color w:val="auto"/>
                <w:sz w:val="21"/>
                <w:szCs w:val="21"/>
                <w:highlight w:val="none"/>
                <w:lang w:val="en-US" w:eastAsia="zh-CN"/>
              </w:rPr>
            </w:pPr>
            <w:r>
              <w:rPr>
                <w:rFonts w:hint="eastAsia" w:ascii="宋体" w:hAnsi="宋体" w:eastAsia="宋体" w:cs="宋体"/>
                <w:b/>
                <w:bCs/>
                <w:caps/>
                <w:color w:val="auto"/>
                <w:szCs w:val="24"/>
                <w:highlight w:val="none"/>
                <w:lang w:val="en-US" w:eastAsia="zh-CN"/>
              </w:rPr>
              <w:t>其他要求</w:t>
            </w:r>
          </w:p>
        </w:tc>
      </w:tr>
      <w:tr w14:paraId="046B5796">
        <w:tblPrEx>
          <w:tblCellMar>
            <w:top w:w="0" w:type="dxa"/>
            <w:left w:w="108" w:type="dxa"/>
            <w:bottom w:w="0" w:type="dxa"/>
            <w:right w:w="108" w:type="dxa"/>
          </w:tblCellMar>
        </w:tblPrEx>
        <w:trPr>
          <w:cantSplit/>
          <w:trHeight w:val="3617" w:hRule="atLeast"/>
          <w:jc w:val="center"/>
        </w:trPr>
        <w:tc>
          <w:tcPr>
            <w:tcW w:w="8980" w:type="dxa"/>
            <w:tcBorders>
              <w:top w:val="single" w:color="auto" w:sz="6" w:space="0"/>
              <w:left w:val="single" w:color="auto" w:sz="6" w:space="0"/>
              <w:bottom w:val="single" w:color="auto" w:sz="6" w:space="0"/>
              <w:right w:val="single" w:color="auto" w:sz="6" w:space="0"/>
            </w:tcBorders>
            <w:noWrap w:val="0"/>
            <w:vAlign w:val="top"/>
          </w:tcPr>
          <w:p w14:paraId="463993D9">
            <w:pPr>
              <w:pStyle w:val="22"/>
              <w:numPr>
                <w:ilvl w:val="0"/>
                <w:numId w:val="0"/>
              </w:numPr>
              <w:tabs>
                <w:tab w:val="right" w:leader="dot" w:pos="8495"/>
              </w:tabs>
              <w:jc w:val="left"/>
              <w:rPr>
                <w:rFonts w:hint="eastAsia" w:ascii="宋体" w:hAnsi="宋体" w:eastAsia="宋体" w:cs="宋体"/>
                <w:bCs w:val="0"/>
                <w:caps/>
                <w:color w:val="auto"/>
                <w:sz w:val="21"/>
                <w:szCs w:val="21"/>
                <w:highlight w:val="none"/>
                <w:lang w:eastAsia="zh-CN"/>
              </w:rPr>
            </w:pPr>
            <w:r>
              <w:rPr>
                <w:rFonts w:hint="eastAsia" w:ascii="宋体" w:hAnsi="宋体" w:eastAsia="宋体" w:cs="宋体"/>
                <w:color w:val="auto"/>
                <w:sz w:val="21"/>
                <w:szCs w:val="21"/>
                <w:highlight w:val="none"/>
                <w:lang w:val="en-US" w:eastAsia="zh-CN"/>
              </w:rPr>
              <w:t>（1）企业近三年没有处于被责令停产、停业或者投标资格被取消，没有骗取中标或者没有重大违约及重大工程质量、拖欠农民工工资、安全生产事故等问题；（2）企业近三年内没有被建设、公路、水利、土地等有关行政部门及相关监督部门通报有不良行为记录；（3）投标人从中标到施工过程中如被发现有挂靠行为的，将没收保证金及履约保证金，并终止合同清退出场，因合同无效给建设方造成经济损失的，应当由被挂靠企业来承担；（4）单位负责人为同一人或者存在控股、管理关系的不同单位，不得参加同一标段投标或者未划分标段的同一招标项目投标；（5）企业近三年无因投标申请人违约或不恰当履约引起的合同中止、纠纷、争议、仲裁和诉讼记录，所承接的工程无重大质量事故，没有处于投标禁入期内（投标人应自拟承诺，格式自拟，加盖单位公章）。</w:t>
            </w:r>
          </w:p>
        </w:tc>
      </w:tr>
    </w:tbl>
    <w:p w14:paraId="50C720DD">
      <w:pPr>
        <w:jc w:val="both"/>
        <w:rPr>
          <w:rFonts w:hint="eastAsia" w:ascii="宋体" w:hAnsi="宋体" w:cs="宋体"/>
          <w:b/>
          <w:color w:val="auto"/>
          <w:sz w:val="28"/>
          <w:szCs w:val="28"/>
          <w:highlight w:val="none"/>
        </w:rPr>
      </w:pPr>
    </w:p>
    <w:p w14:paraId="3A746B6A">
      <w:pPr>
        <w:jc w:val="center"/>
        <w:outlineLvl w:val="0"/>
        <w:rPr>
          <w:rFonts w:hint="eastAsia" w:ascii="宋体" w:hAnsi="宋体" w:cs="宋体"/>
          <w:color w:val="auto"/>
          <w:highlight w:val="none"/>
        </w:rPr>
      </w:pPr>
      <w:bookmarkStart w:id="39" w:name="_Toc11014"/>
      <w:r>
        <w:rPr>
          <w:rFonts w:hint="eastAsia" w:ascii="宋体" w:hAnsi="宋体" w:cs="宋体"/>
          <w:b/>
          <w:color w:val="auto"/>
          <w:sz w:val="28"/>
          <w:szCs w:val="28"/>
          <w:highlight w:val="none"/>
        </w:rPr>
        <w:t>附录</w:t>
      </w:r>
      <w:r>
        <w:rPr>
          <w:rFonts w:hint="eastAsia" w:ascii="宋体" w:hAnsi="宋体" w:cs="宋体"/>
          <w:b/>
          <w:color w:val="auto"/>
          <w:sz w:val="28"/>
          <w:szCs w:val="28"/>
          <w:highlight w:val="none"/>
          <w:lang w:val="en-US" w:eastAsia="zh-CN"/>
        </w:rPr>
        <w:t>5</w:t>
      </w:r>
      <w:r>
        <w:rPr>
          <w:rFonts w:hint="eastAsia" w:ascii="宋体" w:hAnsi="宋体" w:cs="宋体"/>
          <w:b/>
          <w:color w:val="auto"/>
          <w:sz w:val="28"/>
          <w:szCs w:val="28"/>
          <w:highlight w:val="none"/>
        </w:rPr>
        <w:t xml:space="preserve"> 资格审查条件（项目经理和项目总工最低要求）</w:t>
      </w:r>
      <w:bookmarkEnd w:id="39"/>
    </w:p>
    <w:tbl>
      <w:tblPr>
        <w:tblStyle w:val="29"/>
        <w:tblW w:w="8789" w:type="dxa"/>
        <w:jc w:val="center"/>
        <w:tblLayout w:type="fixed"/>
        <w:tblCellMar>
          <w:top w:w="0" w:type="dxa"/>
          <w:left w:w="108" w:type="dxa"/>
          <w:bottom w:w="0" w:type="dxa"/>
          <w:right w:w="108" w:type="dxa"/>
        </w:tblCellMar>
      </w:tblPr>
      <w:tblGrid>
        <w:gridCol w:w="1277"/>
        <w:gridCol w:w="712"/>
        <w:gridCol w:w="3398"/>
        <w:gridCol w:w="3402"/>
      </w:tblGrid>
      <w:tr w14:paraId="0C0D36C8">
        <w:tblPrEx>
          <w:tblCellMar>
            <w:top w:w="0" w:type="dxa"/>
            <w:left w:w="108" w:type="dxa"/>
            <w:bottom w:w="0" w:type="dxa"/>
            <w:right w:w="108" w:type="dxa"/>
          </w:tblCellMar>
        </w:tblPrEx>
        <w:trPr>
          <w:trHeight w:val="1612" w:hRule="atLeast"/>
          <w:jc w:val="center"/>
        </w:trPr>
        <w:tc>
          <w:tcPr>
            <w:tcW w:w="1277" w:type="dxa"/>
            <w:tcBorders>
              <w:top w:val="single" w:color="auto" w:sz="6" w:space="0"/>
              <w:left w:val="single" w:color="auto" w:sz="6" w:space="0"/>
              <w:bottom w:val="single" w:color="auto" w:sz="6" w:space="0"/>
              <w:right w:val="single" w:color="auto" w:sz="6" w:space="0"/>
            </w:tcBorders>
            <w:noWrap w:val="0"/>
            <w:vAlign w:val="center"/>
          </w:tcPr>
          <w:p w14:paraId="76336EBF">
            <w:pPr>
              <w:jc w:val="center"/>
              <w:rPr>
                <w:rFonts w:hint="eastAsia" w:ascii="宋体" w:hAnsi="宋体" w:cs="宋体"/>
                <w:b w:val="0"/>
                <w:bCs w:val="0"/>
                <w:color w:val="auto"/>
                <w:sz w:val="24"/>
                <w:szCs w:val="21"/>
                <w:highlight w:val="none"/>
              </w:rPr>
            </w:pPr>
          </w:p>
          <w:p w14:paraId="422429ED">
            <w:pPr>
              <w:pStyle w:val="34"/>
              <w:rPr>
                <w:rFonts w:hint="eastAsia" w:hAnsi="宋体"/>
                <w:b w:val="0"/>
                <w:bCs w:val="0"/>
                <w:color w:val="auto"/>
                <w:sz w:val="24"/>
                <w:szCs w:val="24"/>
                <w:highlight w:val="none"/>
              </w:rPr>
            </w:pPr>
            <w:r>
              <w:rPr>
                <w:rFonts w:hint="eastAsia" w:hAnsi="宋体"/>
                <w:b w:val="0"/>
                <w:bCs w:val="0"/>
                <w:color w:val="auto"/>
                <w:sz w:val="24"/>
                <w:szCs w:val="24"/>
                <w:highlight w:val="none"/>
              </w:rPr>
              <w:t>拟任职务</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6BEBC0C6">
            <w:pPr>
              <w:jc w:val="center"/>
              <w:rPr>
                <w:rFonts w:hint="eastAsia" w:ascii="宋体" w:hAnsi="宋体" w:cs="宋体"/>
                <w:b w:val="0"/>
                <w:bCs w:val="0"/>
                <w:color w:val="auto"/>
                <w:spacing w:val="-1"/>
                <w:kern w:val="0"/>
                <w:sz w:val="24"/>
                <w:szCs w:val="21"/>
                <w:highlight w:val="none"/>
              </w:rPr>
            </w:pPr>
          </w:p>
          <w:p w14:paraId="2DFD1AA3">
            <w:pPr>
              <w:jc w:val="center"/>
              <w:rPr>
                <w:rFonts w:hint="eastAsia" w:ascii="宋体" w:hAnsi="宋体" w:cs="宋体"/>
                <w:b w:val="0"/>
                <w:bCs w:val="0"/>
                <w:color w:val="auto"/>
                <w:sz w:val="24"/>
                <w:szCs w:val="21"/>
                <w:highlight w:val="none"/>
              </w:rPr>
            </w:pPr>
            <w:r>
              <w:rPr>
                <w:rFonts w:hint="eastAsia" w:ascii="宋体" w:hAnsi="宋体" w:cs="宋体"/>
                <w:b w:val="0"/>
                <w:bCs w:val="0"/>
                <w:color w:val="auto"/>
                <w:spacing w:val="-1"/>
                <w:kern w:val="0"/>
                <w:sz w:val="24"/>
                <w:szCs w:val="21"/>
                <w:highlight w:val="none"/>
              </w:rPr>
              <w:t>数</w:t>
            </w:r>
            <w:r>
              <w:rPr>
                <w:rFonts w:hint="eastAsia" w:ascii="宋体" w:hAnsi="宋体" w:cs="宋体"/>
                <w:b w:val="0"/>
                <w:bCs w:val="0"/>
                <w:color w:val="auto"/>
                <w:sz w:val="24"/>
                <w:szCs w:val="21"/>
                <w:highlight w:val="none"/>
              </w:rPr>
              <w:t>量</w:t>
            </w:r>
          </w:p>
        </w:tc>
        <w:tc>
          <w:tcPr>
            <w:tcW w:w="3398" w:type="dxa"/>
            <w:tcBorders>
              <w:top w:val="single" w:color="auto" w:sz="6" w:space="0"/>
              <w:left w:val="single" w:color="auto" w:sz="6" w:space="0"/>
              <w:bottom w:val="single" w:color="auto" w:sz="6" w:space="0"/>
              <w:right w:val="single" w:color="auto" w:sz="6" w:space="0"/>
            </w:tcBorders>
            <w:noWrap w:val="0"/>
            <w:vAlign w:val="center"/>
          </w:tcPr>
          <w:p w14:paraId="4485128B">
            <w:pPr>
              <w:ind w:left="-90"/>
              <w:jc w:val="center"/>
              <w:rPr>
                <w:rFonts w:hint="eastAsia" w:ascii="宋体" w:hAnsi="宋体" w:cs="宋体"/>
                <w:b w:val="0"/>
                <w:bCs w:val="0"/>
                <w:color w:val="auto"/>
                <w:spacing w:val="-1"/>
                <w:kern w:val="0"/>
                <w:sz w:val="24"/>
                <w:szCs w:val="21"/>
                <w:highlight w:val="none"/>
              </w:rPr>
            </w:pPr>
          </w:p>
          <w:p w14:paraId="0431FE6E">
            <w:pPr>
              <w:ind w:left="-90"/>
              <w:jc w:val="center"/>
              <w:rPr>
                <w:rFonts w:hint="eastAsia" w:ascii="宋体" w:hAnsi="宋体" w:cs="宋体"/>
                <w:b w:val="0"/>
                <w:bCs w:val="0"/>
                <w:color w:val="auto"/>
                <w:spacing w:val="-1"/>
                <w:kern w:val="0"/>
                <w:sz w:val="24"/>
                <w:szCs w:val="21"/>
                <w:highlight w:val="none"/>
              </w:rPr>
            </w:pPr>
            <w:r>
              <w:rPr>
                <w:rFonts w:hint="eastAsia" w:ascii="宋体" w:hAnsi="宋体" w:cs="宋体"/>
                <w:b w:val="0"/>
                <w:bCs w:val="0"/>
                <w:color w:val="auto"/>
                <w:spacing w:val="-1"/>
                <w:kern w:val="0"/>
                <w:sz w:val="24"/>
                <w:szCs w:val="21"/>
                <w:highlight w:val="none"/>
              </w:rPr>
              <w:t>资 格 要 求</w:t>
            </w:r>
          </w:p>
        </w:tc>
        <w:tc>
          <w:tcPr>
            <w:tcW w:w="3402" w:type="dxa"/>
            <w:tcBorders>
              <w:top w:val="single" w:color="auto" w:sz="6" w:space="0"/>
              <w:left w:val="single" w:color="auto" w:sz="6" w:space="0"/>
              <w:bottom w:val="single" w:color="auto" w:sz="6" w:space="0"/>
              <w:right w:val="single" w:color="auto" w:sz="6" w:space="0"/>
            </w:tcBorders>
            <w:noWrap w:val="0"/>
            <w:vAlign w:val="center"/>
          </w:tcPr>
          <w:p w14:paraId="24F470CF">
            <w:pPr>
              <w:ind w:left="-90"/>
              <w:jc w:val="center"/>
              <w:rPr>
                <w:rFonts w:hint="eastAsia" w:ascii="宋体" w:hAnsi="宋体" w:cs="宋体"/>
                <w:b w:val="0"/>
                <w:bCs w:val="0"/>
                <w:color w:val="auto"/>
                <w:spacing w:val="-1"/>
                <w:kern w:val="0"/>
                <w:sz w:val="24"/>
                <w:szCs w:val="21"/>
                <w:highlight w:val="none"/>
              </w:rPr>
            </w:pPr>
            <w:r>
              <w:rPr>
                <w:rFonts w:hint="eastAsia" w:ascii="宋体" w:hAnsi="宋体" w:cs="宋体"/>
                <w:b w:val="0"/>
                <w:bCs w:val="0"/>
                <w:color w:val="auto"/>
                <w:spacing w:val="-1"/>
                <w:kern w:val="0"/>
                <w:sz w:val="24"/>
                <w:szCs w:val="21"/>
                <w:highlight w:val="none"/>
              </w:rPr>
              <w:t>在岗要求</w:t>
            </w:r>
          </w:p>
        </w:tc>
      </w:tr>
      <w:tr w14:paraId="716C8F67">
        <w:tblPrEx>
          <w:tblCellMar>
            <w:top w:w="0" w:type="dxa"/>
            <w:left w:w="108" w:type="dxa"/>
            <w:bottom w:w="0" w:type="dxa"/>
            <w:right w:w="108" w:type="dxa"/>
          </w:tblCellMar>
        </w:tblPrEx>
        <w:trPr>
          <w:trHeight w:val="2268" w:hRule="atLeast"/>
          <w:jc w:val="center"/>
        </w:trPr>
        <w:tc>
          <w:tcPr>
            <w:tcW w:w="1277" w:type="dxa"/>
            <w:tcBorders>
              <w:top w:val="single" w:color="auto" w:sz="6" w:space="0"/>
              <w:left w:val="single" w:color="auto" w:sz="6" w:space="0"/>
              <w:bottom w:val="single" w:color="auto" w:sz="6" w:space="0"/>
              <w:right w:val="single" w:color="auto" w:sz="6" w:space="0"/>
            </w:tcBorders>
            <w:noWrap w:val="0"/>
            <w:vAlign w:val="center"/>
          </w:tcPr>
          <w:p w14:paraId="3B077C70">
            <w:pPr>
              <w:spacing w:line="320" w:lineRule="exact"/>
              <w:jc w:val="center"/>
              <w:rPr>
                <w:rFonts w:hint="eastAsia" w:ascii="宋体" w:hAnsi="宋体" w:cs="宋体"/>
                <w:b w:val="0"/>
                <w:bCs w:val="0"/>
                <w:color w:val="auto"/>
                <w:sz w:val="24"/>
                <w:szCs w:val="21"/>
                <w:highlight w:val="none"/>
              </w:rPr>
            </w:pPr>
            <w:bookmarkStart w:id="40" w:name="_Hlk83334142"/>
            <w:r>
              <w:rPr>
                <w:rFonts w:hint="eastAsia" w:ascii="宋体" w:hAnsi="宋体" w:cs="宋体"/>
                <w:b w:val="0"/>
                <w:bCs w:val="0"/>
                <w:color w:val="auto"/>
                <w:sz w:val="24"/>
                <w:szCs w:val="21"/>
                <w:highlight w:val="none"/>
              </w:rPr>
              <w:t>项目经理</w:t>
            </w:r>
          </w:p>
        </w:tc>
        <w:tc>
          <w:tcPr>
            <w:tcW w:w="712" w:type="dxa"/>
            <w:tcBorders>
              <w:top w:val="single" w:color="auto" w:sz="6" w:space="0"/>
              <w:left w:val="single" w:color="auto" w:sz="6" w:space="0"/>
              <w:bottom w:val="single" w:color="auto" w:sz="6" w:space="0"/>
              <w:right w:val="single" w:color="auto" w:sz="6" w:space="0"/>
            </w:tcBorders>
            <w:noWrap w:val="0"/>
            <w:vAlign w:val="center"/>
          </w:tcPr>
          <w:p w14:paraId="435CE67C">
            <w:pPr>
              <w:spacing w:line="320" w:lineRule="exact"/>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w:t>
            </w:r>
          </w:p>
        </w:tc>
        <w:tc>
          <w:tcPr>
            <w:tcW w:w="3398" w:type="dxa"/>
            <w:tcBorders>
              <w:top w:val="single" w:color="auto" w:sz="6" w:space="0"/>
              <w:left w:val="single" w:color="auto" w:sz="6" w:space="0"/>
              <w:bottom w:val="single" w:color="auto" w:sz="4" w:space="0"/>
              <w:right w:val="single" w:color="auto" w:sz="6" w:space="0"/>
            </w:tcBorders>
            <w:noWrap w:val="0"/>
            <w:vAlign w:val="center"/>
          </w:tcPr>
          <w:p w14:paraId="00AE5C16">
            <w:pPr>
              <w:spacing w:line="320" w:lineRule="exact"/>
              <w:rPr>
                <w:rFonts w:hint="eastAsia" w:ascii="宋体" w:hAnsi="宋体" w:cs="宋体"/>
                <w:b/>
                <w:bCs/>
                <w:color w:val="auto"/>
                <w:highlight w:val="none"/>
              </w:rPr>
            </w:pPr>
            <w:r>
              <w:rPr>
                <w:rFonts w:hint="eastAsia" w:ascii="宋体" w:hAnsi="宋体" w:cs="宋体"/>
                <w:b/>
                <w:bCs/>
                <w:color w:val="auto"/>
                <w:szCs w:val="21"/>
                <w:highlight w:val="none"/>
                <w:lang w:val="en-US" w:eastAsia="zh-CN"/>
              </w:rPr>
              <w:t>拟派项目经理须具有公路工程专业贰级及以上注册建造师执业资格，且具备有效的安全生产考核合格证书。投标人应出具拟派项目经理无在建承诺书（格式自拟），并提供本单位劳动合同和近期社保缴纳证明</w:t>
            </w:r>
            <w:r>
              <w:rPr>
                <w:rFonts w:hint="eastAsia" w:ascii="宋体" w:hAnsi="宋体" w:cs="宋体"/>
                <w:b/>
                <w:bCs/>
                <w:color w:val="auto"/>
                <w:szCs w:val="21"/>
                <w:highlight w:val="none"/>
              </w:rPr>
              <w:t>。</w:t>
            </w:r>
          </w:p>
        </w:tc>
        <w:tc>
          <w:tcPr>
            <w:tcW w:w="3402" w:type="dxa"/>
            <w:vMerge w:val="restart"/>
            <w:tcBorders>
              <w:top w:val="single" w:color="auto" w:sz="6" w:space="0"/>
              <w:left w:val="single" w:color="auto" w:sz="6" w:space="0"/>
              <w:right w:val="single" w:color="auto" w:sz="6" w:space="0"/>
            </w:tcBorders>
            <w:noWrap w:val="0"/>
            <w:vAlign w:val="center"/>
          </w:tcPr>
          <w:p w14:paraId="2FEE0930">
            <w:pPr>
              <w:spacing w:line="320" w:lineRule="exac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无在岗项目（指目前未在其他项目上任职）</w:t>
            </w:r>
          </w:p>
          <w:p w14:paraId="49A1D376">
            <w:pPr>
              <w:spacing w:line="320" w:lineRule="exact"/>
              <w:rPr>
                <w:rFonts w:hint="eastAsia" w:ascii="宋体" w:hAnsi="宋体" w:cs="宋体"/>
                <w:b w:val="0"/>
                <w:bCs w:val="0"/>
                <w:color w:val="auto"/>
                <w:szCs w:val="21"/>
                <w:highlight w:val="none"/>
              </w:rPr>
            </w:pPr>
          </w:p>
        </w:tc>
      </w:tr>
      <w:bookmarkEnd w:id="40"/>
      <w:tr w14:paraId="077A2A85">
        <w:tblPrEx>
          <w:tblCellMar>
            <w:top w:w="0" w:type="dxa"/>
            <w:left w:w="108" w:type="dxa"/>
            <w:bottom w:w="0" w:type="dxa"/>
            <w:right w:w="108" w:type="dxa"/>
          </w:tblCellMar>
        </w:tblPrEx>
        <w:trPr>
          <w:trHeight w:val="2268" w:hRule="atLeast"/>
          <w:jc w:val="center"/>
        </w:trPr>
        <w:tc>
          <w:tcPr>
            <w:tcW w:w="1277" w:type="dxa"/>
            <w:tcBorders>
              <w:top w:val="single" w:color="auto" w:sz="6" w:space="0"/>
              <w:left w:val="single" w:color="auto" w:sz="6" w:space="0"/>
              <w:bottom w:val="single" w:color="auto" w:sz="4" w:space="0"/>
              <w:right w:val="single" w:color="auto" w:sz="6" w:space="0"/>
            </w:tcBorders>
            <w:noWrap w:val="0"/>
            <w:vAlign w:val="center"/>
          </w:tcPr>
          <w:p w14:paraId="6A32ED2B">
            <w:pPr>
              <w:spacing w:line="320" w:lineRule="exact"/>
              <w:jc w:val="center"/>
              <w:rPr>
                <w:rFonts w:hint="eastAsia" w:ascii="宋体" w:hAnsi="宋体" w:cs="宋体"/>
                <w:b w:val="0"/>
                <w:bCs w:val="0"/>
                <w:color w:val="auto"/>
                <w:sz w:val="24"/>
                <w:szCs w:val="21"/>
                <w:highlight w:val="none"/>
              </w:rPr>
            </w:pPr>
            <w:r>
              <w:rPr>
                <w:rFonts w:hint="eastAsia" w:ascii="宋体" w:hAnsi="宋体" w:cs="宋体"/>
                <w:b w:val="0"/>
                <w:bCs w:val="0"/>
                <w:color w:val="auto"/>
                <w:sz w:val="24"/>
                <w:szCs w:val="21"/>
                <w:highlight w:val="none"/>
              </w:rPr>
              <w:t>项目总工（技术负责人）</w:t>
            </w:r>
          </w:p>
        </w:tc>
        <w:tc>
          <w:tcPr>
            <w:tcW w:w="712" w:type="dxa"/>
            <w:tcBorders>
              <w:top w:val="single" w:color="auto" w:sz="6" w:space="0"/>
              <w:left w:val="single" w:color="auto" w:sz="6" w:space="0"/>
              <w:bottom w:val="single" w:color="auto" w:sz="4" w:space="0"/>
              <w:right w:val="single" w:color="auto" w:sz="6" w:space="0"/>
            </w:tcBorders>
            <w:noWrap w:val="0"/>
            <w:vAlign w:val="center"/>
          </w:tcPr>
          <w:p w14:paraId="0A0CDEEC">
            <w:pPr>
              <w:spacing w:line="320" w:lineRule="exact"/>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1</w:t>
            </w:r>
          </w:p>
        </w:tc>
        <w:tc>
          <w:tcPr>
            <w:tcW w:w="3398" w:type="dxa"/>
            <w:tcBorders>
              <w:top w:val="single" w:color="auto" w:sz="4" w:space="0"/>
              <w:left w:val="single" w:color="auto" w:sz="6" w:space="0"/>
              <w:bottom w:val="single" w:color="auto" w:sz="4" w:space="0"/>
              <w:right w:val="single" w:color="auto" w:sz="6" w:space="0"/>
            </w:tcBorders>
            <w:noWrap w:val="0"/>
            <w:vAlign w:val="center"/>
          </w:tcPr>
          <w:p w14:paraId="6BD93171">
            <w:pPr>
              <w:spacing w:line="320" w:lineRule="exact"/>
              <w:rPr>
                <w:rFonts w:hint="eastAsia" w:ascii="宋体" w:hAnsi="宋体" w:cs="宋体"/>
                <w:b/>
                <w:bCs/>
                <w:color w:val="auto"/>
                <w:szCs w:val="21"/>
                <w:highlight w:val="none"/>
              </w:rPr>
            </w:pPr>
            <w:r>
              <w:rPr>
                <w:rFonts w:hint="eastAsia" w:ascii="宋体" w:hAnsi="宋体" w:cs="宋体"/>
                <w:b/>
                <w:bCs/>
                <w:caps/>
                <w:color w:val="auto"/>
                <w:szCs w:val="21"/>
                <w:highlight w:val="none"/>
                <w:lang w:val="en-US" w:eastAsia="zh-CN"/>
              </w:rPr>
              <w:t>拟派项目总工须具有公路工程相关专业中级及以上技术职称证书，并提供本单位劳动合同和近期社保缴纳证明</w:t>
            </w:r>
            <w:r>
              <w:rPr>
                <w:rFonts w:hint="eastAsia" w:ascii="宋体" w:hAnsi="宋体" w:cs="宋体"/>
                <w:b/>
                <w:bCs/>
                <w:caps/>
                <w:color w:val="auto"/>
                <w:szCs w:val="21"/>
                <w:highlight w:val="none"/>
              </w:rPr>
              <w:t>。</w:t>
            </w:r>
          </w:p>
        </w:tc>
        <w:tc>
          <w:tcPr>
            <w:tcW w:w="3402" w:type="dxa"/>
            <w:vMerge w:val="continue"/>
            <w:tcBorders>
              <w:left w:val="single" w:color="auto" w:sz="6" w:space="0"/>
              <w:bottom w:val="single" w:color="auto" w:sz="4" w:space="0"/>
              <w:right w:val="single" w:color="auto" w:sz="6" w:space="0"/>
            </w:tcBorders>
            <w:noWrap w:val="0"/>
            <w:vAlign w:val="top"/>
          </w:tcPr>
          <w:p w14:paraId="268372BF">
            <w:pPr>
              <w:spacing w:line="320" w:lineRule="exact"/>
              <w:rPr>
                <w:rFonts w:hint="eastAsia" w:ascii="宋体" w:hAnsi="宋体" w:cs="宋体"/>
                <w:color w:val="auto"/>
                <w:sz w:val="24"/>
                <w:highlight w:val="none"/>
              </w:rPr>
            </w:pPr>
          </w:p>
        </w:tc>
      </w:tr>
    </w:tbl>
    <w:p w14:paraId="29CF618F">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 </w:t>
      </w:r>
      <w:bookmarkStart w:id="41" w:name="_Toc16778738"/>
      <w:bookmarkEnd w:id="41"/>
      <w:bookmarkStart w:id="42" w:name="_Toc25488"/>
      <w:bookmarkEnd w:id="42"/>
      <w:bookmarkStart w:id="43" w:name="_Toc9345"/>
      <w:bookmarkEnd w:id="43"/>
      <w:bookmarkStart w:id="44" w:name="_Toc11700"/>
    </w:p>
    <w:p w14:paraId="122583D8">
      <w:pPr>
        <w:pStyle w:val="10"/>
        <w:rPr>
          <w:rFonts w:hint="eastAsia" w:ascii="宋体" w:hAnsi="宋体"/>
          <w:color w:val="auto"/>
          <w:highlight w:val="none"/>
        </w:rPr>
      </w:pPr>
    </w:p>
    <w:p w14:paraId="1B27D1B0">
      <w:pPr>
        <w:pStyle w:val="11"/>
        <w:rPr>
          <w:rFonts w:hint="eastAsia" w:ascii="宋体" w:hAnsi="宋体"/>
          <w:color w:val="auto"/>
          <w:highlight w:val="none"/>
        </w:rPr>
      </w:pPr>
    </w:p>
    <w:p w14:paraId="57E01371">
      <w:pPr>
        <w:pStyle w:val="14"/>
        <w:rPr>
          <w:rFonts w:hint="eastAsia"/>
        </w:rPr>
      </w:pPr>
    </w:p>
    <w:p w14:paraId="57D867E6">
      <w:pPr>
        <w:pStyle w:val="35"/>
        <w:spacing w:line="360" w:lineRule="auto"/>
        <w:ind w:left="0" w:leftChars="0" w:firstLine="0" w:firstLineChars="0"/>
        <w:outlineLvl w:val="0"/>
        <w:rPr>
          <w:rFonts w:ascii="宋体" w:hAnsi="宋体" w:eastAsia="宋体"/>
          <w:b/>
          <w:color w:val="auto"/>
          <w:sz w:val="21"/>
          <w:szCs w:val="21"/>
          <w:highlight w:val="none"/>
        </w:rPr>
      </w:pPr>
      <w:bookmarkStart w:id="45" w:name="_Toc10383"/>
      <w:r>
        <w:rPr>
          <w:rFonts w:hint="eastAsia" w:ascii="宋体" w:hAnsi="宋体" w:eastAsia="宋体"/>
          <w:b/>
          <w:color w:val="auto"/>
          <w:sz w:val="21"/>
          <w:szCs w:val="21"/>
          <w:highlight w:val="none"/>
        </w:rPr>
        <w:t>1. 总则</w:t>
      </w:r>
      <w:bookmarkEnd w:id="44"/>
      <w:bookmarkEnd w:id="45"/>
    </w:p>
    <w:p w14:paraId="21336AE8">
      <w:pPr>
        <w:pStyle w:val="36"/>
        <w:spacing w:line="360" w:lineRule="auto"/>
        <w:ind w:left="0" w:leftChars="0" w:firstLine="0" w:firstLineChars="0"/>
        <w:outlineLvl w:val="1"/>
        <w:rPr>
          <w:rFonts w:ascii="宋体" w:hAnsi="宋体" w:eastAsia="宋体"/>
          <w:b/>
          <w:color w:val="auto"/>
          <w:sz w:val="21"/>
          <w:szCs w:val="21"/>
          <w:highlight w:val="none"/>
        </w:rPr>
      </w:pPr>
      <w:bookmarkStart w:id="46" w:name="_Toc152042306"/>
      <w:bookmarkEnd w:id="46"/>
      <w:bookmarkStart w:id="47" w:name="_Toc144974498"/>
      <w:bookmarkEnd w:id="47"/>
      <w:bookmarkStart w:id="48" w:name="_Toc152045530"/>
      <w:bookmarkEnd w:id="48"/>
      <w:bookmarkStart w:id="49" w:name="_Toc179632547"/>
      <w:bookmarkEnd w:id="49"/>
      <w:bookmarkStart w:id="50" w:name="_Toc102"/>
      <w:bookmarkEnd w:id="50"/>
      <w:bookmarkStart w:id="51" w:name="_Toc16778739"/>
      <w:bookmarkEnd w:id="51"/>
      <w:bookmarkStart w:id="52" w:name="_Toc2254"/>
      <w:bookmarkStart w:id="53" w:name="_Toc22999"/>
      <w:r>
        <w:rPr>
          <w:rFonts w:hint="eastAsia" w:ascii="宋体" w:hAnsi="宋体" w:eastAsia="宋体"/>
          <w:b/>
          <w:color w:val="auto"/>
          <w:sz w:val="21"/>
          <w:szCs w:val="21"/>
          <w:highlight w:val="none"/>
        </w:rPr>
        <w:t xml:space="preserve">1.1 </w:t>
      </w:r>
      <w:bookmarkEnd w:id="52"/>
      <w:r>
        <w:rPr>
          <w:rFonts w:hint="eastAsia" w:ascii="宋体" w:hAnsi="宋体" w:eastAsia="宋体"/>
          <w:b/>
          <w:color w:val="auto"/>
          <w:sz w:val="21"/>
          <w:szCs w:val="21"/>
          <w:highlight w:val="none"/>
        </w:rPr>
        <w:t>项目概况</w:t>
      </w:r>
      <w:bookmarkEnd w:id="53"/>
    </w:p>
    <w:p w14:paraId="4490529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1.1.1 根据《中华人民共和国招标投标法》《中华人民共和国招标投标法实施条例》《公路工程建设项目招标投标管理办法》等有关法律、法规和规章的规定，本招标项目己具备招标条件，现对本标段施工进行招标。</w:t>
      </w:r>
    </w:p>
    <w:p w14:paraId="310A85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1.1.2 本招标项目招标人：见投标人须知前附表。</w:t>
      </w:r>
    </w:p>
    <w:p w14:paraId="3794461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1.1.3 本标段招标代理机构：见投标人须知前附表。</w:t>
      </w:r>
    </w:p>
    <w:p w14:paraId="646F6F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1.1.4 本招标项目名称：见投标人须知前附表。</w:t>
      </w:r>
    </w:p>
    <w:p w14:paraId="52218BF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1.1.5 本标段建设地点：见投标人须知前附表。</w:t>
      </w:r>
    </w:p>
    <w:p w14:paraId="46AAD8FF">
      <w:pPr>
        <w:pStyle w:val="36"/>
        <w:spacing w:line="360" w:lineRule="auto"/>
        <w:ind w:left="0" w:leftChars="0" w:firstLine="0" w:firstLineChars="0"/>
        <w:outlineLvl w:val="1"/>
        <w:rPr>
          <w:rFonts w:ascii="宋体" w:hAnsi="宋体" w:eastAsia="宋体"/>
          <w:b/>
          <w:color w:val="auto"/>
          <w:sz w:val="21"/>
          <w:szCs w:val="21"/>
          <w:highlight w:val="none"/>
        </w:rPr>
      </w:pPr>
      <w:bookmarkStart w:id="54" w:name="_Toc152042307"/>
      <w:bookmarkEnd w:id="54"/>
      <w:bookmarkStart w:id="55" w:name="_Toc16302"/>
      <w:bookmarkEnd w:id="55"/>
      <w:bookmarkStart w:id="56" w:name="_Toc5695"/>
      <w:bookmarkEnd w:id="56"/>
      <w:bookmarkStart w:id="57" w:name="_Toc152045531"/>
      <w:bookmarkEnd w:id="57"/>
      <w:bookmarkStart w:id="58" w:name="_Toc16778740"/>
      <w:bookmarkEnd w:id="58"/>
      <w:bookmarkStart w:id="59" w:name="_Toc144974499"/>
      <w:bookmarkEnd w:id="59"/>
      <w:bookmarkStart w:id="60" w:name="_Toc179632548"/>
      <w:bookmarkStart w:id="61" w:name="_Toc27913"/>
      <w:r>
        <w:rPr>
          <w:rFonts w:hint="eastAsia" w:ascii="宋体" w:hAnsi="宋体" w:eastAsia="宋体"/>
          <w:b/>
          <w:color w:val="auto"/>
          <w:sz w:val="21"/>
          <w:szCs w:val="21"/>
          <w:highlight w:val="none"/>
        </w:rPr>
        <w:t>1.2 招标项目的资金来源和落实情况</w:t>
      </w:r>
      <w:bookmarkEnd w:id="60"/>
      <w:bookmarkEnd w:id="61"/>
    </w:p>
    <w:p w14:paraId="17523098">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1.2.1资金来源及比例：见投标人须知前附表。</w:t>
      </w:r>
    </w:p>
    <w:p w14:paraId="6181945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1.2.2资金落实情况：见投标人须知前附表。</w:t>
      </w:r>
    </w:p>
    <w:p w14:paraId="0B0EC26E">
      <w:pPr>
        <w:pStyle w:val="36"/>
        <w:spacing w:line="360" w:lineRule="auto"/>
        <w:ind w:left="0" w:leftChars="0" w:firstLine="0" w:firstLineChars="0"/>
        <w:outlineLvl w:val="1"/>
        <w:rPr>
          <w:rFonts w:ascii="宋体" w:hAnsi="宋体" w:eastAsia="宋体"/>
          <w:b/>
          <w:color w:val="auto"/>
          <w:sz w:val="21"/>
          <w:szCs w:val="21"/>
          <w:highlight w:val="none"/>
        </w:rPr>
      </w:pPr>
      <w:bookmarkStart w:id="62" w:name="_Toc152042308"/>
      <w:bookmarkEnd w:id="62"/>
      <w:bookmarkStart w:id="63" w:name="_Toc21270"/>
      <w:bookmarkEnd w:id="63"/>
      <w:bookmarkStart w:id="64" w:name="_Toc10616"/>
      <w:bookmarkEnd w:id="64"/>
      <w:bookmarkStart w:id="65" w:name="_Toc152045532"/>
      <w:bookmarkEnd w:id="65"/>
      <w:bookmarkStart w:id="66" w:name="_Toc144974500"/>
      <w:bookmarkEnd w:id="66"/>
      <w:bookmarkStart w:id="67" w:name="_Toc179632549"/>
      <w:bookmarkEnd w:id="67"/>
      <w:bookmarkStart w:id="68" w:name="_Toc16778741"/>
      <w:bookmarkStart w:id="69" w:name="_Toc4159"/>
      <w:r>
        <w:rPr>
          <w:rFonts w:hint="eastAsia" w:ascii="宋体" w:hAnsi="宋体" w:eastAsia="宋体"/>
          <w:b/>
          <w:color w:val="auto"/>
          <w:sz w:val="21"/>
          <w:szCs w:val="21"/>
          <w:highlight w:val="none"/>
        </w:rPr>
        <w:t>1.3 招标范围、计划工期和质量要求</w:t>
      </w:r>
      <w:bookmarkEnd w:id="68"/>
      <w:r>
        <w:rPr>
          <w:rFonts w:hint="eastAsia" w:ascii="宋体" w:hAnsi="宋体" w:eastAsia="宋体"/>
          <w:b/>
          <w:color w:val="auto"/>
          <w:sz w:val="21"/>
          <w:szCs w:val="21"/>
          <w:highlight w:val="none"/>
        </w:rPr>
        <w:t>和安全目标</w:t>
      </w:r>
      <w:bookmarkEnd w:id="69"/>
    </w:p>
    <w:p w14:paraId="23427C4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1.3.1招标范围：见投标人须知前附表。</w:t>
      </w:r>
    </w:p>
    <w:p w14:paraId="0039145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1.3.2 本标段的计划工期：见投标人须知前附表。</w:t>
      </w:r>
    </w:p>
    <w:p w14:paraId="174BCC8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1.3.3 本标段的质量要求：见投标人须知前附表。</w:t>
      </w:r>
    </w:p>
    <w:p w14:paraId="7B1E55D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1.3.4 本标段的安全目标：见投标人须知前附表。</w:t>
      </w:r>
    </w:p>
    <w:p w14:paraId="79733CB3">
      <w:pPr>
        <w:pStyle w:val="36"/>
        <w:spacing w:line="360" w:lineRule="auto"/>
        <w:ind w:left="0" w:leftChars="0" w:firstLine="0" w:firstLineChars="0"/>
        <w:outlineLvl w:val="1"/>
        <w:rPr>
          <w:rFonts w:ascii="宋体" w:hAnsi="宋体" w:eastAsia="宋体"/>
          <w:b/>
          <w:color w:val="auto"/>
          <w:sz w:val="21"/>
          <w:szCs w:val="21"/>
          <w:highlight w:val="none"/>
        </w:rPr>
      </w:pPr>
      <w:bookmarkStart w:id="70" w:name="_Toc152045533"/>
      <w:bookmarkEnd w:id="70"/>
      <w:bookmarkStart w:id="71" w:name="_Toc19470"/>
      <w:bookmarkEnd w:id="71"/>
      <w:bookmarkStart w:id="72" w:name="_Toc5916"/>
      <w:bookmarkEnd w:id="72"/>
      <w:bookmarkStart w:id="73" w:name="_Toc16778742"/>
      <w:bookmarkEnd w:id="73"/>
      <w:bookmarkStart w:id="74" w:name="_Toc179632550"/>
      <w:bookmarkEnd w:id="74"/>
      <w:bookmarkStart w:id="75" w:name="_Toc144974501"/>
      <w:bookmarkEnd w:id="75"/>
      <w:bookmarkStart w:id="76" w:name="_Toc23143"/>
      <w:bookmarkStart w:id="77" w:name="_Toc152042309"/>
      <w:r>
        <w:rPr>
          <w:rFonts w:hint="eastAsia" w:ascii="宋体" w:hAnsi="宋体" w:eastAsia="宋体"/>
          <w:b/>
          <w:color w:val="auto"/>
          <w:sz w:val="21"/>
          <w:szCs w:val="21"/>
          <w:highlight w:val="none"/>
        </w:rPr>
        <w:t>1.4 投标人资格要求</w:t>
      </w:r>
      <w:bookmarkEnd w:id="76"/>
      <w:bookmarkEnd w:id="77"/>
    </w:p>
    <w:p w14:paraId="335884C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1.4.1 投标人应具备承担本标段施工的资质条件、能力和信誉。</w:t>
      </w:r>
    </w:p>
    <w:p w14:paraId="2378090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（1）资质要求：见投标人须知前附表；</w:t>
      </w:r>
    </w:p>
    <w:p w14:paraId="0149AC70">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（2）财务要求：见投标人须知前附表；</w:t>
      </w:r>
    </w:p>
    <w:p w14:paraId="7A39296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（3）业绩要求：见投标人须知前附表；</w:t>
      </w:r>
    </w:p>
    <w:p w14:paraId="1CCD19C7">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（4）信誉要求：见投标人须知前附表；</w:t>
      </w:r>
    </w:p>
    <w:p w14:paraId="1A0BE91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（5）项目经理和项目总工资格：见投标人须知前附表；</w:t>
      </w:r>
    </w:p>
    <w:p w14:paraId="46A352B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（6）其他要求：见投标人须知前附表。</w:t>
      </w:r>
    </w:p>
    <w:p w14:paraId="37D6BE9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需要提交的相关证明材料见本章第3.5款的规定。</w:t>
      </w:r>
    </w:p>
    <w:p w14:paraId="39225789">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1.4.2投标人须知前附表规定接受联合体投标的，除应符合本章第1.4.1项和投标人须知前附表的要求外，还应遵守以下规定： </w:t>
      </w:r>
    </w:p>
    <w:p w14:paraId="1CC5566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（1）联合体各方应按招标文件提供的格式签订联合体协议书，明确联合体牵头人和各方权利义务；</w:t>
      </w:r>
    </w:p>
    <w:p w14:paraId="1ADBE22E">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（2）由同一专业的单位组成的联合体，按照资质等级较低的单位确定资质等级； </w:t>
      </w:r>
    </w:p>
    <w:p w14:paraId="3BC8E67B">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（3）联合体各方不得再以自己名义单独或参加其他联合体在同一标段中投标；</w:t>
      </w:r>
    </w:p>
    <w:p w14:paraId="3881EB4F">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 </w:t>
      </w:r>
    </w:p>
    <w:p w14:paraId="0CB37A9F">
      <w:pPr>
        <w:spacing w:line="360" w:lineRule="auto"/>
        <w:ind w:firstLine="420" w:firstLineChars="20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（5）尽管委任了联合体牵头人，但联合体各成员在投标、签订合同与履行合同过 程中，仍负有连带的和各自的法律责任</w:t>
      </w:r>
      <w:r>
        <w:rPr>
          <w:rFonts w:hint="eastAsia" w:ascii="宋体" w:hAnsi="宋体"/>
          <w:color w:val="auto"/>
          <w:sz w:val="21"/>
          <w:szCs w:val="21"/>
          <w:highlight w:val="none"/>
          <w:lang w:eastAsia="zh-CN"/>
        </w:rPr>
        <w:t>。</w:t>
      </w:r>
    </w:p>
    <w:p w14:paraId="0061608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1.4.3 投标人不得与本标段相关单位存在下列关联关系：</w:t>
      </w:r>
    </w:p>
    <w:p w14:paraId="0D40AEA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（1）为招标人不具有独立法人资格的附属机构（单位）；</w:t>
      </w:r>
    </w:p>
    <w:p w14:paraId="7B2AD5CB">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（2）与招标人存在利害关系且可能影响招标公正性；</w:t>
      </w:r>
    </w:p>
    <w:p w14:paraId="3BFA34D6">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（3）与本标段的其他投标人同为一个单位负责人；</w:t>
      </w:r>
    </w:p>
    <w:p w14:paraId="29373E8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（4）与本标段的其他投标人存在控股、管理关系；</w:t>
      </w:r>
    </w:p>
    <w:p w14:paraId="471C869B">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（5）为本标段前期准备提供设计或咨询服务的法人或其任何附属机构（单位）；</w:t>
      </w:r>
    </w:p>
    <w:p w14:paraId="5E0A1FC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（6）为本标段的监理人；</w:t>
      </w:r>
    </w:p>
    <w:p w14:paraId="68E5422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（7）为本标段的代建人；</w:t>
      </w:r>
    </w:p>
    <w:p w14:paraId="55AB570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（8）为本标段的招标代理机构；</w:t>
      </w:r>
    </w:p>
    <w:p w14:paraId="30D5567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（9）与本标段的监理人或代建人或招标代理机构同为一个法定代表人；</w:t>
      </w:r>
    </w:p>
    <w:p w14:paraId="423F495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（10）与本标段的监理人或代建人或招标代理机构存在控股或参股关系；</w:t>
      </w:r>
    </w:p>
    <w:p w14:paraId="750F406B">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（11）法律法规或投标人须知前附表规定的其他情形。</w:t>
      </w:r>
    </w:p>
    <w:p w14:paraId="581C5318">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1.4.4 投标人不得存在下列不良状况或不良信用记录：</w:t>
      </w:r>
    </w:p>
    <w:p w14:paraId="4BC5995A">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（1）被省级及以上交通运输主管部门取消招标项目所在地的投标资格且处于有效期内；</w:t>
      </w:r>
    </w:p>
    <w:p w14:paraId="1AEE2FF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（2）被责令停业，暂扣或吊销执照，或吊销资质证书；</w:t>
      </w:r>
    </w:p>
    <w:p w14:paraId="610E5BF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（3）进入清算程序，或被宣告破产，或其他丧失履约能力的情形；</w:t>
      </w:r>
    </w:p>
    <w:p w14:paraId="3853039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（4）在国家企业信用信息公示系统（http://www.gsxt.gov.cn/）中被列入严重违法失信企业名单；</w:t>
      </w:r>
    </w:p>
    <w:p w14:paraId="01D319B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（5）在</w:t>
      </w:r>
      <w:r>
        <w:rPr>
          <w:rFonts w:hint="eastAsia" w:ascii="宋体" w:hAnsi="宋体"/>
          <w:color w:val="auto"/>
          <w:sz w:val="21"/>
          <w:szCs w:val="21"/>
          <w:highlight w:val="none"/>
          <w:lang w:val="en-US" w:eastAsia="zh-CN"/>
        </w:rPr>
        <w:t>“信用中国”（www.creditchina.gov.cn）或“中国执行信息公开网”（zxgk.court.gov.cn）”</w:t>
      </w:r>
      <w:r>
        <w:rPr>
          <w:rFonts w:hint="eastAsia" w:ascii="宋体" w:hAnsi="宋体"/>
          <w:color w:val="auto"/>
          <w:sz w:val="21"/>
          <w:szCs w:val="21"/>
          <w:highlight w:val="none"/>
        </w:rPr>
        <w:t>中</w:t>
      </w:r>
      <w:r>
        <w:rPr>
          <w:rFonts w:hint="eastAsia" w:ascii="宋体" w:hAnsi="宋体"/>
          <w:color w:val="auto"/>
          <w:sz w:val="21"/>
          <w:szCs w:val="21"/>
          <w:highlight w:val="none"/>
          <w:lang w:eastAsia="zh-CN"/>
        </w:rPr>
        <w:t>被列入“</w:t>
      </w:r>
      <w:r>
        <w:rPr>
          <w:rFonts w:hint="eastAsia" w:ascii="宋体" w:hAnsi="宋体"/>
          <w:color w:val="auto"/>
          <w:sz w:val="21"/>
          <w:szCs w:val="21"/>
          <w:highlight w:val="none"/>
          <w:lang w:val="en-US" w:eastAsia="zh-CN"/>
        </w:rPr>
        <w:t>失信被执行人名单”、“重大税收违法失信主体名单的，在“中国政府采购网”（www.ccgp.gov.cn）”被列入“政府采购严重违法失信行为名单”的</w:t>
      </w:r>
      <w:r>
        <w:rPr>
          <w:rFonts w:hint="eastAsia" w:ascii="宋体" w:hAnsi="宋体"/>
          <w:color w:val="auto"/>
          <w:sz w:val="21"/>
          <w:szCs w:val="21"/>
          <w:highlight w:val="none"/>
          <w:lang w:eastAsia="zh-CN"/>
        </w:rPr>
        <w:t>；</w:t>
      </w:r>
    </w:p>
    <w:p w14:paraId="35867382">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（6）法律法规或投标人须知前附表规定的其他情形。</w:t>
      </w:r>
    </w:p>
    <w:p w14:paraId="64AC1214">
      <w:pPr>
        <w:pStyle w:val="36"/>
        <w:spacing w:line="360" w:lineRule="auto"/>
        <w:ind w:left="0" w:leftChars="0" w:firstLine="0" w:firstLineChars="0"/>
        <w:outlineLvl w:val="1"/>
        <w:rPr>
          <w:rFonts w:ascii="宋体" w:hAnsi="宋体" w:eastAsia="宋体"/>
          <w:b/>
          <w:color w:val="auto"/>
          <w:sz w:val="21"/>
          <w:szCs w:val="21"/>
          <w:highlight w:val="none"/>
        </w:rPr>
      </w:pPr>
      <w:bookmarkStart w:id="78" w:name="_Toc179632552"/>
      <w:bookmarkEnd w:id="78"/>
      <w:bookmarkStart w:id="79" w:name="_Toc14936"/>
      <w:bookmarkEnd w:id="79"/>
      <w:bookmarkStart w:id="80" w:name="_Toc152042311"/>
      <w:bookmarkEnd w:id="80"/>
      <w:bookmarkStart w:id="81" w:name="_Toc16778743"/>
      <w:bookmarkEnd w:id="81"/>
      <w:bookmarkStart w:id="82" w:name="_Toc25310"/>
      <w:bookmarkEnd w:id="82"/>
      <w:bookmarkStart w:id="83" w:name="_Toc152045535"/>
      <w:bookmarkEnd w:id="83"/>
      <w:bookmarkStart w:id="84" w:name="_Toc16898"/>
      <w:bookmarkStart w:id="85" w:name="_Toc144974503"/>
      <w:r>
        <w:rPr>
          <w:rFonts w:hint="eastAsia" w:ascii="宋体" w:hAnsi="宋体" w:eastAsia="宋体"/>
          <w:b/>
          <w:color w:val="auto"/>
          <w:sz w:val="21"/>
          <w:szCs w:val="21"/>
          <w:highlight w:val="none"/>
        </w:rPr>
        <w:t>1.5 费用承担</w:t>
      </w:r>
      <w:bookmarkEnd w:id="84"/>
      <w:bookmarkEnd w:id="85"/>
    </w:p>
    <w:p w14:paraId="26FDA86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投标人准备和参加投标活动发生的费用自理。</w:t>
      </w:r>
    </w:p>
    <w:p w14:paraId="224DFB28">
      <w:pPr>
        <w:pStyle w:val="36"/>
        <w:spacing w:line="360" w:lineRule="auto"/>
        <w:ind w:left="0" w:leftChars="0" w:firstLine="0" w:firstLineChars="0"/>
        <w:outlineLvl w:val="1"/>
        <w:rPr>
          <w:rFonts w:ascii="宋体" w:hAnsi="宋体" w:eastAsia="宋体"/>
          <w:b/>
          <w:color w:val="auto"/>
          <w:sz w:val="21"/>
          <w:szCs w:val="21"/>
          <w:highlight w:val="none"/>
        </w:rPr>
      </w:pPr>
      <w:bookmarkStart w:id="86" w:name="_Toc152042312"/>
      <w:bookmarkEnd w:id="86"/>
      <w:bookmarkStart w:id="87" w:name="_Toc152045536"/>
      <w:bookmarkEnd w:id="87"/>
      <w:bookmarkStart w:id="88" w:name="_Toc9705"/>
      <w:bookmarkEnd w:id="88"/>
      <w:bookmarkStart w:id="89" w:name="_Toc1897"/>
      <w:bookmarkEnd w:id="89"/>
      <w:bookmarkStart w:id="90" w:name="_Toc179632553"/>
      <w:bookmarkEnd w:id="90"/>
      <w:bookmarkStart w:id="91" w:name="_Toc144974504"/>
      <w:bookmarkEnd w:id="91"/>
      <w:bookmarkStart w:id="92" w:name="_Toc21673"/>
      <w:bookmarkStart w:id="93" w:name="_Toc16778744"/>
      <w:r>
        <w:rPr>
          <w:rFonts w:hint="eastAsia" w:ascii="宋体" w:hAnsi="宋体" w:eastAsia="宋体"/>
          <w:b/>
          <w:color w:val="auto"/>
          <w:sz w:val="21"/>
          <w:szCs w:val="21"/>
          <w:highlight w:val="none"/>
        </w:rPr>
        <w:t>1.6 保密</w:t>
      </w:r>
      <w:bookmarkEnd w:id="92"/>
      <w:bookmarkEnd w:id="93"/>
    </w:p>
    <w:p w14:paraId="3BF473C8">
      <w:pPr>
        <w:spacing w:line="360" w:lineRule="auto"/>
        <w:ind w:firstLine="420" w:firstLineChars="200"/>
        <w:rPr>
          <w:rFonts w:hint="default" w:ascii="宋体" w:hAnsi="宋体"/>
          <w:color w:val="000000" w:themeColor="text1"/>
          <w:sz w:val="21"/>
          <w:szCs w:val="21"/>
          <w:highlight w:val="none"/>
          <w:lang w:val="en-US"/>
          <w14:textFill>
            <w14:solidFill>
              <w14:schemeClr w14:val="tx1"/>
            </w14:solidFill>
          </w14:textFill>
        </w:rPr>
      </w:pPr>
      <w:r>
        <w:rPr>
          <w:rFonts w:hint="eastAsia" w:ascii="宋体" w:hAnsi="宋体"/>
          <w:color w:val="auto"/>
          <w:sz w:val="21"/>
          <w:szCs w:val="21"/>
          <w:highlight w:val="none"/>
        </w:rPr>
        <w:t>参与招标投标</w:t>
      </w:r>
      <w:r>
        <w:rPr>
          <w:rFonts w:hint="eastAsia" w:ascii="宋体" w:hAnsi="宋体"/>
          <w:color w:val="000000" w:themeColor="text1"/>
          <w:sz w:val="21"/>
          <w:szCs w:val="21"/>
          <w:highlight w:val="none"/>
          <w14:textFill>
            <w14:solidFill>
              <w14:schemeClr w14:val="tx1"/>
            </w14:solidFill>
          </w14:textFill>
        </w:rPr>
        <w:t>活动的各方应对招标文件和投标文件中的商业和技术等秘密保密，否则应承担相应的法律</w:t>
      </w:r>
      <w:r>
        <w:rPr>
          <w:rFonts w:hint="eastAsia" w:ascii="宋体" w:hAnsi="宋体"/>
          <w:color w:val="auto"/>
          <w:sz w:val="21"/>
          <w:szCs w:val="21"/>
          <w:highlight w:val="none"/>
        </w:rPr>
        <w:t>责任</w:t>
      </w:r>
      <w:r>
        <w:rPr>
          <w:rFonts w:hint="eastAsia" w:ascii="宋体" w:hAnsi="宋体" w:eastAsia="宋体" w:cs="Times New Roman"/>
          <w:color w:val="auto"/>
          <w:sz w:val="21"/>
          <w:szCs w:val="21"/>
          <w:highlight w:val="none"/>
          <w:lang w:eastAsia="zh-CN"/>
        </w:rPr>
        <w:t>。</w:t>
      </w:r>
    </w:p>
    <w:p w14:paraId="653B5E7C">
      <w:pPr>
        <w:pStyle w:val="36"/>
        <w:spacing w:line="360" w:lineRule="auto"/>
        <w:ind w:left="0" w:leftChars="0" w:firstLine="0" w:firstLineChars="0"/>
        <w:outlineLvl w:val="1"/>
        <w:rPr>
          <w:rFonts w:ascii="宋体" w:hAnsi="宋体" w:eastAsia="宋体"/>
          <w:b/>
          <w:color w:val="auto"/>
          <w:sz w:val="21"/>
          <w:szCs w:val="21"/>
          <w:highlight w:val="none"/>
        </w:rPr>
      </w:pPr>
      <w:bookmarkStart w:id="94" w:name="_Toc152045537"/>
      <w:bookmarkEnd w:id="94"/>
      <w:bookmarkStart w:id="95" w:name="_Toc152042313"/>
      <w:bookmarkEnd w:id="95"/>
      <w:bookmarkStart w:id="96" w:name="_Toc28868"/>
      <w:bookmarkEnd w:id="96"/>
      <w:bookmarkStart w:id="97" w:name="_Toc179632554"/>
      <w:bookmarkEnd w:id="97"/>
      <w:bookmarkStart w:id="98" w:name="_Toc14814"/>
      <w:bookmarkEnd w:id="98"/>
      <w:bookmarkStart w:id="99" w:name="_Toc16778745"/>
      <w:bookmarkEnd w:id="99"/>
      <w:bookmarkStart w:id="100" w:name="_Toc144974505"/>
      <w:bookmarkStart w:id="101" w:name="_Toc11585"/>
      <w:r>
        <w:rPr>
          <w:rFonts w:hint="eastAsia" w:ascii="宋体" w:hAnsi="宋体" w:eastAsia="宋体"/>
          <w:b/>
          <w:color w:val="auto"/>
          <w:sz w:val="21"/>
          <w:szCs w:val="21"/>
          <w:highlight w:val="none"/>
        </w:rPr>
        <w:t>1.7 语言</w:t>
      </w:r>
      <w:bookmarkEnd w:id="100"/>
      <w:r>
        <w:rPr>
          <w:rFonts w:hint="eastAsia" w:ascii="宋体" w:hAnsi="宋体" w:eastAsia="宋体"/>
          <w:b/>
          <w:color w:val="auto"/>
          <w:sz w:val="21"/>
          <w:szCs w:val="21"/>
          <w:highlight w:val="none"/>
        </w:rPr>
        <w:t>文字</w:t>
      </w:r>
      <w:bookmarkEnd w:id="101"/>
    </w:p>
    <w:p w14:paraId="0C15E891">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招标投标文件使用的语言文字为中文。专用术语使用外文的，应附有中文注释。</w:t>
      </w:r>
    </w:p>
    <w:p w14:paraId="5A565B75">
      <w:pPr>
        <w:pStyle w:val="36"/>
        <w:spacing w:line="360" w:lineRule="auto"/>
        <w:ind w:left="0" w:leftChars="0" w:firstLine="0" w:firstLineChars="0"/>
        <w:outlineLvl w:val="1"/>
        <w:rPr>
          <w:rFonts w:ascii="宋体" w:hAnsi="宋体" w:eastAsia="宋体"/>
          <w:b/>
          <w:color w:val="auto"/>
          <w:sz w:val="21"/>
          <w:szCs w:val="21"/>
          <w:highlight w:val="none"/>
        </w:rPr>
      </w:pPr>
      <w:bookmarkStart w:id="102" w:name="_Toc14828"/>
      <w:bookmarkEnd w:id="102"/>
      <w:bookmarkStart w:id="103" w:name="_Toc144974506"/>
      <w:bookmarkEnd w:id="103"/>
      <w:bookmarkStart w:id="104" w:name="_Toc152045538"/>
      <w:bookmarkEnd w:id="104"/>
      <w:bookmarkStart w:id="105" w:name="_Toc14008"/>
      <w:bookmarkEnd w:id="105"/>
      <w:bookmarkStart w:id="106" w:name="_Toc16778746"/>
      <w:bookmarkEnd w:id="106"/>
      <w:bookmarkStart w:id="107" w:name="_Toc152042314"/>
      <w:bookmarkEnd w:id="107"/>
      <w:bookmarkStart w:id="108" w:name="_Toc179632555"/>
      <w:bookmarkStart w:id="109" w:name="_Toc27395"/>
      <w:r>
        <w:rPr>
          <w:rFonts w:hint="eastAsia" w:ascii="宋体" w:hAnsi="宋体" w:eastAsia="宋体"/>
          <w:b/>
          <w:color w:val="auto"/>
          <w:sz w:val="21"/>
          <w:szCs w:val="21"/>
          <w:highlight w:val="none"/>
        </w:rPr>
        <w:t>1.8 计量单位</w:t>
      </w:r>
      <w:bookmarkEnd w:id="108"/>
      <w:bookmarkEnd w:id="109"/>
    </w:p>
    <w:p w14:paraId="1B63FF7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所有计量均采用中华人民共和国法定计量单位。</w:t>
      </w:r>
    </w:p>
    <w:p w14:paraId="5B4B0317">
      <w:pPr>
        <w:pStyle w:val="36"/>
        <w:spacing w:line="360" w:lineRule="auto"/>
        <w:ind w:left="0" w:leftChars="0" w:firstLine="0" w:firstLineChars="0"/>
        <w:outlineLvl w:val="1"/>
        <w:rPr>
          <w:rFonts w:hint="eastAsia" w:ascii="宋体" w:hAnsi="宋体" w:eastAsia="宋体"/>
          <w:b/>
          <w:color w:val="auto"/>
          <w:sz w:val="21"/>
          <w:szCs w:val="21"/>
          <w:highlight w:val="none"/>
        </w:rPr>
      </w:pPr>
      <w:bookmarkStart w:id="110" w:name="_Toc179632556"/>
      <w:bookmarkEnd w:id="110"/>
      <w:bookmarkStart w:id="111" w:name="_Toc152045539"/>
      <w:bookmarkEnd w:id="111"/>
      <w:bookmarkStart w:id="112" w:name="_Toc16778747"/>
      <w:bookmarkEnd w:id="112"/>
      <w:bookmarkStart w:id="113" w:name="_Toc144974507"/>
      <w:bookmarkEnd w:id="113"/>
      <w:bookmarkStart w:id="114" w:name="_Toc28729"/>
      <w:bookmarkEnd w:id="114"/>
      <w:bookmarkStart w:id="115" w:name="_Toc152042315"/>
      <w:bookmarkEnd w:id="115"/>
      <w:bookmarkStart w:id="116" w:name="_Toc12175"/>
      <w:bookmarkStart w:id="117" w:name="_Toc8171"/>
      <w:r>
        <w:rPr>
          <w:rFonts w:hint="eastAsia" w:ascii="宋体" w:hAnsi="宋体" w:eastAsia="宋体"/>
          <w:b/>
          <w:color w:val="auto"/>
          <w:sz w:val="21"/>
          <w:szCs w:val="21"/>
          <w:highlight w:val="none"/>
        </w:rPr>
        <w:t>1.9 踏勘现场</w:t>
      </w:r>
      <w:bookmarkEnd w:id="116"/>
      <w:bookmarkEnd w:id="117"/>
    </w:p>
    <w:p w14:paraId="527663CA">
      <w:pPr>
        <w:pStyle w:val="36"/>
        <w:spacing w:line="360" w:lineRule="auto"/>
        <w:ind w:left="0" w:leftChars="0" w:firstLine="420" w:firstLineChars="200"/>
        <w:outlineLvl w:val="9"/>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本项目不组织踏勘现场。</w:t>
      </w:r>
    </w:p>
    <w:p w14:paraId="2A2867BF">
      <w:pPr>
        <w:pStyle w:val="36"/>
        <w:spacing w:line="360" w:lineRule="auto"/>
        <w:ind w:left="0" w:leftChars="0" w:firstLine="0" w:firstLineChars="0"/>
        <w:outlineLvl w:val="1"/>
        <w:rPr>
          <w:rFonts w:hint="eastAsia" w:ascii="宋体" w:hAnsi="宋体" w:eastAsia="宋体"/>
          <w:b/>
          <w:color w:val="auto"/>
          <w:sz w:val="21"/>
          <w:szCs w:val="21"/>
          <w:highlight w:val="none"/>
        </w:rPr>
      </w:pPr>
      <w:bookmarkStart w:id="118" w:name="_Toc29624"/>
      <w:bookmarkEnd w:id="118"/>
      <w:bookmarkStart w:id="119" w:name="_Toc152045540"/>
      <w:bookmarkEnd w:id="119"/>
      <w:bookmarkStart w:id="120" w:name="_Toc26426"/>
      <w:bookmarkEnd w:id="120"/>
      <w:bookmarkStart w:id="121" w:name="_Toc16778748"/>
      <w:bookmarkEnd w:id="121"/>
      <w:bookmarkStart w:id="122" w:name="_Toc179632557"/>
      <w:bookmarkEnd w:id="122"/>
      <w:bookmarkStart w:id="123" w:name="_Toc144974508"/>
      <w:bookmarkEnd w:id="123"/>
      <w:bookmarkStart w:id="124" w:name="_Toc11047"/>
      <w:bookmarkStart w:id="125" w:name="_Toc152042316"/>
      <w:r>
        <w:rPr>
          <w:rFonts w:hint="eastAsia" w:ascii="宋体" w:hAnsi="宋体" w:eastAsia="宋体"/>
          <w:b/>
          <w:color w:val="auto"/>
          <w:sz w:val="21"/>
          <w:szCs w:val="21"/>
          <w:highlight w:val="none"/>
        </w:rPr>
        <w:t>1.10 投标预备会</w:t>
      </w:r>
      <w:bookmarkEnd w:id="124"/>
      <w:bookmarkEnd w:id="125"/>
    </w:p>
    <w:p w14:paraId="62603777">
      <w:pPr>
        <w:pStyle w:val="36"/>
        <w:spacing w:line="360" w:lineRule="auto"/>
        <w:ind w:left="0" w:leftChars="0" w:firstLine="420" w:firstLineChars="200"/>
        <w:outlineLvl w:val="9"/>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1.10.1 投标人是否召开投标预备会：见投标人须知前附表规定。</w:t>
      </w:r>
    </w:p>
    <w:p w14:paraId="59241A64">
      <w:pPr>
        <w:pStyle w:val="36"/>
        <w:spacing w:line="360" w:lineRule="auto"/>
        <w:ind w:left="0" w:leftChars="0" w:firstLine="420" w:firstLineChars="200"/>
        <w:outlineLvl w:val="9"/>
        <w:rPr>
          <w:rFonts w:ascii="宋体" w:hAnsi="宋体" w:eastAsia="宋体"/>
          <w:b/>
          <w:color w:val="auto"/>
          <w:sz w:val="21"/>
          <w:szCs w:val="21"/>
          <w:highlight w:val="none"/>
        </w:rPr>
      </w:pPr>
      <w:r>
        <w:rPr>
          <w:rFonts w:hint="eastAsia" w:ascii="宋体" w:hAnsi="宋体" w:eastAsia="宋体" w:cs="Times New Roman"/>
          <w:b w:val="0"/>
          <w:bCs w:val="0"/>
          <w:color w:val="auto"/>
          <w:kern w:val="2"/>
          <w:sz w:val="21"/>
          <w:szCs w:val="21"/>
          <w:highlight w:val="none"/>
          <w:lang w:val="en-US" w:eastAsia="zh-CN" w:bidi="ar-SA"/>
        </w:rPr>
        <w:t>1.10.2 投标人在收到招标文件三日内，如有疑问以书面形式通知招标人和招标代理机构，招标人及招标代理机构审查后认为如有必要答疑，会将答疑纪要在招标公告（文件）发布网站公布。</w:t>
      </w:r>
    </w:p>
    <w:p w14:paraId="57E4671D">
      <w:pPr>
        <w:pStyle w:val="36"/>
        <w:spacing w:line="360" w:lineRule="auto"/>
        <w:ind w:left="0" w:leftChars="0" w:firstLine="0" w:firstLineChars="0"/>
        <w:outlineLvl w:val="1"/>
        <w:rPr>
          <w:rFonts w:hint="eastAsia" w:ascii="宋体" w:hAnsi="宋体" w:eastAsia="宋体"/>
          <w:b/>
          <w:color w:val="auto"/>
          <w:sz w:val="21"/>
          <w:szCs w:val="21"/>
          <w:highlight w:val="none"/>
        </w:rPr>
      </w:pPr>
      <w:bookmarkStart w:id="126" w:name="_Toc8951"/>
      <w:bookmarkEnd w:id="126"/>
      <w:bookmarkStart w:id="127" w:name="_Toc25095"/>
      <w:bookmarkEnd w:id="127"/>
      <w:bookmarkStart w:id="128" w:name="_Toc21655"/>
      <w:bookmarkStart w:id="129" w:name="_Toc16778749"/>
      <w:r>
        <w:rPr>
          <w:rFonts w:hint="eastAsia" w:ascii="宋体" w:hAnsi="宋体" w:eastAsia="宋体"/>
          <w:b/>
          <w:color w:val="auto"/>
          <w:sz w:val="21"/>
          <w:szCs w:val="21"/>
          <w:highlight w:val="none"/>
        </w:rPr>
        <w:t>1.11 分包</w:t>
      </w:r>
      <w:bookmarkEnd w:id="128"/>
      <w:bookmarkEnd w:id="129"/>
    </w:p>
    <w:p w14:paraId="5731F141">
      <w:pPr>
        <w:pStyle w:val="36"/>
        <w:spacing w:line="360" w:lineRule="auto"/>
        <w:ind w:left="0" w:leftChars="0" w:firstLine="420" w:firstLineChars="200"/>
        <w:outlineLvl w:val="9"/>
        <w:rPr>
          <w:rFonts w:hint="eastAsia" w:ascii="宋体" w:hAnsi="宋体" w:eastAsia="宋体"/>
          <w:b/>
          <w:color w:val="auto"/>
          <w:sz w:val="21"/>
          <w:szCs w:val="21"/>
          <w:highlight w:val="none"/>
          <w:lang w:eastAsia="zh-CN"/>
        </w:rPr>
      </w:pPr>
      <w:r>
        <w:rPr>
          <w:rFonts w:hint="eastAsia" w:ascii="宋体" w:hAnsi="宋体" w:eastAsia="宋体"/>
          <w:b w:val="0"/>
          <w:bCs/>
          <w:color w:val="auto"/>
          <w:sz w:val="21"/>
          <w:szCs w:val="21"/>
          <w:highlight w:val="none"/>
          <w:lang w:eastAsia="zh-CN"/>
        </w:rPr>
        <w:t>本项目不允许分包。</w:t>
      </w:r>
    </w:p>
    <w:p w14:paraId="09043914">
      <w:pPr>
        <w:pStyle w:val="36"/>
        <w:spacing w:line="360" w:lineRule="auto"/>
        <w:ind w:left="0" w:leftChars="0" w:firstLine="0" w:firstLineChars="0"/>
        <w:outlineLvl w:val="1"/>
        <w:rPr>
          <w:rFonts w:ascii="宋体" w:hAnsi="宋体" w:eastAsia="宋体"/>
          <w:b/>
          <w:color w:val="auto"/>
          <w:sz w:val="21"/>
          <w:szCs w:val="21"/>
          <w:highlight w:val="none"/>
        </w:rPr>
      </w:pPr>
      <w:bookmarkStart w:id="130" w:name="_Toc16778750"/>
      <w:bookmarkEnd w:id="130"/>
      <w:bookmarkStart w:id="131" w:name="_Toc8501"/>
      <w:bookmarkEnd w:id="131"/>
      <w:bookmarkStart w:id="132" w:name="_Toc13092"/>
      <w:bookmarkStart w:id="133" w:name="_Toc23503"/>
      <w:r>
        <w:rPr>
          <w:rFonts w:hint="eastAsia" w:ascii="宋体" w:hAnsi="宋体" w:eastAsia="宋体"/>
          <w:b/>
          <w:color w:val="auto"/>
          <w:sz w:val="21"/>
          <w:szCs w:val="21"/>
          <w:highlight w:val="none"/>
        </w:rPr>
        <w:t>1.12</w:t>
      </w:r>
      <w:r>
        <w:rPr>
          <w:rFonts w:hint="eastAsia" w:ascii="宋体" w:hAnsi="宋体" w:eastAsia="宋体"/>
          <w:b/>
          <w:color w:val="auto"/>
          <w:sz w:val="21"/>
          <w:szCs w:val="21"/>
          <w:highlight w:val="none"/>
          <w:lang w:val="en-US" w:eastAsia="zh-CN"/>
        </w:rPr>
        <w:t xml:space="preserve"> 响</w:t>
      </w:r>
      <w:r>
        <w:rPr>
          <w:rFonts w:hint="eastAsia" w:ascii="宋体" w:hAnsi="宋体" w:eastAsia="宋体"/>
          <w:b/>
          <w:color w:val="auto"/>
          <w:sz w:val="21"/>
          <w:szCs w:val="21"/>
          <w:highlight w:val="none"/>
          <w:lang w:eastAsia="zh-CN"/>
        </w:rPr>
        <w:t>应和</w:t>
      </w:r>
      <w:r>
        <w:rPr>
          <w:rFonts w:hint="eastAsia" w:ascii="宋体" w:hAnsi="宋体" w:eastAsia="宋体"/>
          <w:b/>
          <w:color w:val="auto"/>
          <w:sz w:val="21"/>
          <w:szCs w:val="21"/>
          <w:highlight w:val="none"/>
        </w:rPr>
        <w:t>偏</w:t>
      </w:r>
      <w:bookmarkEnd w:id="132"/>
      <w:r>
        <w:rPr>
          <w:rFonts w:hint="eastAsia" w:ascii="宋体" w:hAnsi="宋体" w:eastAsia="宋体"/>
          <w:b/>
          <w:color w:val="auto"/>
          <w:sz w:val="21"/>
          <w:szCs w:val="21"/>
          <w:highlight w:val="none"/>
        </w:rPr>
        <w:t>离</w:t>
      </w:r>
      <w:bookmarkEnd w:id="133"/>
    </w:p>
    <w:p w14:paraId="168892BE">
      <w:pPr>
        <w:spacing w:line="360" w:lineRule="auto"/>
        <w:ind w:firstLine="420" w:firstLineChars="200"/>
        <w:rPr>
          <w:rFonts w:hint="eastAsia" w:ascii="宋体" w:hAnsi="宋体"/>
          <w:color w:val="auto"/>
          <w:sz w:val="21"/>
          <w:szCs w:val="21"/>
          <w:highlight w:val="none"/>
        </w:rPr>
      </w:pPr>
      <w:bookmarkStart w:id="134" w:name="_Toc152042319"/>
      <w:r>
        <w:rPr>
          <w:rFonts w:hint="eastAsia" w:ascii="宋体" w:hAnsi="宋体"/>
          <w:color w:val="auto"/>
          <w:sz w:val="21"/>
          <w:szCs w:val="21"/>
          <w:highlight w:val="none"/>
        </w:rPr>
        <w:t>1.12.1 投标文件偏离招标文件某些要求，视为投标文件存在偏差。偏差包括重大偏差和细微偏差。</w:t>
      </w:r>
    </w:p>
    <w:p w14:paraId="567EF4FE">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1.12.2 投标文件应对招标文件的实质性要求和条件作出满足性或更有利于招标人的响应，否则，视为投标文件存在重大偏差，投标人的投标将被否决。</w:t>
      </w:r>
    </w:p>
    <w:p w14:paraId="45306CCB">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投标文件存在第三章“评标办法”中所列任一否决投标情形的，均属于存在重大偏差。</w:t>
      </w:r>
    </w:p>
    <w:p w14:paraId="6FB1F56F">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1.12.3 投标文件中的下列偏差为细微偏差：</w:t>
      </w:r>
    </w:p>
    <w:p w14:paraId="140DEBA4">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在按照第三章“评标办法”的规定对投标价进行算术性错误修正及其他错误修正后，最终投标报价未超过最高投标限价（如有）的情况下，出现第三章“评标办法”规定的算术性错误和投标报价的其他错误；</w:t>
      </w:r>
    </w:p>
    <w:p w14:paraId="467F1DBD">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（2）施工组织设计（含关键工程技术方案）和项目管理机构不够完善；</w:t>
      </w:r>
    </w:p>
    <w:p w14:paraId="35EEF09C">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（3）投标文件页码不连续、个别文字有遗漏错误等不影响投标文件实质性内容的偏差。</w:t>
      </w:r>
    </w:p>
    <w:p w14:paraId="26A38583">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1.12.4 评标委员会对投标文件中的细微偏差按如下规定处理：</w:t>
      </w:r>
    </w:p>
    <w:p w14:paraId="22C82471">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（1）对于本章第1.12.3项（1）目所述的细微偏差，按照第三章“评标办法”的规定予以修正并要求投标人进行澄清；</w:t>
      </w:r>
    </w:p>
    <w:p w14:paraId="67F787A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（2）对于本章第1.12.3项（2）目所述的细微偏差</w:t>
      </w:r>
      <w:r>
        <w:rPr>
          <w:rFonts w:hint="eastAsia" w:ascii="宋体" w:hAnsi="宋体"/>
          <w:color w:val="auto"/>
          <w:sz w:val="21"/>
          <w:szCs w:val="21"/>
          <w:highlight w:val="none"/>
          <w:lang w:val="en-US" w:eastAsia="zh-CN"/>
        </w:rPr>
        <w:t>，</w:t>
      </w:r>
      <w:r>
        <w:rPr>
          <w:rFonts w:hint="eastAsia" w:ascii="宋体" w:hAnsi="宋体"/>
          <w:color w:val="auto"/>
          <w:sz w:val="21"/>
          <w:szCs w:val="21"/>
          <w:highlight w:val="none"/>
        </w:rPr>
        <w:t>可在相关评分因素的评分中酌情扣分；</w:t>
      </w:r>
    </w:p>
    <w:p w14:paraId="1E86510D">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（3）对于本章第1.12.3项（3）目所述的细微偏差，可要求投标人对细微偏差进行澄清。</w:t>
      </w:r>
    </w:p>
    <w:p w14:paraId="28F30F8D">
      <w:pPr>
        <w:spacing w:line="360" w:lineRule="auto"/>
        <w:ind w:firstLine="420" w:firstLineChars="200"/>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1.12.5 投标人应根据招标文件的要求提供施工组织设计等内容以对招标文件作出响应。</w:t>
      </w:r>
    </w:p>
    <w:p w14:paraId="761D579F">
      <w:pPr>
        <w:spacing w:line="360" w:lineRule="auto"/>
        <w:outlineLvl w:val="0"/>
        <w:rPr>
          <w:rFonts w:hint="eastAsia" w:ascii="宋体" w:hAnsi="宋体" w:eastAsia="宋体"/>
          <w:b/>
          <w:bCs/>
          <w:color w:val="auto"/>
          <w:sz w:val="21"/>
          <w:szCs w:val="21"/>
          <w:highlight w:val="none"/>
          <w:lang w:val="en-US" w:eastAsia="zh-CN"/>
        </w:rPr>
      </w:pPr>
      <w:bookmarkStart w:id="135" w:name="_Toc29441"/>
      <w:r>
        <w:rPr>
          <w:rFonts w:hint="eastAsia" w:ascii="宋体" w:hAnsi="宋体"/>
          <w:b/>
          <w:bCs/>
          <w:color w:val="auto"/>
          <w:sz w:val="21"/>
          <w:szCs w:val="21"/>
          <w:highlight w:val="none"/>
          <w:lang w:val="en-US" w:eastAsia="zh-CN"/>
        </w:rPr>
        <w:t>2、招标文件</w:t>
      </w:r>
      <w:bookmarkEnd w:id="135"/>
    </w:p>
    <w:p w14:paraId="5AD5B039">
      <w:pPr>
        <w:spacing w:line="360" w:lineRule="auto"/>
        <w:outlineLvl w:val="1"/>
        <w:rPr>
          <w:rFonts w:ascii="宋体" w:hAnsi="宋体"/>
          <w:b/>
          <w:color w:val="auto"/>
          <w:sz w:val="21"/>
          <w:szCs w:val="21"/>
          <w:highlight w:val="none"/>
        </w:rPr>
      </w:pPr>
      <w:bookmarkStart w:id="136" w:name="_Toc16523"/>
      <w:r>
        <w:rPr>
          <w:rFonts w:hint="eastAsia" w:ascii="宋体" w:hAnsi="宋体"/>
          <w:b/>
          <w:color w:val="auto"/>
          <w:sz w:val="21"/>
          <w:szCs w:val="21"/>
          <w:highlight w:val="none"/>
        </w:rPr>
        <w:t>2.1 招标文件的组成</w:t>
      </w:r>
      <w:bookmarkEnd w:id="134"/>
      <w:bookmarkEnd w:id="136"/>
    </w:p>
    <w:p w14:paraId="1BD6100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本招标文件包括：</w:t>
      </w:r>
    </w:p>
    <w:p w14:paraId="35F536E7">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（1）招标公告</w:t>
      </w:r>
    </w:p>
    <w:p w14:paraId="60DCD57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（2）投标人须知；</w:t>
      </w:r>
    </w:p>
    <w:p w14:paraId="387F714A">
      <w:pPr>
        <w:spacing w:line="360" w:lineRule="auto"/>
        <w:ind w:firstLine="420" w:firstLineChars="200"/>
        <w:rPr>
          <w:rFonts w:hint="eastAsia" w:ascii="宋体" w:hAnsi="宋体"/>
          <w:color w:val="auto"/>
          <w:sz w:val="21"/>
          <w:szCs w:val="21"/>
          <w:highlight w:val="none"/>
          <w:lang w:eastAsia="zh-CN"/>
        </w:rPr>
      </w:pPr>
      <w:r>
        <w:rPr>
          <w:rFonts w:hint="eastAsia" w:ascii="宋体" w:hAnsi="宋体"/>
          <w:color w:val="auto"/>
          <w:sz w:val="21"/>
          <w:szCs w:val="21"/>
          <w:highlight w:val="none"/>
        </w:rPr>
        <w:t>（3）评标办法</w:t>
      </w:r>
      <w:r>
        <w:rPr>
          <w:rFonts w:hint="eastAsia" w:ascii="宋体" w:hAnsi="宋体"/>
          <w:color w:val="auto"/>
          <w:sz w:val="21"/>
          <w:szCs w:val="21"/>
          <w:highlight w:val="none"/>
          <w:lang w:eastAsia="zh-CN"/>
        </w:rPr>
        <w:t>；</w:t>
      </w:r>
    </w:p>
    <w:p w14:paraId="40C8E8A7">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定标办法</w:t>
      </w:r>
      <w:r>
        <w:rPr>
          <w:rFonts w:hint="eastAsia" w:ascii="宋体" w:hAnsi="宋体"/>
          <w:color w:val="auto"/>
          <w:sz w:val="21"/>
          <w:szCs w:val="21"/>
          <w:highlight w:val="none"/>
        </w:rPr>
        <w:t>；</w:t>
      </w:r>
    </w:p>
    <w:p w14:paraId="06BDAF18">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）合同条款及格式；</w:t>
      </w:r>
    </w:p>
    <w:p w14:paraId="745F358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）工程量清单；</w:t>
      </w:r>
    </w:p>
    <w:p w14:paraId="143F81B8">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）图纸；</w:t>
      </w:r>
    </w:p>
    <w:p w14:paraId="5AA4C5D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）技术规范；</w:t>
      </w:r>
    </w:p>
    <w:p w14:paraId="23C56982">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9</w:t>
      </w:r>
      <w:r>
        <w:rPr>
          <w:rFonts w:hint="eastAsia" w:ascii="宋体" w:hAnsi="宋体"/>
          <w:color w:val="auto"/>
          <w:sz w:val="21"/>
          <w:szCs w:val="21"/>
          <w:highlight w:val="none"/>
        </w:rPr>
        <w:t>）工程量清单计量规则；</w:t>
      </w:r>
    </w:p>
    <w:p w14:paraId="2E5AAE1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10</w:t>
      </w:r>
      <w:r>
        <w:rPr>
          <w:rFonts w:hint="eastAsia" w:ascii="宋体" w:hAnsi="宋体"/>
          <w:color w:val="auto"/>
          <w:sz w:val="21"/>
          <w:szCs w:val="21"/>
          <w:highlight w:val="none"/>
        </w:rPr>
        <w:t>）投标文件格式；</w:t>
      </w:r>
    </w:p>
    <w:p w14:paraId="7A20733A">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）投标人须知前附表规定的其他资料。</w:t>
      </w:r>
    </w:p>
    <w:p w14:paraId="6B91A33A">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根据本章第1.10款、第2.2款和第2.3款对招标文件所作的澄清、修改，构成招标文件的组成部分。</w:t>
      </w:r>
    </w:p>
    <w:p w14:paraId="4DEFCE17">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当招标文件、招标文件的澄清或修改等在同一个内容的表述上不一致时，以最后发出的书面文件为准。</w:t>
      </w:r>
    </w:p>
    <w:p w14:paraId="4E128A36">
      <w:pPr>
        <w:pStyle w:val="36"/>
        <w:spacing w:line="360" w:lineRule="auto"/>
        <w:ind w:left="0" w:leftChars="0" w:firstLine="0" w:firstLineChars="0"/>
        <w:outlineLvl w:val="1"/>
        <w:rPr>
          <w:rFonts w:ascii="宋体" w:hAnsi="宋体" w:eastAsia="宋体"/>
          <w:b/>
          <w:color w:val="auto"/>
          <w:sz w:val="21"/>
          <w:szCs w:val="21"/>
          <w:highlight w:val="none"/>
        </w:rPr>
      </w:pPr>
      <w:bookmarkStart w:id="137" w:name="_Toc2752"/>
      <w:bookmarkEnd w:id="137"/>
      <w:bookmarkStart w:id="138" w:name="_Toc7082"/>
      <w:bookmarkEnd w:id="138"/>
      <w:bookmarkStart w:id="139" w:name="_Toc144974512"/>
      <w:bookmarkEnd w:id="139"/>
      <w:bookmarkStart w:id="140" w:name="_Toc16778753"/>
      <w:bookmarkEnd w:id="140"/>
      <w:bookmarkStart w:id="141" w:name="_Toc179632562"/>
      <w:bookmarkEnd w:id="141"/>
      <w:bookmarkStart w:id="142" w:name="_Toc152042320"/>
      <w:bookmarkEnd w:id="142"/>
      <w:bookmarkStart w:id="143" w:name="_Toc152045544"/>
      <w:bookmarkStart w:id="144" w:name="_Toc4477"/>
      <w:r>
        <w:rPr>
          <w:rFonts w:hint="eastAsia" w:ascii="宋体" w:hAnsi="宋体" w:eastAsia="宋体"/>
          <w:b/>
          <w:color w:val="auto"/>
          <w:sz w:val="21"/>
          <w:szCs w:val="21"/>
          <w:highlight w:val="none"/>
        </w:rPr>
        <w:t>2.2 招标文件的澄清</w:t>
      </w:r>
      <w:bookmarkEnd w:id="143"/>
      <w:bookmarkEnd w:id="144"/>
    </w:p>
    <w:p w14:paraId="4841BCD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48FD5A7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2.2.2 招标文件的澄清以投标人须知前附表规定的形式发给所有购买招标文件的投标人，但不指明澄清问题的来源。澄清发出的时间距本章第4.2.1项规定的投标截止时间不足15日，且澄清内容可能影响投标文件编制的，将相应延长投标截止时间。</w:t>
      </w:r>
    </w:p>
    <w:p w14:paraId="1B6D9BC7">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2.2.3 投标人应注意及时浏览网上发出的澄清，因投标人自身原因未及时获知澄清内容而导致的任何后果将由投标人自行承担。</w:t>
      </w:r>
    </w:p>
    <w:p w14:paraId="17BE9EF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2.2.4 除非招标人认为确有必要答复，否则，招标人有权拒绝回复投标人在本章第2.2.1项规定的时间后提出的任何澄清要求。</w:t>
      </w:r>
    </w:p>
    <w:p w14:paraId="11947E18">
      <w:pPr>
        <w:pStyle w:val="36"/>
        <w:spacing w:line="360" w:lineRule="auto"/>
        <w:ind w:left="0" w:leftChars="0" w:firstLine="0" w:firstLineChars="0"/>
        <w:outlineLvl w:val="1"/>
        <w:rPr>
          <w:rFonts w:ascii="宋体" w:hAnsi="宋体" w:eastAsia="宋体"/>
          <w:b/>
          <w:color w:val="auto"/>
          <w:sz w:val="21"/>
          <w:szCs w:val="21"/>
          <w:highlight w:val="none"/>
        </w:rPr>
      </w:pPr>
      <w:bookmarkStart w:id="145" w:name="_Toc152042321"/>
      <w:bookmarkEnd w:id="145"/>
      <w:bookmarkStart w:id="146" w:name="_Toc11110"/>
      <w:bookmarkEnd w:id="146"/>
      <w:bookmarkStart w:id="147" w:name="_Toc179632563"/>
      <w:bookmarkEnd w:id="147"/>
      <w:bookmarkStart w:id="148" w:name="_Toc10281"/>
      <w:bookmarkEnd w:id="148"/>
      <w:bookmarkStart w:id="149" w:name="_Toc152045545"/>
      <w:bookmarkEnd w:id="149"/>
      <w:bookmarkStart w:id="150" w:name="_Toc16778754"/>
      <w:bookmarkEnd w:id="150"/>
      <w:bookmarkStart w:id="151" w:name="_Toc144974513"/>
      <w:bookmarkStart w:id="152" w:name="_Toc22824"/>
      <w:r>
        <w:rPr>
          <w:rFonts w:hint="eastAsia" w:ascii="宋体" w:hAnsi="宋体" w:eastAsia="宋体"/>
          <w:b/>
          <w:color w:val="auto"/>
          <w:sz w:val="21"/>
          <w:szCs w:val="21"/>
          <w:highlight w:val="none"/>
        </w:rPr>
        <w:t>2.3 招标文件的修改</w:t>
      </w:r>
      <w:bookmarkEnd w:id="151"/>
      <w:bookmarkEnd w:id="152"/>
    </w:p>
    <w:p w14:paraId="565B07D1">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2.3.1 招标人以投标人须知前附表规定的形式修改招标文件，并通知所有已购买招标文件的投标人。修改招标文件的时间距本章第4.2.1项规定的投标截止时间不足15日，且修改内容可能影响投标文件编制的，将相应延长投标截止时间。</w:t>
      </w:r>
    </w:p>
    <w:p w14:paraId="781F8FAB">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2.3.2 投标人应注意及时浏览网上发出的修改，因投标人自身原因未及时获知修改内容而导致的任何后果将由投标人自行承担。</w:t>
      </w:r>
    </w:p>
    <w:p w14:paraId="6308BB08">
      <w:pPr>
        <w:pStyle w:val="36"/>
        <w:spacing w:line="360" w:lineRule="auto"/>
        <w:ind w:left="0" w:leftChars="0" w:firstLine="0" w:firstLineChars="0"/>
        <w:outlineLvl w:val="1"/>
        <w:rPr>
          <w:rFonts w:ascii="宋体" w:hAnsi="宋体" w:eastAsia="宋体"/>
          <w:b/>
          <w:color w:val="auto"/>
          <w:sz w:val="21"/>
          <w:szCs w:val="21"/>
          <w:highlight w:val="none"/>
        </w:rPr>
      </w:pPr>
      <w:bookmarkStart w:id="153" w:name="_Toc16778755"/>
      <w:bookmarkEnd w:id="153"/>
      <w:bookmarkStart w:id="154" w:name="_Toc31031"/>
      <w:bookmarkEnd w:id="154"/>
      <w:bookmarkStart w:id="155" w:name="_Toc23830"/>
      <w:bookmarkStart w:id="156" w:name="_Toc2148"/>
      <w:r>
        <w:rPr>
          <w:rFonts w:hint="eastAsia" w:ascii="宋体" w:hAnsi="宋体" w:eastAsia="宋体"/>
          <w:b/>
          <w:color w:val="auto"/>
          <w:sz w:val="21"/>
          <w:szCs w:val="21"/>
          <w:highlight w:val="none"/>
        </w:rPr>
        <w:t>2.4 招标文件的异议</w:t>
      </w:r>
      <w:bookmarkEnd w:id="155"/>
      <w:bookmarkEnd w:id="156"/>
    </w:p>
    <w:p w14:paraId="1BFF0B5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投标人或其他利害关系人对招标文件有异议的，应在投标截止时间10日前以书面形式提出。招标人将在收到异议之日起3日内作出答复；作出答复前，将暂停招标投标活动。提出异议与作出答复均应通过“电子交易平台”以书面形式完成。</w:t>
      </w:r>
    </w:p>
    <w:p w14:paraId="5E05F4D5">
      <w:pPr>
        <w:pStyle w:val="35"/>
        <w:spacing w:line="360" w:lineRule="auto"/>
        <w:ind w:left="0" w:leftChars="0" w:firstLine="0" w:firstLineChars="0"/>
        <w:outlineLvl w:val="0"/>
        <w:rPr>
          <w:rFonts w:ascii="宋体" w:hAnsi="宋体" w:eastAsia="宋体"/>
          <w:b/>
          <w:color w:val="auto"/>
          <w:sz w:val="21"/>
          <w:szCs w:val="21"/>
          <w:highlight w:val="none"/>
        </w:rPr>
      </w:pPr>
      <w:bookmarkStart w:id="157" w:name="_Toc16778756"/>
      <w:bookmarkEnd w:id="157"/>
      <w:bookmarkStart w:id="158" w:name="_Toc152045546"/>
      <w:bookmarkEnd w:id="158"/>
      <w:bookmarkStart w:id="159" w:name="_Toc144974514"/>
      <w:bookmarkEnd w:id="159"/>
      <w:bookmarkStart w:id="160" w:name="_Toc152042322"/>
      <w:bookmarkEnd w:id="160"/>
      <w:bookmarkStart w:id="161" w:name="_Toc31773"/>
      <w:bookmarkEnd w:id="161"/>
      <w:bookmarkStart w:id="162" w:name="_Toc25807"/>
      <w:bookmarkEnd w:id="162"/>
      <w:bookmarkStart w:id="163" w:name="_Toc24873"/>
      <w:bookmarkStart w:id="164" w:name="_Toc179632564"/>
      <w:r>
        <w:rPr>
          <w:rFonts w:hint="eastAsia" w:ascii="宋体" w:hAnsi="宋体" w:eastAsia="宋体"/>
          <w:b/>
          <w:color w:val="auto"/>
          <w:sz w:val="21"/>
          <w:szCs w:val="21"/>
          <w:highlight w:val="none"/>
        </w:rPr>
        <w:t>3. 投标文件</w:t>
      </w:r>
      <w:bookmarkEnd w:id="163"/>
      <w:bookmarkEnd w:id="164"/>
    </w:p>
    <w:p w14:paraId="2811E147">
      <w:pPr>
        <w:pStyle w:val="36"/>
        <w:spacing w:line="360" w:lineRule="auto"/>
        <w:ind w:left="0" w:leftChars="0" w:firstLine="0" w:firstLineChars="0"/>
        <w:outlineLvl w:val="1"/>
        <w:rPr>
          <w:rFonts w:ascii="宋体" w:hAnsi="宋体" w:eastAsia="宋体"/>
          <w:b/>
          <w:color w:val="auto"/>
          <w:sz w:val="21"/>
          <w:szCs w:val="21"/>
          <w:highlight w:val="none"/>
        </w:rPr>
      </w:pPr>
      <w:bookmarkStart w:id="165" w:name="_Toc16778757"/>
      <w:bookmarkEnd w:id="165"/>
      <w:bookmarkStart w:id="166" w:name="_Toc144974515"/>
      <w:bookmarkEnd w:id="166"/>
      <w:bookmarkStart w:id="167" w:name="_Toc179632565"/>
      <w:bookmarkEnd w:id="167"/>
      <w:bookmarkStart w:id="168" w:name="_Toc9422"/>
      <w:bookmarkEnd w:id="168"/>
      <w:bookmarkStart w:id="169" w:name="_Toc152045547"/>
      <w:bookmarkEnd w:id="169"/>
      <w:bookmarkStart w:id="170" w:name="_Toc152042323"/>
      <w:bookmarkEnd w:id="170"/>
      <w:bookmarkStart w:id="171" w:name="_Toc17451"/>
      <w:bookmarkStart w:id="172" w:name="_Toc836"/>
      <w:r>
        <w:rPr>
          <w:rFonts w:hint="eastAsia" w:ascii="宋体" w:hAnsi="宋体" w:eastAsia="宋体"/>
          <w:b/>
          <w:color w:val="auto"/>
          <w:sz w:val="21"/>
          <w:szCs w:val="21"/>
          <w:highlight w:val="none"/>
        </w:rPr>
        <w:t>3.1 投标文件的组成</w:t>
      </w:r>
      <w:bookmarkEnd w:id="171"/>
      <w:bookmarkEnd w:id="172"/>
    </w:p>
    <w:p w14:paraId="1F932453">
      <w:pPr>
        <w:spacing w:line="360" w:lineRule="auto"/>
        <w:ind w:firstLine="359" w:firstLineChars="171"/>
        <w:outlineLvl w:val="2"/>
        <w:rPr>
          <w:rFonts w:ascii="宋体" w:hAnsi="宋体"/>
          <w:color w:val="auto"/>
          <w:sz w:val="21"/>
          <w:szCs w:val="21"/>
          <w:highlight w:val="none"/>
        </w:rPr>
      </w:pPr>
      <w:bookmarkStart w:id="173" w:name="_Toc14377"/>
      <w:r>
        <w:rPr>
          <w:rFonts w:hint="eastAsia" w:ascii="宋体" w:hAnsi="宋体"/>
          <w:color w:val="auto"/>
          <w:sz w:val="21"/>
          <w:szCs w:val="21"/>
          <w:highlight w:val="none"/>
        </w:rPr>
        <w:t>3.1.1投标文件应包括下列内容：</w:t>
      </w:r>
      <w:bookmarkEnd w:id="173"/>
    </w:p>
    <w:p w14:paraId="6082D46C">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第一个信封（商务及技术文件）：</w:t>
      </w:r>
    </w:p>
    <w:p w14:paraId="4BDF7715">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（1）投标函及投标函附录；</w:t>
      </w:r>
    </w:p>
    <w:p w14:paraId="221CC645">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（2）授权委托书或法定代表人身份证明；</w:t>
      </w:r>
    </w:p>
    <w:p w14:paraId="7EBCE3E8">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（3）投标保证金；</w:t>
      </w:r>
    </w:p>
    <w:p w14:paraId="57B372C5">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（4）施工组织设计；</w:t>
      </w:r>
    </w:p>
    <w:p w14:paraId="5361EFF0">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（5）项目管理机构；</w:t>
      </w:r>
    </w:p>
    <w:p w14:paraId="4B84F85F">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（6）资格审查资料；</w:t>
      </w:r>
    </w:p>
    <w:p w14:paraId="05EB5267">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（7）其他资料。</w:t>
      </w:r>
    </w:p>
    <w:p w14:paraId="63B49ADB">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第二个信封（报价文件）：</w:t>
      </w:r>
    </w:p>
    <w:p w14:paraId="187CDEC7">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（1）投标函</w:t>
      </w:r>
    </w:p>
    <w:p w14:paraId="5B896016">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rPr>
        <w:t>）已标价工程量清单；</w:t>
      </w:r>
    </w:p>
    <w:p w14:paraId="108BEAC7">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）合同用款估算表。</w:t>
      </w:r>
    </w:p>
    <w:p w14:paraId="2E14EAE4">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投标人在评标过程中作出的符合法律法规和招标文件规定的澄清确认，构成投标文件的组成部分。</w:t>
      </w:r>
    </w:p>
    <w:p w14:paraId="6D279F4E">
      <w:pPr>
        <w:pStyle w:val="36"/>
        <w:spacing w:line="360" w:lineRule="auto"/>
        <w:ind w:left="0" w:leftChars="0" w:firstLine="0" w:firstLineChars="0"/>
        <w:outlineLvl w:val="1"/>
        <w:rPr>
          <w:rFonts w:ascii="宋体" w:hAnsi="宋体" w:eastAsia="宋体"/>
          <w:b/>
          <w:color w:val="auto"/>
          <w:sz w:val="21"/>
          <w:szCs w:val="21"/>
          <w:highlight w:val="none"/>
        </w:rPr>
      </w:pPr>
      <w:bookmarkStart w:id="174" w:name="_Toc152042324"/>
      <w:bookmarkEnd w:id="174"/>
      <w:bookmarkStart w:id="175" w:name="_Toc179632566"/>
      <w:bookmarkEnd w:id="175"/>
      <w:bookmarkStart w:id="176" w:name="_Toc144974516"/>
      <w:bookmarkEnd w:id="176"/>
      <w:bookmarkStart w:id="177" w:name="_Toc16778758"/>
      <w:bookmarkEnd w:id="177"/>
      <w:bookmarkStart w:id="178" w:name="_Toc5822"/>
      <w:bookmarkEnd w:id="178"/>
      <w:bookmarkStart w:id="179" w:name="_Toc8434"/>
      <w:bookmarkEnd w:id="179"/>
      <w:bookmarkStart w:id="180" w:name="_Toc5453"/>
      <w:bookmarkStart w:id="181" w:name="_Toc152045548"/>
      <w:r>
        <w:rPr>
          <w:rFonts w:hint="eastAsia" w:ascii="宋体" w:hAnsi="宋体" w:eastAsia="宋体"/>
          <w:b/>
          <w:color w:val="auto"/>
          <w:sz w:val="21"/>
          <w:szCs w:val="21"/>
          <w:highlight w:val="none"/>
        </w:rPr>
        <w:t>3.2 投标报价</w:t>
      </w:r>
      <w:bookmarkEnd w:id="180"/>
      <w:bookmarkEnd w:id="181"/>
    </w:p>
    <w:p w14:paraId="6BB4D6B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3.2.1 投标报价应包括国家规定的增值税税金，除投标人须知前附表另有规定外，增值税税金按一般计税方法计算。投标人应按</w:t>
      </w:r>
      <w:r>
        <w:rPr>
          <w:rFonts w:hint="eastAsia" w:ascii="宋体" w:hAnsi="宋体"/>
          <w:color w:val="auto"/>
          <w:sz w:val="21"/>
          <w:szCs w:val="21"/>
          <w:highlight w:val="none"/>
          <w:lang w:eastAsia="zh-CN"/>
        </w:rPr>
        <w:t>第十章</w:t>
      </w:r>
      <w:r>
        <w:rPr>
          <w:rFonts w:hint="eastAsia" w:ascii="宋体" w:hAnsi="宋体"/>
          <w:color w:val="auto"/>
          <w:sz w:val="21"/>
          <w:szCs w:val="21"/>
          <w:highlight w:val="none"/>
        </w:rPr>
        <w:t>“投标文件格式”的要求在投标函中进行报价</w:t>
      </w:r>
      <w:r>
        <w:rPr>
          <w:rFonts w:hint="eastAsia" w:ascii="宋体" w:hAnsi="宋体"/>
          <w:color w:val="auto"/>
          <w:sz w:val="21"/>
          <w:szCs w:val="21"/>
          <w:highlight w:val="none"/>
          <w:lang w:val="en-US" w:eastAsia="zh-CN"/>
        </w:rPr>
        <w:t>并填写工程量清单相应表格</w:t>
      </w:r>
      <w:r>
        <w:rPr>
          <w:rFonts w:hint="eastAsia" w:ascii="宋体" w:hAnsi="宋体"/>
          <w:color w:val="auto"/>
          <w:sz w:val="21"/>
          <w:szCs w:val="21"/>
          <w:highlight w:val="none"/>
        </w:rPr>
        <w:t>。</w:t>
      </w:r>
    </w:p>
    <w:p w14:paraId="7DC9A3B3">
      <w:pPr>
        <w:spacing w:line="360" w:lineRule="auto"/>
        <w:ind w:firstLine="420" w:firstLineChars="200"/>
        <w:rPr>
          <w:rFonts w:hint="eastAsia" w:ascii="宋体" w:hAnsi="宋体"/>
          <w:color w:val="auto"/>
          <w:sz w:val="21"/>
          <w:szCs w:val="21"/>
          <w:highlight w:val="none"/>
        </w:rPr>
      </w:pPr>
      <w:bookmarkStart w:id="182" w:name="_Toc152042325"/>
      <w:bookmarkEnd w:id="182"/>
      <w:bookmarkStart w:id="183" w:name="_Toc16778759"/>
      <w:bookmarkEnd w:id="183"/>
      <w:bookmarkStart w:id="184" w:name="_Toc22036"/>
      <w:bookmarkEnd w:id="184"/>
      <w:bookmarkStart w:id="185" w:name="_Toc179632567"/>
      <w:bookmarkEnd w:id="185"/>
      <w:bookmarkStart w:id="186" w:name="_Toc152045549"/>
      <w:bookmarkEnd w:id="186"/>
      <w:bookmarkStart w:id="187" w:name="_Toc13884"/>
      <w:bookmarkEnd w:id="187"/>
      <w:bookmarkStart w:id="188" w:name="_Toc144974517"/>
      <w:r>
        <w:rPr>
          <w:rFonts w:hint="eastAsia" w:ascii="宋体" w:hAnsi="宋体"/>
          <w:color w:val="auto"/>
          <w:sz w:val="21"/>
          <w:szCs w:val="21"/>
          <w:highlight w:val="none"/>
        </w:rPr>
        <w:t>本项目由招标人提供书面工程量清单，投标人按照招标人提供的工程量清单填写本合同工程子目的单价、合价和总额价。评标委员会将按照第三章“评标办法”的规定对投标价进行算术性错误修正及其他错误修正。</w:t>
      </w:r>
    </w:p>
    <w:p w14:paraId="317050C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3.2.2 投标人应充分了解本项目的总体情况以及影响投标报价的其他要素。</w:t>
      </w:r>
    </w:p>
    <w:p w14:paraId="796B4BE9">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3.2.3 本项目的报价方式见投标人须知前附表。投标人在投标截止时间前修改投标函中的投标总报价，应同时修改投标文件“已标价工程量清单”中的相应报价。此修改须符合本章第4.3款的有关要求。</w:t>
      </w:r>
    </w:p>
    <w:p w14:paraId="650ABFE5">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3.2.4 投标人如果发现工程量清单中的数量与图纸中数量不一致时，应立即通知招标人核查，除非招标人以书面方式予以更正，否则，应以工程量清单中列出的数量为准。</w:t>
      </w:r>
    </w:p>
    <w:p w14:paraId="549E14FF">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color w:val="auto"/>
          <w:sz w:val="21"/>
          <w:szCs w:val="21"/>
          <w:highlight w:val="none"/>
        </w:rPr>
        <w:t>3.2.5 投标人应根据《公路水运工程安全生产监督管理办法》，在投标总价中计入安全生产费用，安全生产费用应符合合同条款第9.2.5项的规定。工程量清单第100章内列有上述安全生产费的支付子目，由投标人按招标文件的规定填写总</w:t>
      </w:r>
      <w:r>
        <w:rPr>
          <w:rFonts w:hint="eastAsia" w:ascii="宋体" w:hAnsi="宋体" w:eastAsia="宋体" w:cs="Times New Roman"/>
          <w:color w:val="auto"/>
          <w:sz w:val="21"/>
          <w:szCs w:val="21"/>
          <w:highlight w:val="none"/>
        </w:rPr>
        <w:t>额价。</w:t>
      </w:r>
    </w:p>
    <w:p w14:paraId="1A0F4608">
      <w:pPr>
        <w:widowControl/>
        <w:shd w:val="clear" w:color="auto" w:fill="auto"/>
        <w:spacing w:line="360" w:lineRule="auto"/>
        <w:ind w:firstLine="36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3.2.6 除投标人须知前附表另有规定外，招标人不接受调价函。</w:t>
      </w:r>
    </w:p>
    <w:p w14:paraId="45F2B92F">
      <w:pPr>
        <w:widowControl/>
        <w:shd w:val="clear" w:color="auto" w:fill="auto"/>
        <w:spacing w:line="360" w:lineRule="auto"/>
        <w:ind w:firstLine="36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3.2.7 在合同实施期间，投标人填写的单价、合价和总额价是否由于物价波动进行价格调整按照合同条款第16.1款的规定处理。如果按照合同条款第16.1.1项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420C8F0B">
      <w:pPr>
        <w:autoSpaceDE w:val="0"/>
        <w:autoSpaceDN w:val="0"/>
        <w:adjustRightInd w:val="0"/>
        <w:spacing w:line="360" w:lineRule="auto"/>
        <w:ind w:right="-34" w:rightChars="-16" w:firstLine="420" w:firstLineChars="200"/>
        <w:jc w:val="left"/>
        <w:rPr>
          <w:rFonts w:ascii="宋体" w:hAnsi="宋体"/>
          <w:sz w:val="21"/>
          <w:szCs w:val="21"/>
          <w:highlight w:val="none"/>
        </w:rPr>
      </w:pPr>
      <w:r>
        <w:rPr>
          <w:rFonts w:hint="eastAsia" w:ascii="宋体" w:hAnsi="宋体" w:eastAsia="宋体" w:cs="Times New Roman"/>
          <w:color w:val="auto"/>
          <w:sz w:val="21"/>
          <w:szCs w:val="21"/>
          <w:highlight w:val="none"/>
        </w:rPr>
        <w:t>3.2.8 招标人设有最高投标限价的，投标人的投标报价不得超过最高投标限价，最高投标限价在投标人须知前附表中载明。</w:t>
      </w:r>
      <w:r>
        <w:rPr>
          <w:rFonts w:hint="eastAsia" w:ascii="宋体" w:hAnsi="宋体" w:cs="宋体"/>
          <w:color w:val="auto"/>
          <w:sz w:val="21"/>
          <w:szCs w:val="21"/>
        </w:rPr>
        <w:t>投标报价在合理范围内由投标单位自主报价</w:t>
      </w:r>
      <w:r>
        <w:rPr>
          <w:rFonts w:hint="eastAsia" w:ascii="宋体" w:hAnsi="宋体" w:cs="宋体"/>
          <w:color w:val="auto"/>
          <w:sz w:val="21"/>
          <w:szCs w:val="21"/>
          <w:lang w:eastAsia="zh-CN"/>
        </w:rPr>
        <w:t>，</w:t>
      </w:r>
      <w:r>
        <w:rPr>
          <w:rFonts w:hint="eastAsia" w:ascii="宋体" w:hAnsi="宋体" w:cs="宋体"/>
          <w:color w:val="auto"/>
          <w:sz w:val="21"/>
          <w:szCs w:val="21"/>
        </w:rPr>
        <w:t>投标人根据项目内容及要求，结合市场情况进行投标报价，不得以低于成本的报价恶意竞标，</w:t>
      </w:r>
      <w:r>
        <w:rPr>
          <w:rFonts w:hint="eastAsia" w:ascii="宋体" w:hAnsi="宋体" w:cs="宋体"/>
          <w:color w:val="auto"/>
          <w:sz w:val="21"/>
          <w:szCs w:val="21"/>
          <w:highlight w:val="none"/>
        </w:rPr>
        <w:t>投标人应承诺其报价的合理性且完全满足招标人需求，否则为未实质性响应招标文件。</w:t>
      </w:r>
    </w:p>
    <w:p w14:paraId="3314CFB0">
      <w:pPr>
        <w:autoSpaceDE w:val="0"/>
        <w:autoSpaceDN w:val="0"/>
        <w:adjustRightInd w:val="0"/>
        <w:spacing w:line="360" w:lineRule="auto"/>
        <w:ind w:right="-34" w:rightChars="-16"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3.2.9 投标报价的其他要求见投标人须知前附表。</w:t>
      </w:r>
    </w:p>
    <w:p w14:paraId="32F114E3">
      <w:pPr>
        <w:pStyle w:val="36"/>
        <w:spacing w:line="360" w:lineRule="auto"/>
        <w:ind w:left="0" w:leftChars="0" w:firstLine="0" w:firstLineChars="0"/>
        <w:outlineLvl w:val="1"/>
        <w:rPr>
          <w:rFonts w:ascii="宋体" w:hAnsi="宋体" w:eastAsia="宋体"/>
          <w:b/>
          <w:color w:val="auto"/>
          <w:sz w:val="21"/>
          <w:szCs w:val="21"/>
          <w:highlight w:val="none"/>
        </w:rPr>
      </w:pPr>
      <w:bookmarkStart w:id="189" w:name="_Toc25113"/>
      <w:r>
        <w:rPr>
          <w:rFonts w:hint="eastAsia" w:ascii="宋体" w:hAnsi="宋体" w:eastAsia="宋体"/>
          <w:b/>
          <w:color w:val="auto"/>
          <w:sz w:val="21"/>
          <w:szCs w:val="21"/>
          <w:highlight w:val="none"/>
        </w:rPr>
        <w:t>3.3 投标有效期</w:t>
      </w:r>
      <w:bookmarkEnd w:id="188"/>
      <w:bookmarkEnd w:id="189"/>
    </w:p>
    <w:p w14:paraId="14FE47A8">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3.3.1 除投标人须知前附表另有规定外，投标有效期为</w:t>
      </w:r>
      <w:r>
        <w:rPr>
          <w:rFonts w:hint="eastAsia" w:ascii="宋体" w:hAnsi="宋体"/>
          <w:color w:val="000000" w:themeColor="text1"/>
          <w:sz w:val="21"/>
          <w:szCs w:val="21"/>
          <w:highlight w:val="none"/>
          <w:lang w:val="en-US" w:eastAsia="zh-CN"/>
          <w14:textFill>
            <w14:solidFill>
              <w14:schemeClr w14:val="tx1"/>
            </w14:solidFill>
          </w14:textFill>
        </w:rPr>
        <w:t>9</w:t>
      </w:r>
      <w:r>
        <w:rPr>
          <w:rFonts w:hint="eastAsia" w:ascii="宋体" w:hAnsi="宋体"/>
          <w:color w:val="000000" w:themeColor="text1"/>
          <w:sz w:val="21"/>
          <w:szCs w:val="21"/>
          <w:highlight w:val="none"/>
          <w14:textFill>
            <w14:solidFill>
              <w14:schemeClr w14:val="tx1"/>
            </w14:solidFill>
          </w14:textFill>
        </w:rPr>
        <w:t>0日</w:t>
      </w:r>
      <w:r>
        <w:rPr>
          <w:rFonts w:hint="eastAsia" w:ascii="宋体" w:hAnsi="宋体"/>
          <w:color w:val="auto"/>
          <w:sz w:val="21"/>
          <w:szCs w:val="21"/>
          <w:highlight w:val="none"/>
        </w:rPr>
        <w:t>。</w:t>
      </w:r>
    </w:p>
    <w:p w14:paraId="5E1524FD">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3.3.2 在投标有效期内，投标人撤销投标文件的，应承担招标文件和法律规定的责任。</w:t>
      </w:r>
    </w:p>
    <w:p w14:paraId="381BDBAD">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3.3.3 出现特殊情况需要延长投标有效期的，招标人以通过电子招标投标系统通知所有投标人延长投标有效期。投标人应予以书面答复，同意延长的，应相应延长其投标保证金的有效期，但不得要求或被允许修改其投标文件；投标人拒绝延长的，其投标失效，但投标人有权收回其投标保证金及以现金或支票形式递交的投标保证金的银行同期活期存款利息。</w:t>
      </w:r>
    </w:p>
    <w:p w14:paraId="2A13641C">
      <w:pPr>
        <w:pStyle w:val="36"/>
        <w:spacing w:line="360" w:lineRule="auto"/>
        <w:ind w:left="0" w:leftChars="0" w:firstLine="0" w:firstLineChars="0"/>
        <w:outlineLvl w:val="1"/>
        <w:rPr>
          <w:rFonts w:ascii="宋体" w:hAnsi="宋体" w:eastAsia="宋体"/>
          <w:b/>
          <w:color w:val="auto"/>
          <w:sz w:val="21"/>
          <w:szCs w:val="21"/>
          <w:highlight w:val="none"/>
        </w:rPr>
      </w:pPr>
      <w:bookmarkStart w:id="190" w:name="_Toc16778760"/>
      <w:bookmarkEnd w:id="190"/>
      <w:bookmarkStart w:id="191" w:name="_Toc152045550"/>
      <w:bookmarkEnd w:id="191"/>
      <w:bookmarkStart w:id="192" w:name="_Toc21550"/>
      <w:bookmarkEnd w:id="192"/>
      <w:bookmarkStart w:id="193" w:name="_Toc152042326"/>
      <w:bookmarkEnd w:id="193"/>
      <w:bookmarkStart w:id="194" w:name="_Toc144974518"/>
      <w:bookmarkEnd w:id="194"/>
      <w:bookmarkStart w:id="195" w:name="_Toc6097"/>
      <w:bookmarkEnd w:id="195"/>
      <w:bookmarkStart w:id="196" w:name="_Toc2040"/>
      <w:bookmarkStart w:id="197" w:name="_Toc179632568"/>
      <w:r>
        <w:rPr>
          <w:rFonts w:hint="eastAsia" w:ascii="宋体" w:hAnsi="宋体" w:eastAsia="宋体"/>
          <w:b/>
          <w:color w:val="auto"/>
          <w:sz w:val="21"/>
          <w:szCs w:val="21"/>
          <w:highlight w:val="none"/>
        </w:rPr>
        <w:t>3.4 投标保证金</w:t>
      </w:r>
      <w:bookmarkEnd w:id="196"/>
      <w:bookmarkEnd w:id="197"/>
    </w:p>
    <w:p w14:paraId="7F96DB48">
      <w:pPr>
        <w:spacing w:line="360" w:lineRule="auto"/>
        <w:ind w:firstLine="420" w:firstLineChars="200"/>
        <w:rPr>
          <w:rFonts w:hint="eastAsia" w:ascii="宋体" w:hAnsi="宋体"/>
          <w:color w:val="auto"/>
          <w:sz w:val="21"/>
          <w:szCs w:val="21"/>
          <w:highlight w:val="none"/>
        </w:rPr>
      </w:pPr>
      <w:bookmarkStart w:id="198" w:name="_Toc144974519"/>
      <w:bookmarkEnd w:id="198"/>
      <w:bookmarkStart w:id="199" w:name="_Toc152042327"/>
      <w:bookmarkEnd w:id="199"/>
      <w:bookmarkStart w:id="200" w:name="_Toc179632569"/>
      <w:bookmarkEnd w:id="200"/>
      <w:bookmarkStart w:id="201" w:name="_Toc152045551"/>
      <w:r>
        <w:rPr>
          <w:rFonts w:hint="eastAsia" w:ascii="宋体" w:hAnsi="宋体"/>
          <w:color w:val="auto"/>
          <w:sz w:val="21"/>
          <w:szCs w:val="21"/>
          <w:highlight w:val="none"/>
        </w:rPr>
        <w:t>3.4.1 投标人在递交投标文件的同时，应按投标人须知前附表规定的金额和</w:t>
      </w:r>
      <w:r>
        <w:rPr>
          <w:rFonts w:hint="eastAsia" w:ascii="宋体" w:hAnsi="宋体"/>
          <w:color w:val="auto"/>
          <w:sz w:val="21"/>
          <w:szCs w:val="21"/>
          <w:highlight w:val="none"/>
          <w:lang w:eastAsia="zh-CN"/>
        </w:rPr>
        <w:t>第十章</w:t>
      </w:r>
      <w:r>
        <w:rPr>
          <w:rFonts w:hint="eastAsia" w:ascii="宋体" w:hAnsi="宋体"/>
          <w:color w:val="auto"/>
          <w:sz w:val="21"/>
          <w:szCs w:val="21"/>
          <w:highlight w:val="none"/>
        </w:rPr>
        <w:t>“投标文件格式”规定的投标保证金格式递交投标保证金，并作为其投标文件的组成部分。</w:t>
      </w:r>
      <w:bookmarkEnd w:id="201"/>
      <w:r>
        <w:rPr>
          <w:rFonts w:hint="eastAsia" w:ascii="宋体" w:hAnsi="宋体"/>
          <w:color w:val="auto"/>
          <w:sz w:val="21"/>
          <w:szCs w:val="21"/>
          <w:highlight w:val="none"/>
          <w:lang w:val="en-US" w:eastAsia="zh-CN"/>
        </w:rPr>
        <w:t>联合体投标的，其投标保证金由牵头人递交，并应符合投标人须知前附表的规定</w:t>
      </w:r>
      <w:r>
        <w:rPr>
          <w:rFonts w:hint="eastAsia" w:ascii="宋体" w:hAnsi="宋体"/>
          <w:color w:val="auto"/>
          <w:sz w:val="21"/>
          <w:szCs w:val="21"/>
          <w:highlight w:val="none"/>
        </w:rPr>
        <w:t>。</w:t>
      </w:r>
    </w:p>
    <w:p w14:paraId="14FDF6C5">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val="en-US" w:eastAsia="zh-CN"/>
        </w:rPr>
        <w:t>投标保证金应采用现金、支票、银行保函或招标人在投标人须知前附表规定的其他形式。</w:t>
      </w:r>
    </w:p>
    <w:p w14:paraId="7E77EA4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lang w:val="en-US" w:eastAsia="zh-CN"/>
        </w:rPr>
        <w:t>无论采取何种形式的投标保证金，投标保证金有效期均应与投标有效期一致。招标人如果按本章第</w:t>
      </w:r>
      <w:r>
        <w:rPr>
          <w:rFonts w:hint="default" w:ascii="宋体" w:hAnsi="宋体"/>
          <w:color w:val="auto"/>
          <w:sz w:val="21"/>
          <w:szCs w:val="21"/>
          <w:highlight w:val="none"/>
          <w:lang w:val="en-US" w:eastAsia="zh-CN"/>
        </w:rPr>
        <w:t>3.3.3</w:t>
      </w:r>
      <w:r>
        <w:rPr>
          <w:rFonts w:hint="eastAsia" w:ascii="宋体" w:hAnsi="宋体"/>
          <w:color w:val="auto"/>
          <w:sz w:val="21"/>
          <w:szCs w:val="21"/>
          <w:highlight w:val="none"/>
          <w:lang w:val="en-US" w:eastAsia="zh-CN"/>
        </w:rPr>
        <w:t>项的规定延长了投标有效期，则投标保证金的有效期也相应延长。</w:t>
      </w:r>
    </w:p>
    <w:p w14:paraId="3BBA877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3.4.2 投标人不按本章第3.4.1项要求提交投标保证金的，评标委员会将否决其投标。</w:t>
      </w:r>
    </w:p>
    <w:p w14:paraId="0E36166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3.4.3 招标人最迟将在中标通知书发出后5日内向中标候选人以外的其他投标人退还投标保证金，与中标人签订合同后5日内向中标人和其他中标候选人退还投标保证金。投标保证金以现金或支票形式递交的，招标人应同时退还投标保证金的银行同期活期存款利息，且退还至投标人的基本账户。</w:t>
      </w:r>
    </w:p>
    <w:p w14:paraId="1218F92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利息计算原则见投标人须知前附表。</w:t>
      </w:r>
    </w:p>
    <w:p w14:paraId="586567C6">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3.4.4 有下列情形之一的，投标保证金将不予退还：</w:t>
      </w:r>
    </w:p>
    <w:p w14:paraId="3280961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（1）投标人在投标有效期内撤销投标文件；</w:t>
      </w:r>
    </w:p>
    <w:p w14:paraId="4C32A08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（2）中标人在收到中标通知书后，无正当理由不与招标人订立合同，在签订合同时向招标人提出附加条件，或不按照招标文件要求提交履约保证金；</w:t>
      </w:r>
    </w:p>
    <w:p w14:paraId="0F2345D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（3）发生投标人须知前附表规定的其他可以不予退还投标保证金的情形。</w:t>
      </w:r>
    </w:p>
    <w:p w14:paraId="3BFC7728">
      <w:pPr>
        <w:pStyle w:val="36"/>
        <w:spacing w:line="360" w:lineRule="auto"/>
        <w:ind w:left="0" w:leftChars="0" w:firstLine="0" w:firstLineChars="0"/>
        <w:outlineLvl w:val="1"/>
        <w:rPr>
          <w:rFonts w:ascii="宋体" w:hAnsi="宋体" w:eastAsia="宋体"/>
          <w:b/>
          <w:color w:val="auto"/>
          <w:sz w:val="21"/>
          <w:szCs w:val="21"/>
          <w:highlight w:val="none"/>
        </w:rPr>
      </w:pPr>
      <w:bookmarkStart w:id="202" w:name="_Toc16778761"/>
      <w:bookmarkEnd w:id="202"/>
      <w:bookmarkStart w:id="203" w:name="_Toc21969"/>
      <w:bookmarkEnd w:id="203"/>
      <w:bookmarkStart w:id="204" w:name="_Toc32474"/>
      <w:bookmarkStart w:id="205" w:name="_Toc1729"/>
      <w:r>
        <w:rPr>
          <w:rFonts w:hint="eastAsia" w:ascii="宋体" w:hAnsi="宋体" w:eastAsia="宋体"/>
          <w:b/>
          <w:color w:val="auto"/>
          <w:sz w:val="21"/>
          <w:szCs w:val="21"/>
          <w:highlight w:val="none"/>
        </w:rPr>
        <w:t>3.5 资格审查资料</w:t>
      </w:r>
      <w:bookmarkEnd w:id="204"/>
      <w:bookmarkEnd w:id="205"/>
    </w:p>
    <w:p w14:paraId="4159A2B4">
      <w:pPr>
        <w:spacing w:line="360" w:lineRule="auto"/>
        <w:ind w:firstLine="420" w:firstLineChars="200"/>
        <w:rPr>
          <w:rFonts w:ascii="宋体" w:hAnsi="宋体"/>
          <w:color w:val="auto"/>
          <w:sz w:val="21"/>
          <w:szCs w:val="21"/>
          <w:highlight w:val="none"/>
        </w:rPr>
      </w:pPr>
      <w:bookmarkStart w:id="206" w:name="_Toc144974521"/>
      <w:bookmarkEnd w:id="206"/>
      <w:bookmarkStart w:id="207" w:name="_Toc152042329"/>
      <w:bookmarkEnd w:id="207"/>
      <w:bookmarkStart w:id="208" w:name="_Toc179632571"/>
      <w:bookmarkEnd w:id="208"/>
      <w:bookmarkStart w:id="209" w:name="_Toc152045553"/>
      <w:r>
        <w:rPr>
          <w:rFonts w:hint="eastAsia" w:ascii="宋体" w:hAnsi="宋体"/>
          <w:color w:val="auto"/>
          <w:sz w:val="21"/>
          <w:szCs w:val="21"/>
          <w:highlight w:val="none"/>
        </w:rPr>
        <w:t>除投标人须知前附表另有规定外，投标人应按下列规定提供资格审查资料，以证明其满足本章第1.4款规定的资质、财务、业绩、信誉等要求。</w:t>
      </w:r>
      <w:bookmarkEnd w:id="209"/>
    </w:p>
    <w:p w14:paraId="6AD9F4C9">
      <w:pPr>
        <w:spacing w:line="360" w:lineRule="auto"/>
        <w:ind w:firstLine="420" w:firstLineChars="200"/>
        <w:rPr>
          <w:rFonts w:ascii="宋体" w:hAnsi="宋体"/>
          <w:color w:val="0000FF"/>
          <w:sz w:val="21"/>
          <w:szCs w:val="21"/>
          <w:highlight w:val="none"/>
        </w:rPr>
      </w:pPr>
      <w:r>
        <w:rPr>
          <w:rFonts w:hint="eastAsia" w:ascii="宋体" w:hAnsi="宋体"/>
          <w:color w:val="auto"/>
          <w:sz w:val="21"/>
          <w:szCs w:val="21"/>
          <w:highlight w:val="none"/>
        </w:rPr>
        <w:t>3.5.1 “投标人基本情况表”应附企业法人营业执照副本（按照“三证合一”或“五证合一”登记制度进行登记的，可仅提供营业执照副本，下同）、施工资质证书副本、安全生产许可证副本、基本账户开户许可证或</w:t>
      </w:r>
      <w:r>
        <w:rPr>
          <w:rFonts w:hint="eastAsia" w:ascii="宋体" w:hAnsi="宋体"/>
          <w:color w:val="auto"/>
          <w:sz w:val="21"/>
          <w:szCs w:val="21"/>
          <w:highlight w:val="none"/>
          <w:lang w:val="en-US" w:eastAsia="zh-CN"/>
        </w:rPr>
        <w:t>基本存款账户信息或</w:t>
      </w:r>
      <w:r>
        <w:rPr>
          <w:rFonts w:hint="eastAsia" w:ascii="宋体" w:hAnsi="宋体"/>
          <w:color w:val="auto"/>
          <w:sz w:val="21"/>
          <w:szCs w:val="21"/>
          <w:highlight w:val="none"/>
        </w:rPr>
        <w:t>开户证明的扫描件</w:t>
      </w:r>
      <w:r>
        <w:rPr>
          <w:rFonts w:hint="eastAsia" w:ascii="宋体" w:hAnsi="宋体"/>
          <w:color w:val="auto"/>
          <w:sz w:val="21"/>
          <w:szCs w:val="21"/>
          <w:highlight w:val="none"/>
          <w:lang w:eastAsia="zh-CN"/>
        </w:rPr>
        <w:t>。以及投标人在国家企业信用信息公示系统中基础信息（体现股东及出资详细信息）的网页截图或由法定的社会验资机构出具的验资报告或注册地工商部门出具的股东出资情况证明扫描件。</w:t>
      </w:r>
    </w:p>
    <w:p w14:paraId="398B2DFA">
      <w:pPr>
        <w:spacing w:line="360" w:lineRule="auto"/>
        <w:ind w:firstLine="420" w:firstLineChars="200"/>
        <w:rPr>
          <w:rFonts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3.5.2 “财务状况表”应附经会计师事务所或审计机构审计的财务会计报表，包括资产负债表、现金流量表、利润表和财务情况说明书（附注）的复印件，具体年份要求见投标人须知前附表。投标人的成立时间少于投标人须知前附表规定年份的，应提供成立以来的财</w:t>
      </w:r>
      <w:r>
        <w:rPr>
          <w:rFonts w:hint="eastAsia" w:ascii="宋体" w:hAnsi="宋体"/>
          <w:color w:val="000000" w:themeColor="text1"/>
          <w:sz w:val="21"/>
          <w:szCs w:val="21"/>
          <w:highlight w:val="none"/>
          <w14:textFill>
            <w14:solidFill>
              <w14:schemeClr w14:val="tx1"/>
            </w14:solidFill>
          </w14:textFill>
        </w:rPr>
        <w:t>务状况表。</w:t>
      </w:r>
    </w:p>
    <w:p w14:paraId="0FEB806C">
      <w:pPr>
        <w:spacing w:line="360" w:lineRule="auto"/>
        <w:ind w:firstLine="420" w:firstLineChars="20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3.5.3 “近年类似项目”应附相应的合同协议书、中标通知书</w:t>
      </w:r>
      <w:r>
        <w:rPr>
          <w:rFonts w:hint="eastAsia" w:ascii="宋体" w:hAnsi="宋体"/>
          <w:color w:val="000000" w:themeColor="text1"/>
          <w:sz w:val="21"/>
          <w:szCs w:val="21"/>
          <w:highlight w:val="none"/>
          <w:lang w:eastAsia="zh-CN"/>
          <w14:textFill>
            <w14:solidFill>
              <w14:schemeClr w14:val="tx1"/>
            </w14:solidFill>
          </w14:textFill>
        </w:rPr>
        <w:t>及中标公示网页截图等</w:t>
      </w:r>
      <w:r>
        <w:rPr>
          <w:rFonts w:hint="eastAsia" w:ascii="宋体" w:hAnsi="宋体"/>
          <w:color w:val="000000" w:themeColor="text1"/>
          <w:sz w:val="21"/>
          <w:szCs w:val="21"/>
          <w:highlight w:val="none"/>
          <w14:textFill>
            <w14:solidFill>
              <w14:schemeClr w14:val="tx1"/>
            </w14:solidFill>
          </w14:textFill>
        </w:rPr>
        <w:t>有效证明材料，具体时间要求见投标人须知前附表。</w:t>
      </w:r>
    </w:p>
    <w:p w14:paraId="2497AA4B">
      <w:pPr>
        <w:spacing w:line="360" w:lineRule="auto"/>
        <w:ind w:firstLine="420" w:firstLineChars="200"/>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rPr>
        <w:t>3.5.4 “投标人的信誉情况表”应附投标人在</w:t>
      </w:r>
      <w:r>
        <w:rPr>
          <w:rFonts w:hint="eastAsia" w:ascii="宋体" w:hAnsi="宋体"/>
          <w:color w:val="auto"/>
          <w:sz w:val="21"/>
          <w:szCs w:val="21"/>
          <w:highlight w:val="none"/>
          <w:lang w:val="en-US" w:eastAsia="zh-CN"/>
        </w:rPr>
        <w:t>国家企业信用信息公示系统（www.gsxt.gov.cn）“严重违法失信名单”，“信用中国”（www.creditchina.gov.cn）或“中国执行信息公开网”（zxgk.court.gov.cn）“失信被执行人名单”、“重大税收违法失信主体名单”，“中国政府采购网”（www.ccgp.gov.cn）政府采购严重违法失信行为名单”查询网页截图</w:t>
      </w:r>
      <w:r>
        <w:rPr>
          <w:rFonts w:hint="eastAsia" w:ascii="宋体" w:hAnsi="宋体" w:eastAsia="宋体" w:cs="Times New Roman"/>
          <w:color w:val="auto"/>
          <w:sz w:val="21"/>
          <w:szCs w:val="21"/>
          <w:highlight w:val="none"/>
          <w:lang w:val="en-US" w:eastAsia="zh-CN"/>
        </w:rPr>
        <w:t>。</w:t>
      </w:r>
    </w:p>
    <w:p w14:paraId="023DE3DD">
      <w:pPr>
        <w:spacing w:line="360" w:lineRule="auto"/>
        <w:ind w:firstLine="420" w:firstLineChars="200"/>
        <w:rPr>
          <w:rFonts w:hint="eastAsia" w:ascii="宋体" w:hAnsi="宋体"/>
          <w:color w:val="auto"/>
          <w:sz w:val="21"/>
          <w:szCs w:val="21"/>
          <w:highlight w:val="none"/>
        </w:rPr>
      </w:pPr>
      <w:r>
        <w:rPr>
          <w:rFonts w:hint="eastAsia" w:ascii="宋体" w:hAnsi="宋体" w:eastAsia="宋体" w:cs="Times New Roman"/>
          <w:color w:val="auto"/>
          <w:sz w:val="21"/>
          <w:szCs w:val="21"/>
          <w:highlight w:val="none"/>
        </w:rPr>
        <w:t>3.5.5 “拟委任的项目经理和项目总工资历表”应附项目经理</w:t>
      </w:r>
      <w:r>
        <w:rPr>
          <w:rFonts w:hint="eastAsia" w:ascii="宋体" w:hAnsi="宋体" w:cs="Times New Roman"/>
          <w:color w:val="auto"/>
          <w:sz w:val="21"/>
          <w:szCs w:val="21"/>
          <w:highlight w:val="none"/>
          <w:lang w:val="en-US" w:eastAsia="zh-CN"/>
        </w:rPr>
        <w:t>和</w:t>
      </w:r>
      <w:r>
        <w:rPr>
          <w:rFonts w:hint="eastAsia" w:ascii="宋体" w:hAnsi="宋体" w:eastAsia="宋体" w:cs="Times New Roman"/>
          <w:color w:val="auto"/>
          <w:sz w:val="21"/>
          <w:szCs w:val="21"/>
          <w:highlight w:val="none"/>
        </w:rPr>
        <w:t>项目总工的身份证以及资格审查条件所要求的其他相关证书的扫描件，</w:t>
      </w:r>
      <w:r>
        <w:rPr>
          <w:rFonts w:hint="eastAsia" w:ascii="宋体" w:hAnsi="宋体" w:eastAsia="宋体" w:cs="Times New Roman"/>
          <w:color w:val="auto"/>
          <w:sz w:val="21"/>
          <w:szCs w:val="21"/>
          <w:highlight w:val="none"/>
          <w:lang w:val="en-US" w:eastAsia="zh-CN"/>
        </w:rPr>
        <w:t>以及劳动合同</w:t>
      </w:r>
      <w:r>
        <w:rPr>
          <w:rFonts w:hint="eastAsia" w:ascii="宋体" w:hAnsi="宋体" w:cs="Times New Roman"/>
          <w:color w:val="auto"/>
          <w:sz w:val="21"/>
          <w:szCs w:val="21"/>
          <w:highlight w:val="none"/>
          <w:lang w:val="en-US" w:eastAsia="zh-CN"/>
        </w:rPr>
        <w:t>和</w:t>
      </w:r>
      <w:r>
        <w:rPr>
          <w:rFonts w:hint="eastAsia" w:ascii="宋体" w:hAnsi="宋体" w:eastAsia="宋体" w:cs="Times New Roman"/>
          <w:color w:val="auto"/>
          <w:sz w:val="21"/>
          <w:szCs w:val="21"/>
          <w:highlight w:val="none"/>
          <w:lang w:val="en-US" w:eastAsia="zh-CN"/>
        </w:rPr>
        <w:t>社保证明材料</w:t>
      </w:r>
      <w:r>
        <w:rPr>
          <w:rFonts w:hint="eastAsia" w:ascii="宋体" w:hAnsi="宋体" w:eastAsia="宋体" w:cs="Times New Roman"/>
          <w:color w:val="auto"/>
          <w:sz w:val="21"/>
          <w:szCs w:val="21"/>
          <w:highlight w:val="none"/>
        </w:rPr>
        <w:t>。</w:t>
      </w:r>
    </w:p>
    <w:p w14:paraId="2ADADE54">
      <w:pPr>
        <w:spacing w:line="360" w:lineRule="auto"/>
        <w:ind w:firstLine="420" w:firstLineChars="200"/>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3.5.</w:t>
      </w:r>
      <w:r>
        <w:rPr>
          <w:rFonts w:hint="eastAsia" w:ascii="宋体" w:hAnsi="宋体"/>
          <w:color w:val="auto"/>
          <w:sz w:val="21"/>
          <w:szCs w:val="21"/>
          <w:highlight w:val="none"/>
          <w:lang w:val="en-US" w:eastAsia="zh-CN"/>
        </w:rPr>
        <w:t>6</w:t>
      </w:r>
      <w:r>
        <w:rPr>
          <w:rFonts w:hint="eastAsia" w:ascii="宋体" w:hAnsi="宋体"/>
          <w:color w:val="auto"/>
          <w:sz w:val="21"/>
          <w:szCs w:val="21"/>
          <w:highlight w:val="none"/>
        </w:rPr>
        <w:t xml:space="preserve"> 投标人须知前附表规定接受联合体投标的，本章第 3.5.1项至第 3.5.7项规定的表格和资料应包括联合体各方相关情况。</w:t>
      </w:r>
    </w:p>
    <w:p w14:paraId="37A31BFB">
      <w:pPr>
        <w:spacing w:line="360" w:lineRule="auto"/>
        <w:ind w:firstLine="420" w:firstLineChars="20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3.5.</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 xml:space="preserve"> 除合同条款约定的特殊情形外，投标人在投标文件中填报的项目经理和项目总工不允许更换。</w:t>
      </w:r>
      <w:r>
        <w:rPr>
          <w:rFonts w:hint="eastAsia" w:ascii="宋体" w:hAnsi="宋体"/>
          <w:color w:val="auto"/>
          <w:sz w:val="21"/>
          <w:szCs w:val="21"/>
          <w:highlight w:val="none"/>
          <w:lang w:val="en-US" w:eastAsia="zh-CN"/>
        </w:rPr>
        <w:t>投标人应对此作出承诺，否则</w:t>
      </w:r>
      <w:r>
        <w:rPr>
          <w:rFonts w:hint="eastAsia" w:ascii="宋体" w:hAnsi="宋体"/>
          <w:color w:val="auto"/>
          <w:sz w:val="21"/>
          <w:szCs w:val="21"/>
          <w:highlight w:val="none"/>
        </w:rPr>
        <w:t>投标将被否决</w:t>
      </w:r>
      <w:r>
        <w:rPr>
          <w:rFonts w:hint="eastAsia" w:ascii="宋体" w:hAnsi="宋体"/>
          <w:color w:val="auto"/>
          <w:sz w:val="21"/>
          <w:szCs w:val="21"/>
          <w:highlight w:val="none"/>
          <w:lang w:eastAsia="zh-CN"/>
        </w:rPr>
        <w:t>。</w:t>
      </w:r>
    </w:p>
    <w:p w14:paraId="6BC612E9">
      <w:pPr>
        <w:spacing w:line="360" w:lineRule="auto"/>
        <w:ind w:firstLine="420" w:firstLineChars="200"/>
        <w:rPr>
          <w:rFonts w:hint="eastAsia" w:ascii="宋体" w:hAnsi="宋体"/>
          <w:color w:val="FF0000"/>
          <w:sz w:val="21"/>
          <w:szCs w:val="21"/>
          <w:highlight w:val="none"/>
          <w:lang w:val="en-US" w:eastAsia="zh-CN"/>
        </w:rPr>
      </w:pPr>
      <w:r>
        <w:rPr>
          <w:rFonts w:hint="eastAsia" w:ascii="宋体" w:hAnsi="宋体"/>
          <w:color w:val="auto"/>
          <w:sz w:val="21"/>
          <w:szCs w:val="21"/>
          <w:highlight w:val="none"/>
          <w:lang w:val="en-US" w:eastAsia="zh-CN"/>
        </w:rPr>
        <w:t>3.5.8 招标人有权核查投标人在投标文件中提供的资料，若在评标期间发现投标人提供了虚假资料，其投标将被否决；若在签订合同前发现作为中标候选人的投标人提供了虚假资料，招标人有权取消其中标资格；若在合同实施期间发现投标人提供了虚假资料，招标人有权从工程支付款或履约保证金中扣除不超过10％签约合同价的金额作为违约金，并取消其中标资格，同时招标人将投标人上述弄虚作假行为上报省级交通运输主管部门，作为不良记录纳入全国公路建设市场监督管理系统（http：//glxy.mot.gov.cn），投标人应对此作出承诺，否则投标将被否决。</w:t>
      </w:r>
      <w:bookmarkStart w:id="210" w:name="_Toc16778762"/>
      <w:bookmarkEnd w:id="210"/>
      <w:bookmarkStart w:id="211" w:name="_Toc22396"/>
      <w:bookmarkEnd w:id="211"/>
      <w:bookmarkStart w:id="212" w:name="_Toc14758"/>
      <w:bookmarkStart w:id="213" w:name="_Toc19164"/>
    </w:p>
    <w:p w14:paraId="1F958106">
      <w:pPr>
        <w:spacing w:line="360"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3.6 备选投标方案</w:t>
      </w:r>
      <w:bookmarkEnd w:id="212"/>
      <w:bookmarkEnd w:id="213"/>
    </w:p>
    <w:p w14:paraId="2035A3EE">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3.6.1 除投标人须知前附表规定允许外，投标人不得递交备选投标方案，否则其投标将被否决。3.6.2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2509F4A1">
      <w:pPr>
        <w:spacing w:line="360" w:lineRule="auto"/>
        <w:ind w:firstLine="420" w:firstLineChars="200"/>
        <w:rPr>
          <w:rFonts w:hint="eastAsia" w:ascii="宋体" w:hAnsi="宋体"/>
          <w:color w:val="auto"/>
          <w:sz w:val="21"/>
          <w:szCs w:val="21"/>
          <w:highlight w:val="none"/>
          <w:lang w:eastAsia="zh-CN"/>
        </w:rPr>
      </w:pPr>
      <w:r>
        <w:rPr>
          <w:rFonts w:hint="eastAsia" w:ascii="宋体" w:hAnsi="宋体"/>
          <w:color w:val="auto"/>
          <w:sz w:val="21"/>
          <w:szCs w:val="21"/>
          <w:highlight w:val="none"/>
        </w:rPr>
        <w:t>3.6.3 投标人提供两个或两个以上投标报价，或在投标文件中提供一个报价，但同时提供两个或两个以上施工组织设计的，视为提供备选方案</w:t>
      </w:r>
      <w:r>
        <w:rPr>
          <w:rFonts w:hint="eastAsia" w:ascii="宋体" w:hAnsi="宋体"/>
          <w:color w:val="auto"/>
          <w:sz w:val="21"/>
          <w:szCs w:val="21"/>
          <w:highlight w:val="none"/>
          <w:lang w:eastAsia="zh-CN"/>
        </w:rPr>
        <w:t>。</w:t>
      </w:r>
      <w:bookmarkStart w:id="214" w:name="_Toc179632572"/>
      <w:bookmarkEnd w:id="214"/>
      <w:bookmarkStart w:id="215" w:name="_Toc29828"/>
      <w:bookmarkEnd w:id="215"/>
      <w:bookmarkStart w:id="216" w:name="_Toc152045554"/>
      <w:bookmarkEnd w:id="216"/>
      <w:bookmarkStart w:id="217" w:name="_Toc152042330"/>
      <w:bookmarkEnd w:id="217"/>
      <w:bookmarkStart w:id="218" w:name="_Toc20758"/>
      <w:bookmarkEnd w:id="218"/>
      <w:bookmarkStart w:id="219" w:name="_Toc144974522"/>
      <w:bookmarkEnd w:id="219"/>
      <w:bookmarkStart w:id="220" w:name="_Toc16778763"/>
      <w:bookmarkStart w:id="221" w:name="_Toc20968"/>
    </w:p>
    <w:p w14:paraId="283762B1">
      <w:pPr>
        <w:spacing w:line="360" w:lineRule="auto"/>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3.7 投标文件的编制</w:t>
      </w:r>
      <w:bookmarkEnd w:id="220"/>
      <w:bookmarkEnd w:id="221"/>
    </w:p>
    <w:p w14:paraId="3D599EE4">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3.7.1 投标文件应按</w:t>
      </w:r>
      <w:r>
        <w:rPr>
          <w:rFonts w:hint="eastAsia" w:ascii="宋体" w:hAnsi="宋体"/>
          <w:color w:val="auto"/>
          <w:sz w:val="21"/>
          <w:szCs w:val="21"/>
          <w:highlight w:val="none"/>
          <w:lang w:eastAsia="zh-CN"/>
        </w:rPr>
        <w:t>第十章</w:t>
      </w:r>
      <w:r>
        <w:rPr>
          <w:rFonts w:hint="eastAsia" w:ascii="宋体" w:hAnsi="宋体"/>
          <w:color w:val="auto"/>
          <w:sz w:val="21"/>
          <w:szCs w:val="21"/>
          <w:highlight w:val="none"/>
        </w:rPr>
        <w:t>“投标文件格式”进行编写，如有必要，可以增加附页，作为投标文件的组成部分。其中，投标函附录在满足招标文件实质性要求的基础上，可以提出比招标文件要求更有利于招标人的承诺。</w:t>
      </w:r>
    </w:p>
    <w:p w14:paraId="788BD185">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3.7.2 投标文件应对招标文件有关工期、投标有效期、质量要求、安全目标、技术标准和要求、招标范围等实质性内容作出响应。</w:t>
      </w:r>
    </w:p>
    <w:p w14:paraId="1BA087D3">
      <w:pPr>
        <w:spacing w:line="360"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3.7.3 </w:t>
      </w:r>
      <w:bookmarkStart w:id="222" w:name="_Toc152045555"/>
      <w:r>
        <w:rPr>
          <w:rFonts w:hint="eastAsia" w:ascii="宋体" w:hAnsi="宋体"/>
          <w:color w:val="auto"/>
          <w:sz w:val="21"/>
          <w:szCs w:val="21"/>
          <w:highlight w:val="none"/>
          <w:lang w:val="en-US" w:eastAsia="zh-CN"/>
        </w:rPr>
        <w:t>投标文件的制作应满足以下规定：</w:t>
      </w:r>
      <w:bookmarkEnd w:id="222"/>
    </w:p>
    <w:p w14:paraId="41312B16">
      <w:pPr>
        <w:spacing w:line="360"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（1）投标文件由投标人使用“驻马店市公共资源交易平台”自带的“投标文件制作工具”制作生成。</w:t>
      </w:r>
    </w:p>
    <w:p w14:paraId="38C6F58A">
      <w:pPr>
        <w:spacing w:line="360"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（2）投标人在编制投标文件时应建立分级目录，并按照标签提示导入相关内容。</w:t>
      </w:r>
    </w:p>
    <w:p w14:paraId="5295C577">
      <w:pPr>
        <w:spacing w:line="360"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（3）投标文件中证明资料的“复印件”均为“原件的扫描件”。</w:t>
      </w:r>
    </w:p>
    <w:p w14:paraId="70495977">
      <w:pPr>
        <w:spacing w:line="360"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（4）投标文件中的已标价报价清单数据文件应与招标人提供的报价清单数据文件格式一致。 </w:t>
      </w:r>
    </w:p>
    <w:p w14:paraId="7EB347DE">
      <w:pPr>
        <w:spacing w:line="360"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（5）第十章“投标文件格式”中要求盖单位章和（或）签字的地方，投标人均应使用CA数字证书加盖投标人的单位电子印章和（或）法定代表人的个人电子印章或电子签名章。</w:t>
      </w:r>
    </w:p>
    <w:p w14:paraId="0627F4E2">
      <w:pPr>
        <w:spacing w:line="360"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（6）投标文件制作完成后，投标人应使用CA数字证书对投标文件进行文件加密，形成加密的投标文件。</w:t>
      </w:r>
    </w:p>
    <w:p w14:paraId="6E620B7E">
      <w:pPr>
        <w:spacing w:line="360" w:lineRule="auto"/>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（7）投标文件制作的具体方法详见“投标文件制作工具”中的帮助文档。</w:t>
      </w:r>
    </w:p>
    <w:p w14:paraId="24B0047D">
      <w:pPr>
        <w:spacing w:line="360" w:lineRule="auto"/>
        <w:ind w:firstLine="420" w:firstLineChars="200"/>
        <w:rPr>
          <w:rFonts w:hint="default" w:ascii="宋体" w:hAnsi="宋体"/>
          <w:color w:val="auto"/>
          <w:sz w:val="21"/>
          <w:szCs w:val="21"/>
          <w:highlight w:val="none"/>
          <w:lang w:val="en-US"/>
        </w:rPr>
      </w:pPr>
      <w:r>
        <w:rPr>
          <w:rFonts w:hint="eastAsia" w:ascii="宋体" w:hAnsi="宋体"/>
          <w:color w:val="auto"/>
          <w:sz w:val="21"/>
          <w:szCs w:val="21"/>
          <w:highlight w:val="none"/>
          <w:lang w:val="en-US" w:eastAsia="zh-CN"/>
        </w:rPr>
        <w:t>3.7.4因投标人自身原因而导致投标文件无法导入“电子交易平台”电子开标、评标系统，该投标视为无效投标，投标人自行承担由此导致的全部责任。</w:t>
      </w:r>
    </w:p>
    <w:p w14:paraId="1D00C1C8">
      <w:pPr>
        <w:spacing w:line="360" w:lineRule="auto"/>
        <w:ind w:firstLine="420" w:firstLineChars="200"/>
        <w:rPr>
          <w:rFonts w:hint="eastAsia" w:ascii="宋体" w:hAnsi="宋体"/>
          <w:color w:val="FF0000"/>
          <w:sz w:val="21"/>
          <w:szCs w:val="21"/>
          <w:highlight w:val="none"/>
          <w:lang w:eastAsia="zh-CN"/>
        </w:rPr>
      </w:pPr>
      <w:r>
        <w:rPr>
          <w:rFonts w:hint="eastAsia" w:ascii="宋体" w:hAnsi="宋体"/>
          <w:color w:val="auto"/>
          <w:sz w:val="21"/>
          <w:szCs w:val="21"/>
          <w:highlight w:val="none"/>
        </w:rPr>
        <w:t>3.7.</w:t>
      </w:r>
      <w:r>
        <w:rPr>
          <w:rFonts w:hint="eastAsia" w:ascii="宋体" w:hAnsi="宋体"/>
          <w:color w:val="auto"/>
          <w:sz w:val="21"/>
          <w:szCs w:val="21"/>
          <w:highlight w:val="none"/>
          <w:lang w:val="en-US" w:eastAsia="zh-CN"/>
        </w:rPr>
        <w:t>5</w:t>
      </w:r>
      <w:r>
        <w:rPr>
          <w:rFonts w:hint="eastAsia" w:ascii="宋体" w:hAnsi="宋体"/>
          <w:color w:val="auto"/>
          <w:sz w:val="21"/>
          <w:szCs w:val="21"/>
          <w:highlight w:val="none"/>
        </w:rPr>
        <w:t>投标文件副本份数及其他要求：见投标人须知前附表。</w:t>
      </w:r>
    </w:p>
    <w:p w14:paraId="2F3DCE61">
      <w:pPr>
        <w:pStyle w:val="35"/>
        <w:spacing w:line="360" w:lineRule="auto"/>
        <w:ind w:left="0" w:leftChars="0" w:firstLine="0" w:firstLineChars="0"/>
        <w:outlineLvl w:val="0"/>
        <w:rPr>
          <w:rFonts w:ascii="宋体" w:hAnsi="宋体" w:eastAsia="宋体"/>
          <w:b/>
          <w:color w:val="auto"/>
          <w:sz w:val="21"/>
          <w:szCs w:val="21"/>
          <w:highlight w:val="none"/>
        </w:rPr>
      </w:pPr>
      <w:bookmarkStart w:id="223" w:name="_Toc29042"/>
      <w:bookmarkEnd w:id="223"/>
      <w:bookmarkStart w:id="224" w:name="_Toc23390"/>
      <w:bookmarkStart w:id="225" w:name="_Toc31297"/>
      <w:r>
        <w:rPr>
          <w:rFonts w:hint="eastAsia" w:ascii="宋体" w:hAnsi="宋体" w:eastAsia="宋体"/>
          <w:b/>
          <w:color w:val="auto"/>
          <w:sz w:val="21"/>
          <w:szCs w:val="21"/>
          <w:highlight w:val="none"/>
        </w:rPr>
        <w:t>4. 投标</w:t>
      </w:r>
      <w:bookmarkEnd w:id="224"/>
      <w:bookmarkEnd w:id="225"/>
    </w:p>
    <w:p w14:paraId="4791DAE7">
      <w:pPr>
        <w:pStyle w:val="36"/>
        <w:spacing w:line="360" w:lineRule="auto"/>
        <w:ind w:left="0" w:leftChars="0" w:firstLine="0" w:firstLineChars="0"/>
        <w:outlineLvl w:val="1"/>
        <w:rPr>
          <w:rFonts w:hint="eastAsia" w:ascii="宋体" w:hAnsi="宋体" w:eastAsia="宋体"/>
          <w:b/>
          <w:color w:val="auto"/>
          <w:sz w:val="21"/>
          <w:szCs w:val="21"/>
          <w:highlight w:val="none"/>
          <w:lang w:eastAsia="zh-CN"/>
        </w:rPr>
      </w:pPr>
      <w:bookmarkStart w:id="226" w:name="_Toc152042332"/>
      <w:bookmarkEnd w:id="226"/>
      <w:bookmarkStart w:id="227" w:name="_Toc144974524"/>
      <w:bookmarkEnd w:id="227"/>
      <w:bookmarkStart w:id="228" w:name="_Toc16585"/>
      <w:bookmarkEnd w:id="228"/>
      <w:bookmarkStart w:id="229" w:name="_Toc179632574"/>
      <w:bookmarkEnd w:id="229"/>
      <w:bookmarkStart w:id="230" w:name="_Toc25042"/>
      <w:bookmarkEnd w:id="230"/>
      <w:bookmarkStart w:id="231" w:name="_Toc16778765"/>
      <w:bookmarkEnd w:id="231"/>
      <w:bookmarkStart w:id="232" w:name="_Toc152045556"/>
      <w:bookmarkStart w:id="233" w:name="_Toc25097"/>
      <w:r>
        <w:rPr>
          <w:rFonts w:hint="eastAsia" w:ascii="宋体" w:hAnsi="宋体" w:eastAsia="宋体"/>
          <w:b/>
          <w:color w:val="auto"/>
          <w:sz w:val="21"/>
          <w:szCs w:val="21"/>
          <w:highlight w:val="none"/>
        </w:rPr>
        <w:t>4.1 投标文件的</w:t>
      </w:r>
      <w:bookmarkEnd w:id="232"/>
      <w:r>
        <w:rPr>
          <w:rFonts w:hint="eastAsia" w:ascii="宋体" w:hAnsi="宋体" w:eastAsia="宋体"/>
          <w:b/>
          <w:color w:val="auto"/>
          <w:sz w:val="21"/>
          <w:szCs w:val="21"/>
          <w:highlight w:val="none"/>
          <w:lang w:eastAsia="zh-CN"/>
        </w:rPr>
        <w:t>加密</w:t>
      </w:r>
      <w:bookmarkEnd w:id="233"/>
    </w:p>
    <w:p w14:paraId="10AC7E7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4.1.1</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投标文件应按照本章第 3.7.3项要求制作并加密，未按要求加密的投标文件，招标人（“驻马店市公共资源交易平台”）将拒绝接收并提示。 </w:t>
      </w:r>
    </w:p>
    <w:p w14:paraId="0ACEEF17">
      <w:pPr>
        <w:pStyle w:val="36"/>
        <w:spacing w:line="360" w:lineRule="auto"/>
        <w:ind w:left="0" w:leftChars="0" w:firstLine="0" w:firstLineChars="0"/>
        <w:outlineLvl w:val="1"/>
        <w:rPr>
          <w:rFonts w:ascii="宋体" w:hAnsi="宋体" w:eastAsia="宋体"/>
          <w:b/>
          <w:color w:val="auto"/>
          <w:sz w:val="21"/>
          <w:szCs w:val="21"/>
          <w:highlight w:val="none"/>
        </w:rPr>
      </w:pPr>
      <w:bookmarkStart w:id="234" w:name="_Toc12881"/>
      <w:bookmarkEnd w:id="234"/>
      <w:bookmarkStart w:id="235" w:name="_Toc152045557"/>
      <w:bookmarkEnd w:id="235"/>
      <w:bookmarkStart w:id="236" w:name="_Toc16778766"/>
      <w:bookmarkEnd w:id="236"/>
      <w:bookmarkStart w:id="237" w:name="_Toc179632575"/>
      <w:bookmarkEnd w:id="237"/>
      <w:bookmarkStart w:id="238" w:name="_Toc144974525"/>
      <w:bookmarkEnd w:id="238"/>
      <w:bookmarkStart w:id="239" w:name="_Toc152042333"/>
      <w:bookmarkEnd w:id="239"/>
      <w:bookmarkStart w:id="240" w:name="_Toc11177"/>
      <w:bookmarkStart w:id="241" w:name="_Toc29063"/>
      <w:r>
        <w:rPr>
          <w:rFonts w:hint="eastAsia" w:ascii="宋体" w:hAnsi="宋体" w:eastAsia="宋体"/>
          <w:b/>
          <w:color w:val="auto"/>
          <w:sz w:val="21"/>
          <w:szCs w:val="21"/>
          <w:highlight w:val="none"/>
        </w:rPr>
        <w:t>4.2 投标文件的递交</w:t>
      </w:r>
      <w:bookmarkEnd w:id="240"/>
      <w:bookmarkEnd w:id="241"/>
    </w:p>
    <w:p w14:paraId="661901F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4.2.1 投标人应在第一章“招标公告”或“投标邀请书”规定的投标截止时间前，通过互联网使用 CA 数字证书登录“驻马店市公共资源交易平台”，将加密的投标文件上传，并保存上传成功后系统自动生成的电子签收凭证，递交时间即为电子签收凭证时间。投标人应充分考虑上传文件时的不可预见因素，未在投标截止时间前完成上传的，视为逾期送达，招标人（“驻马店市公共资源交易平台”）将拒绝接收。</w:t>
      </w:r>
    </w:p>
    <w:p w14:paraId="41CA441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4.2.2 根据本章第 4.1 款的规定，投标人递交的投标文件，只要出现应当拒收的情形，其投标文件予以拒收。</w:t>
      </w:r>
    </w:p>
    <w:p w14:paraId="60E3048B">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4.2.3除投标人须知前附表另有规定外，投标人所递交的投标文件不予退还。</w:t>
      </w:r>
    </w:p>
    <w:p w14:paraId="5A344ADB">
      <w:pPr>
        <w:pStyle w:val="36"/>
        <w:spacing w:line="360" w:lineRule="auto"/>
        <w:ind w:left="0" w:leftChars="0" w:firstLine="0" w:firstLineChars="0"/>
        <w:outlineLvl w:val="1"/>
        <w:rPr>
          <w:rFonts w:ascii="宋体" w:hAnsi="宋体" w:eastAsia="宋体"/>
          <w:b/>
          <w:color w:val="auto"/>
          <w:sz w:val="21"/>
          <w:szCs w:val="21"/>
          <w:highlight w:val="none"/>
        </w:rPr>
      </w:pPr>
      <w:bookmarkStart w:id="242" w:name="_Toc24664"/>
      <w:bookmarkEnd w:id="242"/>
      <w:bookmarkStart w:id="243" w:name="_Toc26962"/>
      <w:bookmarkEnd w:id="243"/>
      <w:bookmarkStart w:id="244" w:name="_Toc152042334"/>
      <w:bookmarkEnd w:id="244"/>
      <w:bookmarkStart w:id="245" w:name="_Toc144974526"/>
      <w:bookmarkEnd w:id="245"/>
      <w:bookmarkStart w:id="246" w:name="_Toc152045558"/>
      <w:bookmarkEnd w:id="246"/>
      <w:bookmarkStart w:id="247" w:name="_Toc16778767"/>
      <w:bookmarkEnd w:id="247"/>
      <w:bookmarkStart w:id="248" w:name="_Toc8589"/>
      <w:bookmarkStart w:id="249" w:name="_Toc179632576"/>
      <w:r>
        <w:rPr>
          <w:rFonts w:hint="eastAsia" w:ascii="宋体" w:hAnsi="宋体" w:eastAsia="宋体"/>
          <w:b/>
          <w:color w:val="auto"/>
          <w:sz w:val="21"/>
          <w:szCs w:val="21"/>
          <w:highlight w:val="none"/>
        </w:rPr>
        <w:t>4.3 投标文件的修改与撤回</w:t>
      </w:r>
      <w:bookmarkEnd w:id="248"/>
      <w:bookmarkEnd w:id="249"/>
    </w:p>
    <w:p w14:paraId="6591239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4.3.1 在本章第4.2.1项规定的投标截止时间前，投标人可以修改或撤回已递交的投标文件。投标人对加密的投标文件进行撤回的，应在“驻马店市公共资源交易平台”直接进行撤回操作；投标人对加密的投标文件进行修改的，应在投标截止时间前完成上传。</w:t>
      </w:r>
    </w:p>
    <w:p w14:paraId="07C0CE30">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47E25FDD">
      <w:pPr>
        <w:spacing w:line="360" w:lineRule="auto"/>
        <w:ind w:firstLine="420" w:firstLineChars="200"/>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4.3.3 投标人撤回投标文件的，招标人自收到投标人书面撤回通知之日起5日内退还已收取的投标保证金。</w:t>
      </w:r>
      <w:bookmarkStart w:id="250" w:name="5、磋商开启"/>
      <w:bookmarkEnd w:id="250"/>
    </w:p>
    <w:p w14:paraId="4E0295A8">
      <w:pPr>
        <w:pStyle w:val="3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0"/>
        <w:rPr>
          <w:rFonts w:ascii="宋体" w:hAnsi="宋体" w:eastAsia="宋体"/>
          <w:b/>
          <w:color w:val="auto"/>
          <w:sz w:val="21"/>
          <w:szCs w:val="21"/>
          <w:highlight w:val="none"/>
        </w:rPr>
      </w:pPr>
      <w:bookmarkStart w:id="251" w:name="_Toc3762"/>
      <w:bookmarkEnd w:id="251"/>
      <w:bookmarkStart w:id="252" w:name="_Toc144974527"/>
      <w:bookmarkEnd w:id="252"/>
      <w:bookmarkStart w:id="253" w:name="_Toc152045559"/>
      <w:bookmarkEnd w:id="253"/>
      <w:bookmarkStart w:id="254" w:name="_Toc16778768"/>
      <w:bookmarkEnd w:id="254"/>
      <w:bookmarkStart w:id="255" w:name="_Toc179632577"/>
      <w:bookmarkEnd w:id="255"/>
      <w:bookmarkStart w:id="256" w:name="_Toc152042335"/>
      <w:bookmarkEnd w:id="256"/>
      <w:bookmarkStart w:id="257" w:name="_Toc1671"/>
      <w:bookmarkStart w:id="258" w:name="_Toc14534"/>
      <w:r>
        <w:rPr>
          <w:rFonts w:hint="eastAsia" w:ascii="宋体" w:hAnsi="宋体" w:eastAsia="宋体"/>
          <w:b/>
          <w:color w:val="auto"/>
          <w:sz w:val="21"/>
          <w:szCs w:val="21"/>
          <w:highlight w:val="none"/>
        </w:rPr>
        <w:t>5. 开标</w:t>
      </w:r>
      <w:bookmarkEnd w:id="257"/>
      <w:bookmarkEnd w:id="258"/>
    </w:p>
    <w:p w14:paraId="18916416">
      <w:pPr>
        <w:pStyle w:val="36"/>
        <w:spacing w:line="360" w:lineRule="auto"/>
        <w:ind w:left="0" w:leftChars="0" w:firstLine="0" w:firstLineChars="0"/>
        <w:outlineLvl w:val="1"/>
        <w:rPr>
          <w:rFonts w:hint="eastAsia" w:ascii="宋体" w:hAnsi="宋体" w:eastAsia="宋体"/>
          <w:b/>
          <w:color w:val="auto"/>
          <w:sz w:val="21"/>
          <w:szCs w:val="21"/>
          <w:highlight w:val="none"/>
        </w:rPr>
      </w:pPr>
      <w:bookmarkStart w:id="259" w:name="_Toc16778770"/>
      <w:bookmarkEnd w:id="259"/>
      <w:bookmarkStart w:id="260" w:name="_Toc152042336"/>
      <w:bookmarkEnd w:id="260"/>
      <w:bookmarkStart w:id="261" w:name="_Toc1228"/>
      <w:bookmarkEnd w:id="261"/>
      <w:bookmarkStart w:id="262" w:name="_Toc152045561"/>
      <w:bookmarkEnd w:id="262"/>
      <w:bookmarkStart w:id="263" w:name="_Toc152042337"/>
      <w:bookmarkEnd w:id="263"/>
      <w:bookmarkStart w:id="264" w:name="_Toc152045560"/>
      <w:bookmarkEnd w:id="264"/>
      <w:bookmarkStart w:id="265" w:name="_Toc14296"/>
      <w:bookmarkEnd w:id="265"/>
      <w:bookmarkStart w:id="266" w:name="_Toc144974528"/>
      <w:bookmarkEnd w:id="266"/>
      <w:bookmarkStart w:id="267" w:name="_Toc16778769"/>
      <w:bookmarkEnd w:id="267"/>
      <w:bookmarkStart w:id="268" w:name="_Toc179632579"/>
      <w:bookmarkEnd w:id="268"/>
      <w:bookmarkStart w:id="269" w:name="_Toc18244"/>
      <w:bookmarkEnd w:id="269"/>
      <w:bookmarkStart w:id="270" w:name="_Toc1749"/>
      <w:r>
        <w:rPr>
          <w:rFonts w:hint="eastAsia" w:ascii="宋体" w:hAnsi="宋体" w:eastAsia="宋体"/>
          <w:b/>
          <w:color w:val="auto"/>
          <w:sz w:val="21"/>
          <w:szCs w:val="21"/>
          <w:highlight w:val="none"/>
        </w:rPr>
        <w:t>5.1 开标时间和地点</w:t>
      </w:r>
      <w:bookmarkEnd w:id="270"/>
    </w:p>
    <w:p w14:paraId="1A85C907">
      <w:pPr>
        <w:spacing w:line="360" w:lineRule="auto"/>
        <w:ind w:firstLine="420" w:firstLineChars="200"/>
        <w:rPr>
          <w:rFonts w:hint="eastAsia" w:ascii="宋体" w:hAnsi="宋体"/>
          <w:color w:val="auto"/>
          <w:sz w:val="21"/>
          <w:szCs w:val="21"/>
          <w:highlight w:val="none"/>
        </w:rPr>
      </w:pPr>
      <w:bookmarkStart w:id="271" w:name="_Toc144974529"/>
      <w:r>
        <w:rPr>
          <w:rFonts w:hint="eastAsia" w:ascii="宋体" w:hAnsi="宋体"/>
          <w:color w:val="auto"/>
          <w:sz w:val="21"/>
          <w:szCs w:val="21"/>
          <w:highlight w:val="none"/>
        </w:rPr>
        <w:t>招标人在本章第 4.2.1 项规定的投标截止时间（开标时间）和投标人须知前附表规定的地点对收到的投标文件第一个信封（商务及技术文件）公开开标，并邀请所有投标人的法定代表人或其委托代理人准时参加远程开标。</w:t>
      </w:r>
      <w:bookmarkEnd w:id="271"/>
    </w:p>
    <w:p w14:paraId="5E7438C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招标人在投标人须知前附表规定的时间和地点对投标文件第二个信封（报价文件）进行开标，并邀请所有投标人的法定代表人或其委托代理人准时参加远程开标。</w:t>
      </w:r>
    </w:p>
    <w:p w14:paraId="237E200C">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val="en-US" w:eastAsia="zh-CN"/>
        </w:rPr>
        <w:t>投标人若未派法定代表人或委托代理人参加第一个信封（商务及技术文件）开标的，其投标将被否决。投标人若未派法定代表人或委托代理人参加第二个信封（报价文件）开标的，视为该投标人默认第二个信封（报价文件）的开标结果</w:t>
      </w:r>
      <w:r>
        <w:rPr>
          <w:rFonts w:hint="eastAsia" w:ascii="宋体" w:hAnsi="宋体"/>
          <w:color w:val="auto"/>
          <w:sz w:val="21"/>
          <w:szCs w:val="21"/>
          <w:highlight w:val="none"/>
        </w:rPr>
        <w:t>。</w:t>
      </w:r>
    </w:p>
    <w:p w14:paraId="4B2154EC">
      <w:pPr>
        <w:pStyle w:val="36"/>
        <w:spacing w:line="360" w:lineRule="auto"/>
        <w:ind w:left="0" w:leftChars="0" w:firstLine="0" w:firstLineChars="0"/>
        <w:outlineLvl w:val="1"/>
        <w:rPr>
          <w:rFonts w:hint="eastAsia" w:ascii="宋体" w:hAnsi="宋体" w:eastAsia="宋体"/>
          <w:b/>
          <w:color w:val="auto"/>
          <w:sz w:val="21"/>
          <w:szCs w:val="21"/>
          <w:highlight w:val="none"/>
        </w:rPr>
      </w:pPr>
      <w:bookmarkStart w:id="272" w:name="_Toc11945"/>
      <w:bookmarkStart w:id="273" w:name="_Toc5371"/>
      <w:r>
        <w:rPr>
          <w:rFonts w:hint="eastAsia" w:ascii="宋体" w:hAnsi="宋体" w:eastAsia="宋体"/>
          <w:b/>
          <w:color w:val="auto"/>
          <w:sz w:val="21"/>
          <w:szCs w:val="21"/>
          <w:highlight w:val="none"/>
        </w:rPr>
        <w:t>5.2 开标程序</w:t>
      </w:r>
      <w:bookmarkEnd w:id="272"/>
      <w:bookmarkEnd w:id="273"/>
    </w:p>
    <w:p w14:paraId="0CC7F29D">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5.2.1 主持人按下列程序对投标文件第一个信封（商务及技术文件）进行远程开标：</w:t>
      </w:r>
    </w:p>
    <w:p w14:paraId="42564CB0">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（1）宣布开标纪律；</w:t>
      </w:r>
    </w:p>
    <w:p w14:paraId="57DDC32B">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（2）公布在投标截止时间前递交投标文件的投标人数量；</w:t>
      </w:r>
    </w:p>
    <w:p w14:paraId="6681653E">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（3）宣布开标人、唱标人、记录人等有关人员姓名； </w:t>
      </w:r>
    </w:p>
    <w:p w14:paraId="599FE50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（4）由招标人现场随机抽取的投标人代表抽取评标基准价系数（如有）；</w:t>
      </w:r>
    </w:p>
    <w:p w14:paraId="472B32AC">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（5）投标人代表解密加密的投标文件；</w:t>
      </w:r>
    </w:p>
    <w:p w14:paraId="22E3F6A8">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（6）招标人对未成功解密的投标文件进行退回</w:t>
      </w:r>
      <w:r>
        <w:rPr>
          <w:rFonts w:hint="eastAsia" w:ascii="宋体" w:hAnsi="宋体"/>
          <w:color w:val="auto"/>
          <w:sz w:val="21"/>
          <w:szCs w:val="21"/>
          <w:highlight w:val="none"/>
          <w:lang w:val="en-US" w:eastAsia="zh-CN"/>
        </w:rPr>
        <w:t>并</w:t>
      </w:r>
      <w:r>
        <w:rPr>
          <w:rFonts w:hint="eastAsia" w:ascii="宋体" w:hAnsi="宋体"/>
          <w:color w:val="auto"/>
          <w:sz w:val="21"/>
          <w:szCs w:val="21"/>
          <w:highlight w:val="none"/>
        </w:rPr>
        <w:t>按本章第 5.3 款进行补救处理，对已解密成功的投标文件进行二次解密；</w:t>
      </w:r>
    </w:p>
    <w:p w14:paraId="5361F406">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（7）导入并读取所有解密成功的投标文件第一个信封（商务及技术文件）的内容；</w:t>
      </w:r>
    </w:p>
    <w:p w14:paraId="68D720C9">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（8）公布标段名称、投标人名称、投标保证金的递交情况及其他内容，并记录在案； </w:t>
      </w:r>
    </w:p>
    <w:p w14:paraId="65FFF00F">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（9）招标人代表、记录人等有关人员在开标记录上签字确认；</w:t>
      </w:r>
    </w:p>
    <w:p w14:paraId="510FAA3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（10）开标结束。</w:t>
      </w:r>
    </w:p>
    <w:p w14:paraId="514B8369">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5.2.2 投标文件第二个信封（报价文件）在投标文件第一个信封（商务及技术文件）完成评审前，“驻马店市公共资源交易平台”的开标评标系统将不进行读取。</w:t>
      </w:r>
    </w:p>
    <w:p w14:paraId="22DEB0B4">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5.2.3 招标人将按照本章第5.1款规定的时间和地点对投标文件第二个信封（报价文件）进行远程开标。主持人按下列程序进行开标：</w:t>
      </w:r>
    </w:p>
    <w:p w14:paraId="503329E1">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（1）宣布开标纪律；</w:t>
      </w:r>
    </w:p>
    <w:p w14:paraId="420B0771">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（2）当众拆开投标文件第一个信封（商务及技术文件）评审结果的密封袋，宣布通过投标文件第一个信封（商务及技术文件）评审的投标人名单；</w:t>
      </w:r>
    </w:p>
    <w:p w14:paraId="66E67DB7">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（3）宣布开标人、唱标人、记录人等有关人员姓名；</w:t>
      </w:r>
    </w:p>
    <w:p w14:paraId="00E3FC64">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开标人将所有投标文件第二个信封（报价文件）的内容导入“驻马店市公共资源交易平台”的开标评标系统，未通过投标文件第一个信封（商务及技术文件）评审的投标人的第二个信封（报价文件）不予读取；</w:t>
      </w:r>
    </w:p>
    <w:p w14:paraId="35D0E7C5">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（5）公布标段名称、投标人名称、投标报价及其他内容，并记录在案； </w:t>
      </w:r>
    </w:p>
    <w:p w14:paraId="1BD7A60F">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（6）招标人代表、记录人等有关人员在开标记录上签字确认；</w:t>
      </w:r>
    </w:p>
    <w:p w14:paraId="690B68D4">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（7）开标结束。</w:t>
      </w:r>
    </w:p>
    <w:p w14:paraId="5F283B34">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5.2.4 在投标文件第二个信封（报价文件）开标现场，</w:t>
      </w:r>
      <w:r>
        <w:rPr>
          <w:rFonts w:hint="eastAsia" w:ascii="宋体" w:hAnsi="宋体"/>
          <w:color w:val="000000" w:themeColor="text1"/>
          <w:sz w:val="21"/>
          <w:szCs w:val="21"/>
          <w:highlight w:val="none"/>
          <w14:textFill>
            <w14:solidFill>
              <w14:schemeClr w14:val="tx1"/>
            </w14:solidFill>
          </w14:textFill>
        </w:rPr>
        <w:t>招标人将按第三章“评标办法”规定的原则计算并宣布评标基准价。若</w:t>
      </w:r>
      <w:r>
        <w:rPr>
          <w:rFonts w:hint="eastAsia" w:ascii="宋体" w:hAnsi="宋体"/>
          <w:color w:val="auto"/>
          <w:sz w:val="21"/>
          <w:szCs w:val="21"/>
          <w:highlight w:val="none"/>
        </w:rPr>
        <w:t>招标人发现投标文件出现以下任一情况，其投标报价将不再参加评标基准价的计算：</w:t>
      </w:r>
    </w:p>
    <w:p w14:paraId="0F63AB40">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（1）未在投标函上填写投标总价；</w:t>
      </w:r>
    </w:p>
    <w:p w14:paraId="596284D2">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（2）投标报价超出招标人公布的最高投标限价（如有）；</w:t>
      </w:r>
    </w:p>
    <w:p w14:paraId="1624F168">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（3）投标报价的大写金额无法确定具体数值； </w:t>
      </w:r>
    </w:p>
    <w:p w14:paraId="3CD39230">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如果投标人认为某一标段的评标基准价计算有误，有权在远程开标大厅现场提出，经招标人当场核实确认之后，可重新宣布评标基准价。开标现场宣布的评标基准价除计算有误经评标委员会修正外，在整个评标期间保持不变，不随任何因素发生变化。</w:t>
      </w:r>
    </w:p>
    <w:p w14:paraId="5E5E9C54">
      <w:pPr>
        <w:spacing w:line="360" w:lineRule="auto"/>
        <w:ind w:firstLine="420" w:firstLineChars="200"/>
        <w:rPr>
          <w:rFonts w:hint="eastAsia"/>
          <w:color w:val="auto"/>
          <w:sz w:val="21"/>
          <w:szCs w:val="21"/>
          <w:highlight w:val="none"/>
        </w:rPr>
      </w:pPr>
      <w:r>
        <w:rPr>
          <w:rFonts w:hint="eastAsia" w:ascii="宋体" w:hAnsi="宋体"/>
          <w:color w:val="auto"/>
          <w:sz w:val="21"/>
          <w:szCs w:val="21"/>
          <w:highlight w:val="none"/>
        </w:rPr>
        <w:t>5.2.5 在投标文件第一个信封（商务及技术文件）或第二个信封（报价文件）开标过程中，若招标人宣读的内容与投标文件不符，投标人有权在远程开标大厅现场提出疑问，经招标人当场核查确认之后，可重新宣读其投标文件。若投标人现场未提出疑问，则认为投标人已确认招标人宣读的内容。</w:t>
      </w:r>
    </w:p>
    <w:p w14:paraId="2FF975EB">
      <w:pPr>
        <w:pStyle w:val="36"/>
        <w:spacing w:line="360" w:lineRule="auto"/>
        <w:ind w:left="0" w:leftChars="0" w:firstLine="0" w:firstLineChars="0"/>
        <w:outlineLvl w:val="1"/>
        <w:rPr>
          <w:rFonts w:hint="eastAsia" w:ascii="宋体" w:hAnsi="宋体" w:eastAsia="宋体"/>
          <w:b/>
          <w:color w:val="auto"/>
          <w:sz w:val="21"/>
          <w:szCs w:val="21"/>
          <w:highlight w:val="none"/>
        </w:rPr>
      </w:pPr>
      <w:bookmarkStart w:id="274" w:name="_Toc27249"/>
      <w:bookmarkStart w:id="275" w:name="_Toc22943"/>
      <w:r>
        <w:rPr>
          <w:rFonts w:hint="eastAsia" w:ascii="宋体" w:hAnsi="宋体" w:eastAsia="宋体"/>
          <w:b/>
          <w:color w:val="auto"/>
          <w:sz w:val="21"/>
          <w:szCs w:val="21"/>
          <w:highlight w:val="none"/>
        </w:rPr>
        <w:t>5.</w:t>
      </w:r>
      <w:r>
        <w:rPr>
          <w:rFonts w:hint="eastAsia" w:ascii="宋体" w:hAnsi="宋体" w:eastAsia="宋体"/>
          <w:b/>
          <w:color w:val="auto"/>
          <w:sz w:val="21"/>
          <w:szCs w:val="21"/>
          <w:highlight w:val="none"/>
          <w:lang w:val="en-US" w:eastAsia="zh-CN"/>
        </w:rPr>
        <w:t>3</w:t>
      </w:r>
      <w:r>
        <w:rPr>
          <w:rFonts w:hint="eastAsia" w:ascii="宋体" w:hAnsi="宋体" w:eastAsia="宋体"/>
          <w:b/>
          <w:color w:val="auto"/>
          <w:sz w:val="21"/>
          <w:szCs w:val="21"/>
          <w:highlight w:val="none"/>
        </w:rPr>
        <w:t xml:space="preserve"> 开标补救措施</w:t>
      </w:r>
      <w:bookmarkEnd w:id="274"/>
      <w:bookmarkEnd w:id="275"/>
    </w:p>
    <w:p w14:paraId="7F0164D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.1 开标过程中因本章第 5.</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.2项、第 5.</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.3项所列原因，导致系统无法正常运行，将按投标人须知前附表的规定采取补救措施。</w:t>
      </w:r>
    </w:p>
    <w:p w14:paraId="5EA2B88E">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.2 因“驻马店市公共资源交易平台”系统故障导致投标人无法正常上传加密的投标文件，投标人应打印并递交驻马店市公共资源交易平台自动生成的上传失败的异常记录单。</w:t>
      </w:r>
    </w:p>
    <w:p w14:paraId="06C67AEB">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 xml:space="preserve">.3 当出现以下情况时，应对未开标的中止电子开标，并在恢复正常后及时安排时间开标： </w:t>
      </w:r>
    </w:p>
    <w:p w14:paraId="0FCD4CAC">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（1）系统服务器发生故障，无法访问或无法使用系统；</w:t>
      </w:r>
    </w:p>
    <w:p w14:paraId="593BFC5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（2）系统的软件或数据库出现错误，不能进行正常操作；</w:t>
      </w:r>
    </w:p>
    <w:p w14:paraId="45EAFDD6">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（3）系统发现有安全漏洞，有潜在的泄密危险；</w:t>
      </w:r>
    </w:p>
    <w:p w14:paraId="46B4AE35">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（4）出现断电事故且短时间内无法恢复供电；</w:t>
      </w:r>
    </w:p>
    <w:p w14:paraId="44FB250A">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（5）其他无法保证招投标过程正常进行的情形。</w:t>
      </w:r>
    </w:p>
    <w:p w14:paraId="2CF49083">
      <w:pPr>
        <w:pStyle w:val="13"/>
        <w:ind w:left="0" w:leftChars="0"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5.</w:t>
      </w:r>
      <w:r>
        <w:rPr>
          <w:rFonts w:hint="eastAsia" w:ascii="宋体"/>
          <w:color w:val="auto"/>
          <w:sz w:val="21"/>
          <w:szCs w:val="21"/>
          <w:highlight w:val="none"/>
          <w:lang w:val="en-US" w:eastAsia="zh-CN"/>
        </w:rPr>
        <w:t>3</w:t>
      </w:r>
      <w:r>
        <w:rPr>
          <w:rFonts w:hint="eastAsia" w:ascii="宋体" w:hAnsi="宋体"/>
          <w:color w:val="auto"/>
          <w:sz w:val="21"/>
          <w:szCs w:val="21"/>
          <w:highlight w:val="none"/>
        </w:rPr>
        <w:t>.4 采取补救措施时，必须对原有资料及信息作出妥善保密处理。</w:t>
      </w:r>
    </w:p>
    <w:p w14:paraId="6D867B9B">
      <w:pPr>
        <w:spacing w:line="360" w:lineRule="auto"/>
        <w:outlineLvl w:val="1"/>
        <w:rPr>
          <w:rFonts w:ascii="宋体" w:hAnsi="宋体"/>
          <w:color w:val="auto"/>
          <w:sz w:val="21"/>
          <w:szCs w:val="21"/>
          <w:highlight w:val="none"/>
        </w:rPr>
      </w:pPr>
      <w:bookmarkStart w:id="276" w:name="_Toc23385"/>
      <w:r>
        <w:rPr>
          <w:rFonts w:hint="eastAsia" w:ascii="宋体" w:hAnsi="宋体"/>
          <w:b/>
          <w:bCs/>
          <w:color w:val="auto"/>
          <w:sz w:val="21"/>
          <w:szCs w:val="21"/>
          <w:highlight w:val="none"/>
        </w:rPr>
        <w:t>5.</w:t>
      </w:r>
      <w:r>
        <w:rPr>
          <w:rFonts w:hint="eastAsia" w:ascii="宋体" w:hAnsi="宋体"/>
          <w:b/>
          <w:bCs/>
          <w:color w:val="auto"/>
          <w:sz w:val="21"/>
          <w:szCs w:val="21"/>
          <w:highlight w:val="none"/>
          <w:lang w:val="en-US" w:eastAsia="zh-CN"/>
        </w:rPr>
        <w:t>4</w:t>
      </w:r>
      <w:r>
        <w:rPr>
          <w:rFonts w:hint="eastAsia" w:ascii="宋体" w:hAnsi="宋体"/>
          <w:b/>
          <w:bCs/>
          <w:color w:val="auto"/>
          <w:sz w:val="21"/>
          <w:szCs w:val="21"/>
          <w:highlight w:val="none"/>
        </w:rPr>
        <w:t>开标异议</w:t>
      </w:r>
      <w:bookmarkEnd w:id="276"/>
    </w:p>
    <w:p w14:paraId="156FCE32">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val="en-US" w:eastAsia="zh-CN"/>
        </w:rPr>
        <w:t>投标人对开标有异议的，应在开标现场提出，招标人当场作出答复，并制作记录，有异议的投标人代表、招标人代表、记录人等有关人员在记录上签字确认</w:t>
      </w:r>
      <w:r>
        <w:rPr>
          <w:rFonts w:hint="eastAsia" w:ascii="宋体" w:hAnsi="宋体"/>
          <w:color w:val="auto"/>
          <w:sz w:val="21"/>
          <w:szCs w:val="21"/>
          <w:highlight w:val="none"/>
        </w:rPr>
        <w:t>。</w:t>
      </w:r>
    </w:p>
    <w:p w14:paraId="5ECDBDF3">
      <w:pPr>
        <w:pStyle w:val="36"/>
        <w:spacing w:line="360" w:lineRule="auto"/>
        <w:ind w:left="0" w:leftChars="0" w:firstLine="0" w:firstLineChars="0"/>
        <w:outlineLvl w:val="0"/>
        <w:rPr>
          <w:rFonts w:ascii="宋体" w:hAnsi="宋体" w:eastAsia="宋体"/>
          <w:b/>
          <w:color w:val="auto"/>
          <w:sz w:val="21"/>
          <w:szCs w:val="21"/>
          <w:highlight w:val="none"/>
        </w:rPr>
      </w:pPr>
      <w:bookmarkStart w:id="277" w:name="_Toc152042338"/>
      <w:bookmarkEnd w:id="277"/>
      <w:bookmarkStart w:id="278" w:name="_Toc16778772"/>
      <w:bookmarkEnd w:id="278"/>
      <w:bookmarkStart w:id="279" w:name="_Toc32727"/>
      <w:bookmarkEnd w:id="279"/>
      <w:bookmarkStart w:id="280" w:name="_Toc179632580"/>
      <w:bookmarkEnd w:id="280"/>
      <w:bookmarkStart w:id="281" w:name="_Toc26177"/>
      <w:bookmarkEnd w:id="281"/>
      <w:bookmarkStart w:id="282" w:name="_Toc15178"/>
      <w:bookmarkEnd w:id="282"/>
      <w:bookmarkStart w:id="283" w:name="_Toc10061"/>
      <w:bookmarkEnd w:id="283"/>
      <w:bookmarkStart w:id="284" w:name="_Toc144974530"/>
      <w:bookmarkEnd w:id="284"/>
      <w:bookmarkStart w:id="285" w:name="_Toc20618"/>
      <w:bookmarkStart w:id="286" w:name="_Toc152045562"/>
      <w:r>
        <w:rPr>
          <w:rFonts w:hint="eastAsia" w:ascii="宋体" w:hAnsi="宋体" w:eastAsia="宋体"/>
          <w:b/>
          <w:color w:val="auto"/>
          <w:sz w:val="21"/>
          <w:szCs w:val="21"/>
          <w:highlight w:val="none"/>
        </w:rPr>
        <w:t>6. 评标</w:t>
      </w:r>
      <w:bookmarkEnd w:id="285"/>
      <w:bookmarkEnd w:id="286"/>
    </w:p>
    <w:p w14:paraId="38AE808B">
      <w:pPr>
        <w:pStyle w:val="36"/>
        <w:spacing w:line="360" w:lineRule="auto"/>
        <w:ind w:left="0" w:leftChars="0" w:firstLine="0" w:firstLineChars="0"/>
        <w:outlineLvl w:val="1"/>
        <w:rPr>
          <w:rFonts w:ascii="宋体" w:hAnsi="宋体" w:eastAsia="宋体"/>
          <w:b/>
          <w:color w:val="auto"/>
          <w:sz w:val="21"/>
          <w:szCs w:val="21"/>
          <w:highlight w:val="none"/>
        </w:rPr>
      </w:pPr>
      <w:bookmarkStart w:id="287" w:name="_Toc152045563"/>
      <w:bookmarkEnd w:id="287"/>
      <w:bookmarkStart w:id="288" w:name="_Toc179632581"/>
      <w:bookmarkEnd w:id="288"/>
      <w:bookmarkStart w:id="289" w:name="_Toc152042339"/>
      <w:bookmarkEnd w:id="289"/>
      <w:bookmarkStart w:id="290" w:name="_Toc16778773"/>
      <w:bookmarkEnd w:id="290"/>
      <w:bookmarkStart w:id="291" w:name="_Toc9830"/>
      <w:bookmarkEnd w:id="291"/>
      <w:bookmarkStart w:id="292" w:name="_Toc144974531"/>
      <w:bookmarkEnd w:id="292"/>
      <w:bookmarkStart w:id="293" w:name="_Toc12229"/>
      <w:bookmarkStart w:id="294" w:name="_Toc18555"/>
      <w:r>
        <w:rPr>
          <w:rFonts w:hint="eastAsia" w:ascii="宋体" w:hAnsi="宋体" w:eastAsia="宋体"/>
          <w:b/>
          <w:color w:val="auto"/>
          <w:sz w:val="21"/>
          <w:szCs w:val="21"/>
          <w:highlight w:val="none"/>
        </w:rPr>
        <w:t>6.1 评标委员会</w:t>
      </w:r>
      <w:bookmarkEnd w:id="293"/>
      <w:bookmarkEnd w:id="294"/>
    </w:p>
    <w:p w14:paraId="1FDA38C6">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6.1.1 评标由评标委员会负责。评标委员会由有关技术、经济等方面的专家和招标人代表组成。评标委员会成员人数以及技术、经济等方面专家的确定方式见投标人须知前附表。</w:t>
      </w:r>
    </w:p>
    <w:p w14:paraId="7497CED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6.1.2 评标委员会成员有下列情形之一的，应主动提出回避：</w:t>
      </w:r>
    </w:p>
    <w:p w14:paraId="5D5B2DA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（1）为负责招标项目监督管理的交通运输主管部门的工作人员；</w:t>
      </w:r>
    </w:p>
    <w:p w14:paraId="7B5F419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（2）与投标人法定代表人或其委托代理人有近亲属关系；</w:t>
      </w:r>
    </w:p>
    <w:p w14:paraId="223E3BF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（3）为投标人的工作人员或退休人员；</w:t>
      </w:r>
    </w:p>
    <w:p w14:paraId="697A94E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（4）与投标人有其他利害关系，可能影响评标活动公正性；</w:t>
      </w:r>
    </w:p>
    <w:p w14:paraId="0B5A84C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（5）在与招标投标有关的活动中有过违法违规行为、曾受过行政处罚或刑事处罚。</w:t>
      </w:r>
    </w:p>
    <w:p w14:paraId="5843022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6.1.3 评标过程中，评标委员会成员有回避事由、擅离职守或因健康等原因不能继续评标的，招标人有权更换。被更换的评标委员会成员作出的评审结论无效，由更换后的评标委员会成员重新进行评审。</w:t>
      </w:r>
    </w:p>
    <w:p w14:paraId="6E448856">
      <w:pPr>
        <w:pStyle w:val="36"/>
        <w:spacing w:line="360" w:lineRule="auto"/>
        <w:ind w:left="0" w:leftChars="0" w:firstLine="0" w:firstLineChars="0"/>
        <w:outlineLvl w:val="1"/>
        <w:rPr>
          <w:rFonts w:ascii="宋体" w:hAnsi="宋体" w:eastAsia="宋体"/>
          <w:b/>
          <w:color w:val="auto"/>
          <w:sz w:val="21"/>
          <w:szCs w:val="21"/>
          <w:highlight w:val="none"/>
        </w:rPr>
      </w:pPr>
      <w:bookmarkStart w:id="295" w:name="_Toc179632582"/>
      <w:bookmarkEnd w:id="295"/>
      <w:bookmarkStart w:id="296" w:name="_Toc152042340"/>
      <w:bookmarkEnd w:id="296"/>
      <w:bookmarkStart w:id="297" w:name="_Toc5949"/>
      <w:bookmarkEnd w:id="297"/>
      <w:bookmarkStart w:id="298" w:name="_Toc26318"/>
      <w:bookmarkEnd w:id="298"/>
      <w:bookmarkStart w:id="299" w:name="_Toc16778774"/>
      <w:bookmarkEnd w:id="299"/>
      <w:bookmarkStart w:id="300" w:name="_Toc152045564"/>
      <w:bookmarkEnd w:id="300"/>
      <w:bookmarkStart w:id="301" w:name="_Toc144974532"/>
      <w:bookmarkStart w:id="302" w:name="_Toc14608"/>
      <w:r>
        <w:rPr>
          <w:rFonts w:hint="eastAsia" w:ascii="宋体" w:hAnsi="宋体" w:eastAsia="宋体"/>
          <w:b/>
          <w:color w:val="auto"/>
          <w:sz w:val="21"/>
          <w:szCs w:val="21"/>
          <w:highlight w:val="none"/>
        </w:rPr>
        <w:t>6.2 评标原则</w:t>
      </w:r>
      <w:bookmarkEnd w:id="301"/>
      <w:bookmarkEnd w:id="302"/>
    </w:p>
    <w:p w14:paraId="2BAFA6D7">
      <w:pPr>
        <w:spacing w:line="360" w:lineRule="auto"/>
        <w:ind w:firstLine="359" w:firstLineChars="171"/>
        <w:rPr>
          <w:rFonts w:ascii="宋体" w:hAnsi="宋体"/>
          <w:color w:val="auto"/>
          <w:sz w:val="21"/>
          <w:szCs w:val="21"/>
          <w:highlight w:val="none"/>
        </w:rPr>
      </w:pPr>
      <w:r>
        <w:rPr>
          <w:rFonts w:hint="eastAsia" w:ascii="宋体" w:hAnsi="宋体"/>
          <w:color w:val="auto"/>
          <w:sz w:val="21"/>
          <w:szCs w:val="21"/>
          <w:highlight w:val="none"/>
        </w:rPr>
        <w:t>评标活动遵循公平、公正、科学和择优的原则。</w:t>
      </w:r>
    </w:p>
    <w:p w14:paraId="15B965DF">
      <w:pPr>
        <w:pStyle w:val="36"/>
        <w:spacing w:line="360" w:lineRule="auto"/>
        <w:ind w:left="0" w:leftChars="0" w:firstLine="0" w:firstLineChars="0"/>
        <w:outlineLvl w:val="1"/>
        <w:rPr>
          <w:rFonts w:ascii="宋体" w:hAnsi="宋体" w:eastAsia="宋体"/>
          <w:b/>
          <w:color w:val="auto"/>
          <w:sz w:val="21"/>
          <w:szCs w:val="21"/>
          <w:highlight w:val="none"/>
        </w:rPr>
      </w:pPr>
      <w:bookmarkStart w:id="303" w:name="_Toc152045565"/>
      <w:bookmarkEnd w:id="303"/>
      <w:bookmarkStart w:id="304" w:name="_Toc31631"/>
      <w:bookmarkEnd w:id="304"/>
      <w:bookmarkStart w:id="305" w:name="_Toc152042341"/>
      <w:bookmarkEnd w:id="305"/>
      <w:bookmarkStart w:id="306" w:name="_Toc144974533"/>
      <w:bookmarkEnd w:id="306"/>
      <w:bookmarkStart w:id="307" w:name="_Toc16778775"/>
      <w:bookmarkEnd w:id="307"/>
      <w:bookmarkStart w:id="308" w:name="_Toc10073"/>
      <w:bookmarkEnd w:id="308"/>
      <w:bookmarkStart w:id="309" w:name="_Toc6703"/>
      <w:bookmarkStart w:id="310" w:name="_Toc179632583"/>
      <w:r>
        <w:rPr>
          <w:rFonts w:hint="eastAsia" w:ascii="宋体" w:hAnsi="宋体" w:eastAsia="宋体"/>
          <w:b/>
          <w:color w:val="auto"/>
          <w:sz w:val="21"/>
          <w:szCs w:val="21"/>
          <w:highlight w:val="none"/>
        </w:rPr>
        <w:t>6.3 评标</w:t>
      </w:r>
      <w:bookmarkEnd w:id="309"/>
      <w:bookmarkEnd w:id="310"/>
    </w:p>
    <w:p w14:paraId="7C42B61D">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6.3.1 评标委员会按照第三章“评标办法”规定的方法、评审因素、标准和程序对投标文件进行评审。第三章“评标办法”没有规定的方法、评审因素和标准，不作为评标依据。</w:t>
      </w:r>
    </w:p>
    <w:p w14:paraId="7DEBEA50">
      <w:pPr>
        <w:spacing w:line="360" w:lineRule="auto"/>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6.3.2 </w:t>
      </w:r>
      <w:r>
        <w:rPr>
          <w:rFonts w:hint="eastAsia" w:ascii="宋体" w:hAnsi="宋体"/>
          <w:color w:val="auto"/>
          <w:sz w:val="21"/>
          <w:szCs w:val="21"/>
          <w:highlight w:val="none"/>
          <w:lang w:val="en-US" w:eastAsia="zh-CN"/>
        </w:rPr>
        <w:t>评标及补救措施</w:t>
      </w:r>
    </w:p>
    <w:p w14:paraId="3A0C590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lang w:val="en-US" w:eastAsia="zh-CN"/>
        </w:rPr>
        <w:t>评标委员会按照本章第 6.3.1 项的规定在电子评标系统上开展评审工作。如果评标过程中出现异常情况，导致无法继续评审工作的，可暂停评标，对原有资料及信息作出妥善保密处理，待电子评标系统恢复正常之后，应重新组织评审</w:t>
      </w:r>
      <w:r>
        <w:rPr>
          <w:rFonts w:hint="eastAsia" w:ascii="宋体" w:hAnsi="宋体"/>
          <w:color w:val="auto"/>
          <w:sz w:val="21"/>
          <w:szCs w:val="21"/>
          <w:highlight w:val="none"/>
        </w:rPr>
        <w:t>。</w:t>
      </w:r>
    </w:p>
    <w:p w14:paraId="47B95CB6">
      <w:pPr>
        <w:pStyle w:val="36"/>
        <w:spacing w:line="360" w:lineRule="auto"/>
        <w:ind w:left="0" w:leftChars="0" w:firstLine="0" w:firstLineChars="0"/>
        <w:outlineLvl w:val="0"/>
        <w:rPr>
          <w:rFonts w:ascii="宋体" w:hAnsi="宋体" w:eastAsia="宋体"/>
          <w:b/>
          <w:color w:val="auto"/>
          <w:sz w:val="21"/>
          <w:szCs w:val="21"/>
          <w:highlight w:val="none"/>
        </w:rPr>
      </w:pPr>
      <w:bookmarkStart w:id="311" w:name="_Toc152042342"/>
      <w:bookmarkEnd w:id="311"/>
      <w:bookmarkStart w:id="312" w:name="_Toc179632584"/>
      <w:bookmarkEnd w:id="312"/>
      <w:bookmarkStart w:id="313" w:name="_Toc152045566"/>
      <w:bookmarkEnd w:id="313"/>
      <w:bookmarkStart w:id="314" w:name="_Toc11215"/>
      <w:bookmarkEnd w:id="314"/>
      <w:bookmarkStart w:id="315" w:name="_Toc27090"/>
      <w:bookmarkEnd w:id="315"/>
      <w:bookmarkStart w:id="316" w:name="_Toc144974534"/>
      <w:bookmarkEnd w:id="316"/>
      <w:bookmarkStart w:id="317" w:name="_Toc11329"/>
      <w:bookmarkStart w:id="318" w:name="_Toc16778776"/>
      <w:r>
        <w:rPr>
          <w:rFonts w:hint="eastAsia" w:ascii="宋体" w:hAnsi="宋体" w:eastAsia="宋体"/>
          <w:b/>
          <w:color w:val="auto"/>
          <w:sz w:val="21"/>
          <w:szCs w:val="21"/>
          <w:highlight w:val="none"/>
        </w:rPr>
        <w:t>7. 合同授予</w:t>
      </w:r>
      <w:bookmarkEnd w:id="317"/>
      <w:bookmarkEnd w:id="318"/>
    </w:p>
    <w:p w14:paraId="1758DCC6">
      <w:pPr>
        <w:pStyle w:val="36"/>
        <w:spacing w:line="360" w:lineRule="auto"/>
        <w:ind w:left="0" w:leftChars="0" w:firstLine="0" w:firstLineChars="0"/>
        <w:outlineLvl w:val="1"/>
        <w:rPr>
          <w:rFonts w:hint="eastAsia" w:ascii="宋体" w:hAnsi="宋体" w:eastAsia="宋体"/>
          <w:b/>
          <w:color w:val="auto"/>
          <w:sz w:val="21"/>
          <w:szCs w:val="21"/>
          <w:highlight w:val="none"/>
          <w:lang w:eastAsia="zh-CN"/>
        </w:rPr>
      </w:pPr>
      <w:bookmarkStart w:id="319" w:name="_Toc16778777"/>
      <w:bookmarkEnd w:id="319"/>
      <w:bookmarkStart w:id="320" w:name="_Toc16956"/>
      <w:bookmarkEnd w:id="320"/>
      <w:bookmarkStart w:id="321" w:name="_Toc20008"/>
      <w:bookmarkStart w:id="322" w:name="_Toc4205"/>
      <w:r>
        <w:rPr>
          <w:rFonts w:hint="eastAsia" w:ascii="宋体" w:hAnsi="宋体" w:eastAsia="宋体"/>
          <w:b/>
          <w:color w:val="auto"/>
          <w:sz w:val="21"/>
          <w:szCs w:val="21"/>
          <w:highlight w:val="none"/>
        </w:rPr>
        <w:t xml:space="preserve">7.1 </w:t>
      </w:r>
      <w:r>
        <w:rPr>
          <w:rFonts w:hint="eastAsia" w:ascii="宋体" w:hAnsi="宋体" w:eastAsia="宋体"/>
          <w:b/>
          <w:color w:val="auto"/>
          <w:sz w:val="21"/>
          <w:szCs w:val="21"/>
          <w:highlight w:val="none"/>
          <w:lang w:eastAsia="zh-CN"/>
        </w:rPr>
        <w:t>中</w:t>
      </w:r>
      <w:r>
        <w:rPr>
          <w:rFonts w:hint="eastAsia" w:ascii="宋体" w:hAnsi="宋体" w:eastAsia="宋体"/>
          <w:b/>
          <w:color w:val="auto"/>
          <w:sz w:val="21"/>
          <w:szCs w:val="21"/>
          <w:highlight w:val="none"/>
        </w:rPr>
        <w:t>标候选人</w:t>
      </w:r>
      <w:bookmarkEnd w:id="321"/>
      <w:r>
        <w:rPr>
          <w:rFonts w:hint="eastAsia" w:ascii="宋体" w:hAnsi="宋体" w:eastAsia="宋体"/>
          <w:b/>
          <w:color w:val="auto"/>
          <w:sz w:val="21"/>
          <w:szCs w:val="21"/>
          <w:highlight w:val="none"/>
          <w:lang w:eastAsia="zh-CN"/>
        </w:rPr>
        <w:t>公示</w:t>
      </w:r>
      <w:bookmarkEnd w:id="322"/>
    </w:p>
    <w:p w14:paraId="13C6D57B">
      <w:pPr>
        <w:spacing w:line="360" w:lineRule="auto"/>
        <w:ind w:firstLine="420" w:firstLineChars="20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招标人在收到评标报告之日起3日内，按照投标人须知前附表规定的公示媒介和期限公示定标候选人，公示期不得少于3日</w:t>
      </w:r>
      <w:r>
        <w:rPr>
          <w:rFonts w:hint="eastAsia" w:ascii="宋体" w:hAnsi="宋体"/>
          <w:color w:val="000000" w:themeColor="text1"/>
          <w:sz w:val="21"/>
          <w:szCs w:val="21"/>
          <w:highlight w:val="none"/>
          <w14:textFill>
            <w14:solidFill>
              <w14:schemeClr w14:val="tx1"/>
            </w14:solidFill>
          </w14:textFill>
        </w:rPr>
        <w:t>，公示容包括：</w:t>
      </w:r>
    </w:p>
    <w:p w14:paraId="68663F3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（1）中标候选人名称、投标报价，对工程质量要求、安全目标和工期的响应情况；</w:t>
      </w:r>
    </w:p>
    <w:p w14:paraId="19166FA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（2）中标候选人在投标文件中承诺的项目经理和项目总工姓名、个人业绩、相关证书名称和编号；</w:t>
      </w:r>
    </w:p>
    <w:p w14:paraId="5B326B85">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（3）中标候选人在投标文件中填报的项目业绩；</w:t>
      </w:r>
    </w:p>
    <w:p w14:paraId="260667A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（4）被否决投标的投标人名称、否决依据和原因；</w:t>
      </w:r>
    </w:p>
    <w:p w14:paraId="75FC35C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（5）提出异议的渠道和方式；</w:t>
      </w:r>
    </w:p>
    <w:p w14:paraId="3D7916A7">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（6）投标人须知前附表规定公示的其他内容。</w:t>
      </w:r>
    </w:p>
    <w:p w14:paraId="3809B0FD">
      <w:pPr>
        <w:pStyle w:val="36"/>
        <w:spacing w:line="360" w:lineRule="auto"/>
        <w:ind w:left="0" w:leftChars="0" w:firstLine="0" w:firstLineChars="0"/>
        <w:outlineLvl w:val="1"/>
        <w:rPr>
          <w:rFonts w:ascii="宋体" w:hAnsi="宋体" w:eastAsia="宋体"/>
          <w:b/>
          <w:color w:val="auto"/>
          <w:sz w:val="21"/>
          <w:szCs w:val="21"/>
          <w:highlight w:val="none"/>
        </w:rPr>
      </w:pPr>
      <w:bookmarkStart w:id="323" w:name="_Toc16778778"/>
      <w:bookmarkEnd w:id="323"/>
      <w:bookmarkStart w:id="324" w:name="_Toc3318"/>
      <w:bookmarkEnd w:id="324"/>
      <w:bookmarkStart w:id="325" w:name="_Toc13752"/>
      <w:bookmarkStart w:id="326" w:name="_Toc9391"/>
      <w:r>
        <w:rPr>
          <w:rFonts w:hint="eastAsia" w:ascii="宋体" w:hAnsi="宋体" w:eastAsia="宋体"/>
          <w:b/>
          <w:color w:val="auto"/>
          <w:sz w:val="21"/>
          <w:szCs w:val="21"/>
          <w:highlight w:val="none"/>
        </w:rPr>
        <w:t>7.</w:t>
      </w:r>
      <w:r>
        <w:rPr>
          <w:rFonts w:hint="eastAsia" w:ascii="宋体" w:hAnsi="宋体" w:eastAsia="宋体"/>
          <w:b/>
          <w:color w:val="auto"/>
          <w:sz w:val="21"/>
          <w:szCs w:val="21"/>
          <w:highlight w:val="none"/>
          <w:lang w:val="en-US" w:eastAsia="zh-CN"/>
        </w:rPr>
        <w:t>2</w:t>
      </w:r>
      <w:r>
        <w:rPr>
          <w:rFonts w:hint="eastAsia" w:ascii="宋体" w:hAnsi="宋体" w:eastAsia="宋体"/>
          <w:b/>
          <w:color w:val="auto"/>
          <w:sz w:val="21"/>
          <w:szCs w:val="21"/>
          <w:highlight w:val="none"/>
        </w:rPr>
        <w:t>评标结果异议</w:t>
      </w:r>
      <w:bookmarkEnd w:id="325"/>
      <w:bookmarkEnd w:id="326"/>
    </w:p>
    <w:p w14:paraId="38155840">
      <w:pPr>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投标人或其他利害关系人对依法必须进行招标的项目的评标结果有异议的，应在中标候选人公示期间提出。招标人将在收到异议之日起3日内作出答复；作出答复前，将暂停招标投标活动。提出异议与作出答复均应通过“电子交易平台”在“异议与答复”菜单以书面形式进行</w:t>
      </w:r>
      <w:r>
        <w:rPr>
          <w:rFonts w:hint="eastAsia" w:ascii="宋体" w:hAnsi="宋体"/>
          <w:color w:val="auto"/>
          <w:sz w:val="21"/>
          <w:szCs w:val="21"/>
          <w:highlight w:val="none"/>
        </w:rPr>
        <w:t>。</w:t>
      </w:r>
    </w:p>
    <w:p w14:paraId="587ADB2C">
      <w:pPr>
        <w:pStyle w:val="36"/>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1"/>
        <w:rPr>
          <w:rFonts w:ascii="宋体" w:hAnsi="宋体" w:eastAsia="宋体"/>
          <w:b/>
          <w:color w:val="auto"/>
          <w:sz w:val="21"/>
          <w:szCs w:val="21"/>
          <w:highlight w:val="none"/>
        </w:rPr>
      </w:pPr>
      <w:bookmarkStart w:id="327" w:name="_Toc22135"/>
      <w:bookmarkEnd w:id="327"/>
      <w:bookmarkStart w:id="328" w:name="_Toc16778779"/>
      <w:bookmarkEnd w:id="328"/>
      <w:bookmarkStart w:id="329" w:name="_Toc7044"/>
      <w:bookmarkStart w:id="330" w:name="_Toc13766"/>
      <w:r>
        <w:rPr>
          <w:rFonts w:hint="eastAsia" w:ascii="宋体" w:hAnsi="宋体" w:eastAsia="宋体"/>
          <w:b/>
          <w:color w:val="auto"/>
          <w:sz w:val="21"/>
          <w:szCs w:val="21"/>
          <w:highlight w:val="none"/>
        </w:rPr>
        <w:t>7.</w:t>
      </w:r>
      <w:r>
        <w:rPr>
          <w:rFonts w:hint="eastAsia" w:ascii="宋体" w:hAnsi="宋体" w:eastAsia="宋体"/>
          <w:b/>
          <w:color w:val="auto"/>
          <w:sz w:val="21"/>
          <w:szCs w:val="21"/>
          <w:highlight w:val="none"/>
          <w:lang w:val="en-US" w:eastAsia="zh-CN"/>
        </w:rPr>
        <w:t>3</w:t>
      </w:r>
      <w:r>
        <w:rPr>
          <w:rFonts w:hint="eastAsia" w:ascii="宋体" w:hAnsi="宋体" w:eastAsia="宋体"/>
          <w:b/>
          <w:color w:val="auto"/>
          <w:sz w:val="21"/>
          <w:szCs w:val="21"/>
          <w:highlight w:val="none"/>
        </w:rPr>
        <w:t>中标候选人履约能力审查</w:t>
      </w:r>
      <w:bookmarkEnd w:id="329"/>
      <w:bookmarkEnd w:id="330"/>
    </w:p>
    <w:p w14:paraId="6DBB14B9">
      <w:pPr>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2C95AFAA">
      <w:pPr>
        <w:pStyle w:val="36"/>
        <w:spacing w:line="360" w:lineRule="auto"/>
        <w:ind w:left="0" w:leftChars="0" w:firstLine="0" w:firstLineChars="0"/>
        <w:outlineLvl w:val="1"/>
        <w:rPr>
          <w:rFonts w:hint="eastAsia" w:ascii="宋体" w:hAnsi="宋体" w:eastAsia="宋体" w:cs="宋体"/>
          <w:b/>
          <w:bCs/>
          <w:color w:val="auto"/>
          <w:sz w:val="21"/>
          <w:szCs w:val="21"/>
          <w:highlight w:val="none"/>
          <w:lang w:eastAsia="zh-CN"/>
        </w:rPr>
      </w:pPr>
      <w:bookmarkStart w:id="331" w:name="_Toc10331"/>
      <w:r>
        <w:rPr>
          <w:rFonts w:hint="eastAsia" w:ascii="宋体" w:hAnsi="宋体" w:eastAsia="宋体"/>
          <w:b/>
          <w:color w:val="auto"/>
          <w:sz w:val="21"/>
          <w:szCs w:val="21"/>
          <w:highlight w:val="none"/>
        </w:rPr>
        <w:t>7.</w:t>
      </w:r>
      <w:r>
        <w:rPr>
          <w:rFonts w:hint="eastAsia" w:ascii="宋体" w:hAnsi="宋体" w:eastAsia="宋体"/>
          <w:b/>
          <w:color w:val="auto"/>
          <w:sz w:val="21"/>
          <w:szCs w:val="21"/>
          <w:highlight w:val="none"/>
          <w:lang w:val="en-US" w:eastAsia="zh-CN"/>
        </w:rPr>
        <w:t>4定</w:t>
      </w:r>
      <w:r>
        <w:rPr>
          <w:rFonts w:hint="eastAsia" w:ascii="宋体" w:hAnsi="宋体" w:eastAsia="宋体"/>
          <w:b/>
          <w:color w:val="auto"/>
          <w:sz w:val="21"/>
          <w:szCs w:val="21"/>
          <w:highlight w:val="none"/>
        </w:rPr>
        <w:t>标</w:t>
      </w:r>
      <w:bookmarkEnd w:id="331"/>
    </w:p>
    <w:p w14:paraId="3A2FCAA9">
      <w:pPr>
        <w:keepNext w:val="0"/>
        <w:keepLines w:val="0"/>
        <w:pageBreakBefore w:val="0"/>
        <w:widowControl w:val="0"/>
        <w:kinsoku/>
        <w:wordWrap w:val="0"/>
        <w:overflowPunct/>
        <w:topLinePunct w:val="0"/>
        <w:bidi w:val="0"/>
        <w:snapToGrid/>
        <w:spacing w:line="360" w:lineRule="auto"/>
        <w:ind w:firstLine="420" w:firstLineChars="200"/>
        <w:textAlignment w:val="auto"/>
        <w:outlineLvl w:val="2"/>
        <w:rPr>
          <w:rFonts w:hint="eastAsia" w:ascii="宋体" w:hAnsi="宋体" w:cs="宋体"/>
          <w:b w:val="0"/>
          <w:bCs w:val="0"/>
          <w:color w:val="auto"/>
          <w:sz w:val="21"/>
          <w:szCs w:val="21"/>
          <w:highlight w:val="none"/>
          <w:lang w:val="en-US" w:eastAsia="zh-CN"/>
        </w:rPr>
      </w:pPr>
      <w:bookmarkStart w:id="332" w:name="_Toc16910"/>
      <w:r>
        <w:rPr>
          <w:rFonts w:hint="eastAsia" w:ascii="宋体" w:hAnsi="宋体" w:cs="宋体"/>
          <w:b w:val="0"/>
          <w:bCs w:val="0"/>
          <w:color w:val="auto"/>
          <w:sz w:val="21"/>
          <w:szCs w:val="21"/>
          <w:highlight w:val="none"/>
          <w:lang w:val="en-US" w:eastAsia="zh-CN"/>
        </w:rPr>
        <w:t>7.4.1定标原则</w:t>
      </w:r>
      <w:bookmarkEnd w:id="332"/>
    </w:p>
    <w:p w14:paraId="543AB269">
      <w:pPr>
        <w:keepNext w:val="0"/>
        <w:keepLines w:val="0"/>
        <w:pageBreakBefore w:val="0"/>
        <w:widowControl w:val="0"/>
        <w:kinsoku/>
        <w:wordWrap w:val="0"/>
        <w:overflowPunct/>
        <w:topLinePunct w:val="0"/>
        <w:bidi w:val="0"/>
        <w:snapToGrid/>
        <w:spacing w:line="360" w:lineRule="auto"/>
        <w:ind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遵循公开透明、择优竞价、科学规范、廉洁高效的原则。</w:t>
      </w:r>
    </w:p>
    <w:p w14:paraId="6A828CBA">
      <w:pPr>
        <w:keepNext w:val="0"/>
        <w:keepLines w:val="0"/>
        <w:pageBreakBefore w:val="0"/>
        <w:widowControl w:val="0"/>
        <w:kinsoku/>
        <w:wordWrap w:val="0"/>
        <w:overflowPunct/>
        <w:topLinePunct w:val="0"/>
        <w:bidi w:val="0"/>
        <w:snapToGrid/>
        <w:spacing w:line="360" w:lineRule="auto"/>
        <w:ind w:firstLine="420" w:firstLineChars="200"/>
        <w:textAlignment w:val="auto"/>
        <w:outlineLvl w:val="2"/>
        <w:rPr>
          <w:rFonts w:hint="eastAsia" w:ascii="宋体" w:hAnsi="宋体" w:cs="宋体"/>
          <w:b w:val="0"/>
          <w:bCs w:val="0"/>
          <w:color w:val="auto"/>
          <w:sz w:val="21"/>
          <w:szCs w:val="21"/>
          <w:highlight w:val="none"/>
          <w:lang w:val="en-US" w:eastAsia="zh-CN"/>
        </w:rPr>
      </w:pPr>
      <w:bookmarkStart w:id="333" w:name="_Toc28124"/>
      <w:r>
        <w:rPr>
          <w:rFonts w:hint="eastAsia" w:ascii="宋体" w:hAnsi="宋体" w:cs="宋体"/>
          <w:b w:val="0"/>
          <w:bCs w:val="0"/>
          <w:color w:val="auto"/>
          <w:sz w:val="21"/>
          <w:szCs w:val="21"/>
          <w:highlight w:val="none"/>
          <w:lang w:val="en-US" w:eastAsia="zh-CN"/>
        </w:rPr>
        <w:t>7.4.2定标方法</w:t>
      </w:r>
      <w:bookmarkEnd w:id="333"/>
    </w:p>
    <w:p w14:paraId="79CD440F">
      <w:pPr>
        <w:keepNext w:val="0"/>
        <w:keepLines w:val="0"/>
        <w:pageBreakBefore w:val="0"/>
        <w:widowControl w:val="0"/>
        <w:kinsoku/>
        <w:wordWrap w:val="0"/>
        <w:overflowPunct/>
        <w:topLinePunct w:val="0"/>
        <w:bidi w:val="0"/>
        <w:snapToGrid/>
        <w:spacing w:line="360" w:lineRule="auto"/>
        <w:ind w:firstLine="420" w:firstLineChars="200"/>
        <w:textAlignment w:va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采用核查随机法。具体要求按照本招标文件第四章定标办法要求定标办法定标。</w:t>
      </w:r>
    </w:p>
    <w:p w14:paraId="03C98D60">
      <w:pPr>
        <w:pStyle w:val="36"/>
        <w:spacing w:line="360" w:lineRule="auto"/>
        <w:ind w:left="0" w:leftChars="0" w:firstLine="0" w:firstLineChars="0"/>
        <w:outlineLvl w:val="1"/>
        <w:rPr>
          <w:rFonts w:ascii="宋体" w:hAnsi="宋体" w:eastAsia="宋体"/>
          <w:b/>
          <w:color w:val="auto"/>
          <w:sz w:val="21"/>
          <w:szCs w:val="21"/>
          <w:highlight w:val="none"/>
        </w:rPr>
      </w:pPr>
      <w:bookmarkStart w:id="334" w:name="_Toc16778781"/>
      <w:bookmarkEnd w:id="334"/>
      <w:bookmarkStart w:id="335" w:name="_Toc16778780"/>
      <w:bookmarkEnd w:id="335"/>
      <w:bookmarkStart w:id="336" w:name="_Toc6424"/>
      <w:bookmarkEnd w:id="336"/>
      <w:bookmarkStart w:id="337" w:name="_Toc16862"/>
      <w:bookmarkEnd w:id="337"/>
      <w:bookmarkStart w:id="338" w:name="_Toc28097"/>
      <w:bookmarkStart w:id="339" w:name="_Toc24107"/>
      <w:r>
        <w:rPr>
          <w:rFonts w:hint="eastAsia" w:ascii="宋体" w:hAnsi="宋体" w:eastAsia="宋体"/>
          <w:b/>
          <w:color w:val="auto"/>
          <w:sz w:val="21"/>
          <w:szCs w:val="21"/>
          <w:highlight w:val="none"/>
        </w:rPr>
        <w:t>7.5 中标通知</w:t>
      </w:r>
      <w:bookmarkEnd w:id="338"/>
      <w:bookmarkEnd w:id="339"/>
    </w:p>
    <w:p w14:paraId="3F30C724">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在本章第3.3款规定的投标有效期内，招标人以投标人须知前附表规定的形式向中标人发出中标通知书，同时将中标结果通知未中标的投标人。</w:t>
      </w:r>
    </w:p>
    <w:p w14:paraId="10C5EFAA">
      <w:pPr>
        <w:pStyle w:val="36"/>
        <w:spacing w:line="360" w:lineRule="auto"/>
        <w:ind w:left="0" w:leftChars="0" w:firstLine="0" w:firstLineChars="0"/>
        <w:outlineLvl w:val="1"/>
        <w:rPr>
          <w:rFonts w:ascii="宋体" w:hAnsi="宋体" w:eastAsia="宋体"/>
          <w:b/>
          <w:color w:val="auto"/>
          <w:sz w:val="21"/>
          <w:szCs w:val="21"/>
          <w:highlight w:val="none"/>
        </w:rPr>
      </w:pPr>
      <w:bookmarkStart w:id="340" w:name="_Toc16778782"/>
      <w:bookmarkEnd w:id="340"/>
      <w:bookmarkStart w:id="341" w:name="_Toc2943"/>
      <w:bookmarkEnd w:id="341"/>
      <w:bookmarkStart w:id="342" w:name="_Toc31958"/>
      <w:bookmarkStart w:id="343" w:name="_Toc13193"/>
      <w:r>
        <w:rPr>
          <w:rFonts w:hint="eastAsia" w:ascii="宋体" w:hAnsi="宋体" w:eastAsia="宋体"/>
          <w:b/>
          <w:color w:val="auto"/>
          <w:sz w:val="21"/>
          <w:szCs w:val="21"/>
          <w:highlight w:val="none"/>
        </w:rPr>
        <w:t>7.6 中标结果公告</w:t>
      </w:r>
      <w:bookmarkEnd w:id="342"/>
      <w:bookmarkEnd w:id="343"/>
    </w:p>
    <w:p w14:paraId="2BD1A616">
      <w:pPr>
        <w:spacing w:line="360" w:lineRule="auto"/>
        <w:ind w:firstLine="420" w:firstLineChars="20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招标人在确定中标人之日起3日内，按照投标人须知前附表规定的公告媒介和期限公告中标结果，公告期不得少于3日。公告内容包括定标时间、定标地点、定标方法、中标人名称、中标价格、质量、工期、资质条件、项目负责人信息，中标候选人的核查、考察、比较优势；核查未通过的中标候选人名单和原因，以及异议和投诉渠道等内容。</w:t>
      </w:r>
      <w:r>
        <w:rPr>
          <w:rFonts w:hint="eastAsia" w:ascii="宋体" w:hAnsi="宋体"/>
          <w:color w:val="auto"/>
          <w:sz w:val="21"/>
          <w:szCs w:val="21"/>
          <w:highlight w:val="none"/>
          <w:lang w:eastAsia="zh-CN"/>
        </w:rPr>
        <w:t>对中标结果公示有异议的，应当在公示期内向招标人提出。</w:t>
      </w:r>
    </w:p>
    <w:p w14:paraId="053889D3">
      <w:pPr>
        <w:pStyle w:val="36"/>
        <w:spacing w:line="360" w:lineRule="auto"/>
        <w:ind w:left="0" w:leftChars="0" w:firstLine="0" w:firstLineChars="0"/>
        <w:outlineLvl w:val="1"/>
        <w:rPr>
          <w:rFonts w:ascii="宋体" w:hAnsi="宋体" w:eastAsia="宋体"/>
          <w:b/>
          <w:color w:val="auto"/>
          <w:sz w:val="21"/>
          <w:szCs w:val="21"/>
          <w:highlight w:val="none"/>
        </w:rPr>
      </w:pPr>
      <w:bookmarkStart w:id="344" w:name="_Toc32392"/>
      <w:bookmarkEnd w:id="344"/>
      <w:bookmarkStart w:id="345" w:name="_Toc16778783"/>
      <w:bookmarkEnd w:id="345"/>
      <w:bookmarkStart w:id="346" w:name="_Toc11265"/>
      <w:bookmarkStart w:id="347" w:name="_Toc6456"/>
      <w:r>
        <w:rPr>
          <w:rFonts w:hint="eastAsia" w:ascii="宋体" w:hAnsi="宋体" w:eastAsia="宋体"/>
          <w:b/>
          <w:color w:val="auto"/>
          <w:sz w:val="21"/>
          <w:szCs w:val="21"/>
          <w:highlight w:val="none"/>
        </w:rPr>
        <w:t>7.7 履约保证金</w:t>
      </w:r>
      <w:bookmarkEnd w:id="346"/>
      <w:bookmarkEnd w:id="347"/>
    </w:p>
    <w:p w14:paraId="49AA7864">
      <w:pPr>
        <w:spacing w:line="360" w:lineRule="auto"/>
        <w:ind w:firstLine="420" w:firstLineChars="200"/>
        <w:rPr>
          <w:rFonts w:ascii="宋体" w:hAnsi="宋体"/>
          <w:color w:val="0000FF"/>
          <w:sz w:val="21"/>
          <w:szCs w:val="21"/>
          <w:highlight w:val="none"/>
        </w:rPr>
      </w:pPr>
      <w:r>
        <w:rPr>
          <w:rFonts w:hint="eastAsia" w:ascii="宋体" w:hAnsi="宋体"/>
          <w:color w:val="auto"/>
          <w:sz w:val="21"/>
          <w:szCs w:val="21"/>
          <w:highlight w:val="none"/>
        </w:rPr>
        <w:t>7.7.1 在签订合同前，中标人应按投标人须知前附表规定的形式、金额和招标文件第</w:t>
      </w:r>
      <w:r>
        <w:rPr>
          <w:rFonts w:hint="eastAsia" w:ascii="宋体" w:hAnsi="宋体"/>
          <w:color w:val="auto"/>
          <w:sz w:val="21"/>
          <w:szCs w:val="21"/>
          <w:highlight w:val="none"/>
          <w:lang w:val="en-US" w:eastAsia="zh-CN"/>
        </w:rPr>
        <w:t>五</w:t>
      </w:r>
      <w:r>
        <w:rPr>
          <w:rFonts w:hint="eastAsia" w:ascii="宋体" w:hAnsi="宋体"/>
          <w:color w:val="auto"/>
          <w:sz w:val="21"/>
          <w:szCs w:val="21"/>
          <w:highlight w:val="none"/>
        </w:rPr>
        <w:t>章“合同条款及格式”规定的或事先经过招标人书面认可的履约保证金格式向招标人提交履约保证金。除投标人须知前附表另有规定外，履约保证金为签约合同价</w:t>
      </w:r>
      <w:r>
        <w:rPr>
          <w:rFonts w:hint="eastAsia" w:ascii="宋体" w:hAnsi="宋体"/>
          <w:color w:val="auto"/>
          <w:sz w:val="21"/>
          <w:szCs w:val="21"/>
          <w:highlight w:val="none"/>
          <w:lang w:val="en-US" w:eastAsia="zh-CN"/>
        </w:rPr>
        <w:t>5%。联合体中标的，其履约保证金以联合体各方或联合体中牵头人的名义提交</w:t>
      </w:r>
      <w:r>
        <w:rPr>
          <w:rFonts w:hint="eastAsia" w:ascii="宋体" w:hAnsi="宋体"/>
          <w:color w:val="auto"/>
          <w:sz w:val="21"/>
          <w:szCs w:val="21"/>
          <w:highlight w:val="none"/>
        </w:rPr>
        <w:t>。</w:t>
      </w:r>
    </w:p>
    <w:p w14:paraId="44EB639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采用银行保函时，应由符合投标人须知前附表规定级别的银行开具，所需的费用由中标人承担，中标人应保证银行保函有效。</w:t>
      </w:r>
    </w:p>
    <w:p w14:paraId="3FFA6A6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7.7.2 中标人不能按本章第7.7.1项要求提交履约保证金的，视为放弃中标，其投标保证金不予退还，给招标人造成的损失超过投标保证金数额的，中标人还应对超过部分予以赔偿。</w:t>
      </w:r>
    </w:p>
    <w:p w14:paraId="66606460">
      <w:pPr>
        <w:pStyle w:val="36"/>
        <w:spacing w:line="360" w:lineRule="auto"/>
        <w:ind w:left="0" w:leftChars="0" w:firstLine="0" w:firstLineChars="0"/>
        <w:outlineLvl w:val="1"/>
        <w:rPr>
          <w:rFonts w:ascii="宋体" w:hAnsi="宋体" w:eastAsia="宋体"/>
          <w:b/>
          <w:color w:val="auto"/>
          <w:sz w:val="21"/>
          <w:szCs w:val="21"/>
          <w:highlight w:val="none"/>
        </w:rPr>
      </w:pPr>
      <w:bookmarkStart w:id="348" w:name="_Toc7811"/>
      <w:bookmarkEnd w:id="348"/>
      <w:bookmarkStart w:id="349" w:name="_Toc16778784"/>
      <w:bookmarkEnd w:id="349"/>
      <w:bookmarkStart w:id="350" w:name="_Toc30062"/>
      <w:bookmarkStart w:id="351" w:name="_Toc17759"/>
      <w:r>
        <w:rPr>
          <w:rFonts w:hint="eastAsia" w:ascii="宋体" w:hAnsi="宋体" w:eastAsia="宋体"/>
          <w:b/>
          <w:color w:val="auto"/>
          <w:sz w:val="21"/>
          <w:szCs w:val="21"/>
          <w:highlight w:val="none"/>
        </w:rPr>
        <w:t>7.8 签订合同</w:t>
      </w:r>
      <w:bookmarkEnd w:id="350"/>
      <w:bookmarkEnd w:id="351"/>
    </w:p>
    <w:p w14:paraId="110111EB">
      <w:pPr>
        <w:spacing w:line="360" w:lineRule="auto"/>
        <w:ind w:firstLine="630" w:firstLineChars="300"/>
        <w:rPr>
          <w:rFonts w:ascii="宋体" w:hAnsi="宋体"/>
          <w:color w:val="auto"/>
          <w:sz w:val="21"/>
          <w:szCs w:val="21"/>
          <w:highlight w:val="none"/>
        </w:rPr>
      </w:pPr>
      <w:r>
        <w:rPr>
          <w:rFonts w:hint="eastAsia" w:ascii="宋体" w:hAnsi="宋体"/>
          <w:color w:val="auto"/>
          <w:sz w:val="21"/>
          <w:szCs w:val="21"/>
          <w:highlight w:val="none"/>
        </w:rPr>
        <w:t>7.8.1 招标人和中标人应在中标通知书发出之日起30日内，根据招标文件和中标人的投标文件订立书面合同</w:t>
      </w:r>
      <w:r>
        <w:rPr>
          <w:rFonts w:hint="eastAsia" w:ascii="宋体" w:hAnsi="宋体" w:cs="宋体"/>
          <w:color w:val="auto"/>
          <w:kern w:val="0"/>
          <w:sz w:val="21"/>
          <w:szCs w:val="21"/>
          <w:highlight w:val="none"/>
          <w:lang w:eastAsia="zh-CN"/>
        </w:rPr>
        <w:t>。</w:t>
      </w:r>
      <w:r>
        <w:rPr>
          <w:rFonts w:hint="eastAsia" w:ascii="宋体" w:hAnsi="宋体"/>
          <w:color w:val="auto"/>
          <w:sz w:val="21"/>
          <w:szCs w:val="21"/>
          <w:highlight w:val="none"/>
        </w:rPr>
        <w:t>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250E59B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7.8.2 发出中标通知书后，招标人无正当理由拒签合同，或在签订合同时向中标人提出附加条件的，招标人向中标人退还投标保证金；给中标人造成损失的，还应赔偿损失。</w:t>
      </w:r>
    </w:p>
    <w:p w14:paraId="50494FBC">
      <w:pPr>
        <w:spacing w:line="360" w:lineRule="auto"/>
        <w:ind w:firstLine="420" w:firstLineChars="200"/>
        <w:rPr>
          <w:rFonts w:ascii="宋体" w:hAnsi="宋体"/>
          <w:color w:val="FF0000"/>
          <w:sz w:val="21"/>
          <w:szCs w:val="21"/>
          <w:highlight w:val="none"/>
        </w:rPr>
      </w:pPr>
      <w:r>
        <w:rPr>
          <w:rFonts w:hint="eastAsia" w:ascii="宋体" w:hAnsi="宋体"/>
          <w:color w:val="auto"/>
          <w:sz w:val="21"/>
          <w:szCs w:val="21"/>
          <w:highlight w:val="none"/>
        </w:rPr>
        <w:t>7.8.</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rPr>
        <w:t xml:space="preserve"> 招标人和中标人在签订合同协议书的同时，</w:t>
      </w:r>
      <w:r>
        <w:rPr>
          <w:rFonts w:hint="eastAsia" w:ascii="宋体" w:hAnsi="宋体"/>
          <w:color w:val="auto"/>
          <w:sz w:val="21"/>
          <w:szCs w:val="21"/>
          <w:highlight w:val="none"/>
          <w:lang w:val="en-US" w:eastAsia="zh-CN"/>
        </w:rPr>
        <w:t>须</w:t>
      </w:r>
      <w:r>
        <w:rPr>
          <w:rFonts w:hint="eastAsia" w:ascii="宋体" w:hAnsi="宋体"/>
          <w:color w:val="auto"/>
          <w:sz w:val="21"/>
          <w:szCs w:val="21"/>
          <w:highlight w:val="none"/>
        </w:rPr>
        <w:t>按照本招标文件规定的格式和要求签订廉政合同及安全生产合同，明确双方在廉政建设和安全生产方面的权利和义务以及应</w:t>
      </w:r>
      <w:r>
        <w:rPr>
          <w:rFonts w:hint="eastAsia" w:ascii="宋体" w:hAnsi="宋体"/>
          <w:color w:val="auto"/>
          <w:sz w:val="21"/>
          <w:szCs w:val="21"/>
          <w:highlight w:val="none"/>
          <w:lang w:eastAsia="zh-CN"/>
        </w:rPr>
        <w:t>承担的违约责任。</w:t>
      </w:r>
      <w:r>
        <w:rPr>
          <w:rFonts w:hint="eastAsia" w:ascii="宋体" w:hAnsi="宋体"/>
          <w:color w:val="FF0000"/>
          <w:sz w:val="21"/>
          <w:szCs w:val="21"/>
          <w:highlight w:val="none"/>
        </w:rPr>
        <w:t xml:space="preserve"> </w:t>
      </w:r>
    </w:p>
    <w:p w14:paraId="7179961C">
      <w:pPr>
        <w:pStyle w:val="36"/>
        <w:spacing w:line="360" w:lineRule="auto"/>
        <w:ind w:left="0" w:leftChars="0" w:firstLine="0" w:firstLineChars="0"/>
        <w:outlineLvl w:val="0"/>
        <w:rPr>
          <w:rFonts w:ascii="宋体" w:hAnsi="宋体" w:eastAsia="宋体"/>
          <w:b/>
          <w:color w:val="auto"/>
          <w:sz w:val="21"/>
          <w:szCs w:val="21"/>
          <w:highlight w:val="none"/>
        </w:rPr>
      </w:pPr>
      <w:bookmarkStart w:id="352" w:name="_Toc3038"/>
      <w:bookmarkEnd w:id="352"/>
      <w:bookmarkStart w:id="353" w:name="_Toc179632592"/>
      <w:bookmarkEnd w:id="353"/>
      <w:bookmarkStart w:id="354" w:name="_Toc16778785"/>
      <w:bookmarkEnd w:id="354"/>
      <w:bookmarkStart w:id="355" w:name="_Toc152042350"/>
      <w:bookmarkEnd w:id="355"/>
      <w:bookmarkStart w:id="356" w:name="_Toc144974542"/>
      <w:bookmarkEnd w:id="356"/>
      <w:bookmarkStart w:id="357" w:name="_Toc152045574"/>
      <w:bookmarkEnd w:id="357"/>
      <w:bookmarkStart w:id="358" w:name="_Toc25210"/>
      <w:bookmarkStart w:id="359" w:name="_Toc27383"/>
      <w:r>
        <w:rPr>
          <w:rFonts w:hint="eastAsia" w:ascii="宋体" w:hAnsi="宋体" w:eastAsia="宋体"/>
          <w:b/>
          <w:color w:val="auto"/>
          <w:sz w:val="21"/>
          <w:szCs w:val="21"/>
          <w:highlight w:val="none"/>
          <w:lang w:val="en-US" w:eastAsia="zh-CN"/>
        </w:rPr>
        <w:t>8</w:t>
      </w:r>
      <w:r>
        <w:rPr>
          <w:rFonts w:hint="eastAsia" w:ascii="宋体" w:hAnsi="宋体" w:eastAsia="宋体"/>
          <w:b/>
          <w:color w:val="auto"/>
          <w:sz w:val="21"/>
          <w:szCs w:val="21"/>
          <w:highlight w:val="none"/>
        </w:rPr>
        <w:t>. 纪律和监督</w:t>
      </w:r>
      <w:bookmarkEnd w:id="358"/>
      <w:bookmarkEnd w:id="359"/>
    </w:p>
    <w:p w14:paraId="78F12A11">
      <w:pPr>
        <w:pStyle w:val="36"/>
        <w:spacing w:line="360" w:lineRule="auto"/>
        <w:ind w:left="0" w:leftChars="0" w:firstLine="0" w:firstLineChars="0"/>
        <w:outlineLvl w:val="1"/>
        <w:rPr>
          <w:rFonts w:ascii="宋体" w:hAnsi="宋体" w:eastAsia="宋体"/>
          <w:b/>
          <w:color w:val="auto"/>
          <w:sz w:val="21"/>
          <w:szCs w:val="21"/>
          <w:highlight w:val="none"/>
        </w:rPr>
      </w:pPr>
      <w:bookmarkStart w:id="360" w:name="_Toc23769"/>
      <w:bookmarkEnd w:id="360"/>
      <w:bookmarkStart w:id="361" w:name="_Toc144974543"/>
      <w:bookmarkEnd w:id="361"/>
      <w:bookmarkStart w:id="362" w:name="_Toc16778786"/>
      <w:bookmarkEnd w:id="362"/>
      <w:bookmarkStart w:id="363" w:name="_Toc152045575"/>
      <w:bookmarkEnd w:id="363"/>
      <w:bookmarkStart w:id="364" w:name="_Toc179632593"/>
      <w:bookmarkEnd w:id="364"/>
      <w:bookmarkStart w:id="365" w:name="_Toc152042351"/>
      <w:bookmarkEnd w:id="365"/>
      <w:bookmarkStart w:id="366" w:name="_Toc30247"/>
      <w:bookmarkStart w:id="367" w:name="_Toc11094"/>
      <w:r>
        <w:rPr>
          <w:rFonts w:hint="eastAsia" w:ascii="宋体" w:hAnsi="宋体" w:eastAsia="宋体"/>
          <w:b/>
          <w:color w:val="auto"/>
          <w:sz w:val="21"/>
          <w:szCs w:val="21"/>
          <w:highlight w:val="none"/>
          <w:lang w:val="en-US" w:eastAsia="zh-CN"/>
        </w:rPr>
        <w:t>8</w:t>
      </w:r>
      <w:r>
        <w:rPr>
          <w:rFonts w:hint="eastAsia" w:ascii="宋体" w:hAnsi="宋体" w:eastAsia="宋体"/>
          <w:b/>
          <w:color w:val="auto"/>
          <w:sz w:val="21"/>
          <w:szCs w:val="21"/>
          <w:highlight w:val="none"/>
        </w:rPr>
        <w:t>.1 对招标人的纪律要求</w:t>
      </w:r>
      <w:bookmarkEnd w:id="366"/>
      <w:bookmarkEnd w:id="367"/>
    </w:p>
    <w:p w14:paraId="1EBB8C81">
      <w:pPr>
        <w:spacing w:line="360" w:lineRule="auto"/>
        <w:ind w:firstLine="420" w:firstLineChars="200"/>
        <w:jc w:val="left"/>
        <w:rPr>
          <w:rFonts w:ascii="宋体" w:hAnsi="宋体"/>
          <w:color w:val="auto"/>
          <w:sz w:val="21"/>
          <w:szCs w:val="21"/>
          <w:highlight w:val="none"/>
        </w:rPr>
      </w:pPr>
      <w:r>
        <w:rPr>
          <w:rFonts w:hint="eastAsia" w:ascii="宋体" w:hAnsi="宋体"/>
          <w:color w:val="auto"/>
          <w:sz w:val="21"/>
          <w:szCs w:val="21"/>
          <w:highlight w:val="none"/>
        </w:rPr>
        <w:t>招标人不得泄漏招标投标活动中应当保密的情况和资料，不得与投标人串通损害国家利益、社会公共利益或者他人合法权益。</w:t>
      </w:r>
    </w:p>
    <w:p w14:paraId="06992290">
      <w:pPr>
        <w:pStyle w:val="36"/>
        <w:spacing w:line="360" w:lineRule="auto"/>
        <w:ind w:left="0" w:leftChars="0" w:firstLine="0" w:firstLineChars="0"/>
        <w:outlineLvl w:val="1"/>
        <w:rPr>
          <w:rFonts w:ascii="宋体" w:hAnsi="宋体" w:eastAsia="宋体"/>
          <w:b/>
          <w:color w:val="auto"/>
          <w:sz w:val="21"/>
          <w:szCs w:val="21"/>
          <w:highlight w:val="none"/>
        </w:rPr>
      </w:pPr>
      <w:bookmarkStart w:id="368" w:name="_Toc26629"/>
      <w:bookmarkEnd w:id="368"/>
      <w:bookmarkStart w:id="369" w:name="_Toc30704"/>
      <w:bookmarkEnd w:id="369"/>
      <w:bookmarkStart w:id="370" w:name="_Toc179632594"/>
      <w:bookmarkEnd w:id="370"/>
      <w:bookmarkStart w:id="371" w:name="_Toc144974544"/>
      <w:bookmarkEnd w:id="371"/>
      <w:bookmarkStart w:id="372" w:name="_Toc152042352"/>
      <w:bookmarkEnd w:id="372"/>
      <w:bookmarkStart w:id="373" w:name="_Toc16778787"/>
      <w:bookmarkEnd w:id="373"/>
      <w:bookmarkStart w:id="374" w:name="_Toc152045576"/>
      <w:bookmarkStart w:id="375" w:name="_Toc19217"/>
      <w:r>
        <w:rPr>
          <w:rFonts w:hint="eastAsia" w:ascii="宋体" w:hAnsi="宋体" w:eastAsia="宋体"/>
          <w:b/>
          <w:color w:val="auto"/>
          <w:sz w:val="21"/>
          <w:szCs w:val="21"/>
          <w:highlight w:val="none"/>
          <w:lang w:val="en-US" w:eastAsia="zh-CN"/>
        </w:rPr>
        <w:t>8</w:t>
      </w:r>
      <w:r>
        <w:rPr>
          <w:rFonts w:hint="eastAsia" w:ascii="宋体" w:hAnsi="宋体" w:eastAsia="宋体"/>
          <w:b/>
          <w:color w:val="auto"/>
          <w:sz w:val="21"/>
          <w:szCs w:val="21"/>
          <w:highlight w:val="none"/>
        </w:rPr>
        <w:t>.2 对投标人的纪律要求</w:t>
      </w:r>
      <w:bookmarkEnd w:id="374"/>
      <w:bookmarkEnd w:id="375"/>
    </w:p>
    <w:p w14:paraId="3B9D13AA">
      <w:pPr>
        <w:widowControl/>
        <w:shd w:val="clear" w:color="auto" w:fill="auto"/>
        <w:spacing w:line="360" w:lineRule="auto"/>
        <w:ind w:firstLine="360"/>
        <w:rPr>
          <w:rFonts w:hint="eastAsia" w:ascii="宋体" w:hAnsi="宋体" w:eastAsia="宋体" w:cs="Times New Roman"/>
          <w:color w:val="auto"/>
          <w:sz w:val="21"/>
          <w:szCs w:val="21"/>
          <w:highlight w:val="none"/>
        </w:rPr>
      </w:pPr>
      <w:r>
        <w:rPr>
          <w:rFonts w:hint="eastAsia" w:ascii="宋体" w:hAnsi="宋体"/>
          <w:color w:val="auto"/>
          <w:sz w:val="21"/>
          <w:szCs w:val="21"/>
          <w:highlight w:val="none"/>
        </w:rPr>
        <w:t>投标人不得相互串通投标或与招标人串通投标，不得向招标人或者评标委员会成员行贿谋取中标，不得以他人名义投标或以其他方式弄虚作假骗取中标；投标人不得以任何方式干扰、影响评标工作。</w:t>
      </w:r>
    </w:p>
    <w:p w14:paraId="58978BA8">
      <w:pPr>
        <w:pStyle w:val="36"/>
        <w:keepNext w:val="0"/>
        <w:keepLines w:val="0"/>
        <w:pageBreakBefore w:val="0"/>
        <w:widowControl w:val="0"/>
        <w:kinsoku/>
        <w:overflowPunct w:val="0"/>
        <w:topLinePunct w:val="0"/>
        <w:autoSpaceDE/>
        <w:autoSpaceDN/>
        <w:bidi w:val="0"/>
        <w:adjustRightInd/>
        <w:snapToGrid/>
        <w:spacing w:line="360" w:lineRule="auto"/>
        <w:ind w:left="0" w:leftChars="0" w:firstLine="0" w:firstLineChars="0"/>
        <w:textAlignment w:val="auto"/>
        <w:outlineLvl w:val="1"/>
        <w:rPr>
          <w:rFonts w:ascii="宋体" w:hAnsi="宋体" w:eastAsia="宋体"/>
          <w:b/>
          <w:color w:val="auto"/>
          <w:sz w:val="21"/>
          <w:szCs w:val="21"/>
          <w:highlight w:val="none"/>
        </w:rPr>
      </w:pPr>
      <w:bookmarkStart w:id="376" w:name="_Toc11173"/>
      <w:bookmarkEnd w:id="376"/>
      <w:bookmarkStart w:id="377" w:name="_Toc179632595"/>
      <w:bookmarkEnd w:id="377"/>
      <w:bookmarkStart w:id="378" w:name="_Toc23529"/>
      <w:bookmarkEnd w:id="378"/>
      <w:bookmarkStart w:id="379" w:name="_Toc16778788"/>
      <w:bookmarkEnd w:id="379"/>
      <w:bookmarkStart w:id="380" w:name="_Toc152045577"/>
      <w:bookmarkEnd w:id="380"/>
      <w:bookmarkStart w:id="381" w:name="_Toc144974545"/>
      <w:bookmarkEnd w:id="381"/>
      <w:bookmarkStart w:id="382" w:name="_Toc27056"/>
      <w:bookmarkStart w:id="383" w:name="_Toc152042353"/>
      <w:r>
        <w:rPr>
          <w:rFonts w:hint="eastAsia" w:ascii="宋体" w:hAnsi="宋体" w:eastAsia="宋体"/>
          <w:b/>
          <w:color w:val="auto"/>
          <w:sz w:val="21"/>
          <w:szCs w:val="21"/>
          <w:highlight w:val="none"/>
          <w:lang w:val="en-US" w:eastAsia="zh-CN"/>
        </w:rPr>
        <w:t>8</w:t>
      </w:r>
      <w:r>
        <w:rPr>
          <w:rFonts w:hint="eastAsia" w:ascii="宋体" w:hAnsi="宋体" w:eastAsia="宋体"/>
          <w:b/>
          <w:color w:val="auto"/>
          <w:sz w:val="21"/>
          <w:szCs w:val="21"/>
          <w:highlight w:val="none"/>
        </w:rPr>
        <w:t>.3 对评标委员会成员的纪律要求</w:t>
      </w:r>
      <w:bookmarkEnd w:id="382"/>
      <w:bookmarkEnd w:id="383"/>
    </w:p>
    <w:p w14:paraId="1D43F353">
      <w:pPr>
        <w:keepNext w:val="0"/>
        <w:keepLines w:val="0"/>
        <w:pageBreakBefore w:val="0"/>
        <w:widowControl w:val="0"/>
        <w:kinsoku/>
        <w:overflowPunct w:val="0"/>
        <w:topLinePunct w:val="0"/>
        <w:autoSpaceDE/>
        <w:autoSpaceDN/>
        <w:bidi w:val="0"/>
        <w:adjustRightInd/>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评标委员会成员不得收受他人的财物或其他好处</w:t>
      </w:r>
      <w:r>
        <w:rPr>
          <w:rFonts w:hint="eastAsia" w:ascii="宋体" w:hAnsi="宋体"/>
          <w:color w:val="auto"/>
          <w:sz w:val="21"/>
          <w:szCs w:val="21"/>
          <w:highlight w:val="none"/>
          <w:lang w:eastAsia="zh-CN"/>
        </w:rPr>
        <w:t>，</w:t>
      </w:r>
      <w:r>
        <w:rPr>
          <w:rFonts w:hint="eastAsia" w:ascii="宋体" w:hAnsi="宋体"/>
          <w:color w:val="auto"/>
          <w:sz w:val="21"/>
          <w:szCs w:val="21"/>
          <w:highlight w:val="none"/>
        </w:rPr>
        <w:t>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49FE0572">
      <w:pPr>
        <w:pStyle w:val="36"/>
        <w:keepNext w:val="0"/>
        <w:keepLines w:val="0"/>
        <w:pageBreakBefore w:val="0"/>
        <w:widowControl w:val="0"/>
        <w:kinsoku/>
        <w:overflowPunct w:val="0"/>
        <w:topLinePunct w:val="0"/>
        <w:autoSpaceDE/>
        <w:autoSpaceDN/>
        <w:bidi w:val="0"/>
        <w:adjustRightInd/>
        <w:snapToGrid/>
        <w:spacing w:line="360" w:lineRule="auto"/>
        <w:ind w:left="0" w:leftChars="0" w:firstLine="0" w:firstLineChars="0"/>
        <w:textAlignment w:val="auto"/>
        <w:outlineLvl w:val="1"/>
        <w:rPr>
          <w:rFonts w:ascii="宋体" w:hAnsi="宋体" w:eastAsia="宋体"/>
          <w:b/>
          <w:color w:val="auto"/>
          <w:sz w:val="21"/>
          <w:szCs w:val="21"/>
          <w:highlight w:val="none"/>
        </w:rPr>
      </w:pPr>
      <w:bookmarkStart w:id="384" w:name="_Toc152042354"/>
      <w:bookmarkEnd w:id="384"/>
      <w:bookmarkStart w:id="385" w:name="_Toc14833"/>
      <w:bookmarkEnd w:id="385"/>
      <w:bookmarkStart w:id="386" w:name="_Toc179632596"/>
      <w:bookmarkEnd w:id="386"/>
      <w:bookmarkStart w:id="387" w:name="_Toc21229"/>
      <w:bookmarkEnd w:id="387"/>
      <w:bookmarkStart w:id="388" w:name="_Toc152045578"/>
      <w:bookmarkEnd w:id="388"/>
      <w:bookmarkStart w:id="389" w:name="_Toc144974546"/>
      <w:bookmarkEnd w:id="389"/>
      <w:bookmarkStart w:id="390" w:name="_Toc3633"/>
      <w:bookmarkStart w:id="391" w:name="_Toc16778789"/>
      <w:r>
        <w:rPr>
          <w:rFonts w:hint="eastAsia" w:ascii="宋体" w:hAnsi="宋体" w:eastAsia="宋体"/>
          <w:b/>
          <w:color w:val="auto"/>
          <w:sz w:val="21"/>
          <w:szCs w:val="21"/>
          <w:highlight w:val="none"/>
          <w:lang w:val="en-US" w:eastAsia="zh-CN"/>
        </w:rPr>
        <w:t>8</w:t>
      </w:r>
      <w:r>
        <w:rPr>
          <w:rFonts w:hint="eastAsia" w:ascii="宋体" w:hAnsi="宋体" w:eastAsia="宋体"/>
          <w:b/>
          <w:color w:val="auto"/>
          <w:sz w:val="21"/>
          <w:szCs w:val="21"/>
          <w:highlight w:val="none"/>
        </w:rPr>
        <w:t>.4 对与评标活动有关的工作人员的纪律要求</w:t>
      </w:r>
      <w:bookmarkEnd w:id="390"/>
      <w:bookmarkEnd w:id="391"/>
    </w:p>
    <w:p w14:paraId="2C0F9D72">
      <w:pPr>
        <w:keepNext w:val="0"/>
        <w:keepLines w:val="0"/>
        <w:pageBreakBefore w:val="0"/>
        <w:widowControl w:val="0"/>
        <w:kinsoku/>
        <w:overflowPunct w:val="0"/>
        <w:topLinePunct w:val="0"/>
        <w:autoSpaceDE/>
        <w:autoSpaceDN/>
        <w:bidi w:val="0"/>
        <w:adjustRightInd/>
        <w:snapToGrid/>
        <w:spacing w:line="360" w:lineRule="auto"/>
        <w:ind w:firstLine="420" w:firstLineChars="200"/>
        <w:jc w:val="left"/>
        <w:textAlignment w:val="auto"/>
        <w:rPr>
          <w:rFonts w:ascii="宋体" w:hAnsi="宋体"/>
          <w:color w:val="auto"/>
          <w:sz w:val="21"/>
          <w:szCs w:val="21"/>
          <w:highlight w:val="none"/>
        </w:rPr>
      </w:pPr>
      <w:bookmarkStart w:id="392" w:name="_Toc152042355"/>
      <w:bookmarkEnd w:id="392"/>
      <w:r>
        <w:rPr>
          <w:rFonts w:hint="eastAsia" w:ascii="宋体" w:hAnsi="宋体"/>
          <w:color w:val="auto"/>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DF9FAD9">
      <w:pPr>
        <w:pStyle w:val="36"/>
        <w:keepNext w:val="0"/>
        <w:keepLines w:val="0"/>
        <w:pageBreakBefore w:val="0"/>
        <w:widowControl w:val="0"/>
        <w:kinsoku/>
        <w:overflowPunct w:val="0"/>
        <w:topLinePunct w:val="0"/>
        <w:autoSpaceDE/>
        <w:autoSpaceDN/>
        <w:bidi w:val="0"/>
        <w:adjustRightInd/>
        <w:snapToGrid/>
        <w:spacing w:line="360" w:lineRule="auto"/>
        <w:ind w:left="0" w:leftChars="0" w:firstLine="0" w:firstLineChars="0"/>
        <w:textAlignment w:val="auto"/>
        <w:outlineLvl w:val="1"/>
        <w:rPr>
          <w:rFonts w:ascii="宋体" w:hAnsi="宋体" w:eastAsia="宋体"/>
          <w:b/>
          <w:color w:val="auto"/>
          <w:sz w:val="21"/>
          <w:szCs w:val="21"/>
          <w:highlight w:val="none"/>
        </w:rPr>
      </w:pPr>
      <w:bookmarkStart w:id="393" w:name="_Toc152045579"/>
      <w:bookmarkEnd w:id="393"/>
      <w:bookmarkStart w:id="394" w:name="_Toc152042356"/>
      <w:bookmarkEnd w:id="394"/>
      <w:bookmarkStart w:id="395" w:name="_Toc17647"/>
      <w:bookmarkEnd w:id="395"/>
      <w:bookmarkStart w:id="396" w:name="_Toc16778790"/>
      <w:bookmarkEnd w:id="396"/>
      <w:bookmarkStart w:id="397" w:name="_Toc10515"/>
      <w:bookmarkEnd w:id="397"/>
      <w:bookmarkStart w:id="398" w:name="_Toc179632597"/>
      <w:bookmarkStart w:id="399" w:name="_Toc22083"/>
      <w:r>
        <w:rPr>
          <w:rFonts w:hint="eastAsia" w:ascii="宋体" w:hAnsi="宋体" w:eastAsia="宋体"/>
          <w:b/>
          <w:color w:val="auto"/>
          <w:sz w:val="21"/>
          <w:szCs w:val="21"/>
          <w:highlight w:val="none"/>
          <w:lang w:val="en-US" w:eastAsia="zh-CN"/>
        </w:rPr>
        <w:t>8</w:t>
      </w:r>
      <w:r>
        <w:rPr>
          <w:rFonts w:hint="eastAsia" w:ascii="宋体" w:hAnsi="宋体" w:eastAsia="宋体"/>
          <w:b/>
          <w:color w:val="auto"/>
          <w:sz w:val="21"/>
          <w:szCs w:val="21"/>
          <w:highlight w:val="none"/>
        </w:rPr>
        <w:t>.5 投诉</w:t>
      </w:r>
      <w:bookmarkEnd w:id="398"/>
      <w:bookmarkEnd w:id="399"/>
    </w:p>
    <w:p w14:paraId="0C15B8CD">
      <w:pPr>
        <w:keepNext w:val="0"/>
        <w:keepLines w:val="0"/>
        <w:pageBreakBefore w:val="0"/>
        <w:widowControl w:val="0"/>
        <w:kinsoku/>
        <w:overflowPunct w:val="0"/>
        <w:topLinePunct w:val="0"/>
        <w:autoSpaceDE/>
        <w:autoSpaceDN/>
        <w:bidi w:val="0"/>
        <w:adjustRightInd/>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.5.1 投标人或其他利害关系人认为招标投标活动不符合法律、行政法规规定的，可以自知道或应当知道之日起10日内向有关行政监督部门投诉。投诉应有明确的请求和必要的证明材料。</w:t>
      </w:r>
    </w:p>
    <w:p w14:paraId="347A7ECF">
      <w:pPr>
        <w:keepNext w:val="0"/>
        <w:keepLines w:val="0"/>
        <w:pageBreakBefore w:val="0"/>
        <w:widowControl w:val="0"/>
        <w:kinsoku/>
        <w:overflowPunct w:val="0"/>
        <w:topLinePunct w:val="0"/>
        <w:autoSpaceDE/>
        <w:autoSpaceDN/>
        <w:bidi w:val="0"/>
        <w:adjustRightInd/>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监督部门的联系方式见投标人须知前附表。</w:t>
      </w:r>
    </w:p>
    <w:p w14:paraId="6920E7F2">
      <w:pPr>
        <w:keepNext w:val="0"/>
        <w:keepLines w:val="0"/>
        <w:pageBreakBefore w:val="0"/>
        <w:widowControl w:val="0"/>
        <w:kinsoku/>
        <w:wordWrap w:val="0"/>
        <w:overflowPunct w:val="0"/>
        <w:topLinePunct w:val="0"/>
        <w:autoSpaceDE/>
        <w:autoSpaceDN/>
        <w:bidi w:val="0"/>
        <w:adjustRightInd/>
        <w:snapToGrid/>
        <w:spacing w:line="360" w:lineRule="auto"/>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.5.2 投标人或其他利害关系人对招标文件、开标和评标结果提出投诉的，应按照本章第2.4款、第5.3款和第7.2款的规定先向招标人提出异议。异议答复期间不计算在第</w:t>
      </w:r>
      <w:r>
        <w:rPr>
          <w:rFonts w:hint="eastAsia" w:ascii="宋体" w:hAnsi="宋体"/>
          <w:color w:val="auto"/>
          <w:sz w:val="21"/>
          <w:szCs w:val="21"/>
          <w:highlight w:val="none"/>
          <w:lang w:val="en-US" w:eastAsia="zh-CN"/>
        </w:rPr>
        <w:t>8</w:t>
      </w:r>
      <w:r>
        <w:rPr>
          <w:rFonts w:hint="eastAsia" w:ascii="宋体" w:hAnsi="宋体"/>
          <w:color w:val="auto"/>
          <w:sz w:val="21"/>
          <w:szCs w:val="21"/>
          <w:highlight w:val="none"/>
        </w:rPr>
        <w:t>.5.1项规定的期限内。</w:t>
      </w:r>
    </w:p>
    <w:p w14:paraId="4C6031D2">
      <w:pPr>
        <w:pStyle w:val="13"/>
        <w:keepNext w:val="0"/>
        <w:keepLines w:val="0"/>
        <w:pageBreakBefore w:val="0"/>
        <w:widowControl w:val="0"/>
        <w:kinsoku/>
        <w:topLinePunct w:val="0"/>
        <w:autoSpaceDE/>
        <w:autoSpaceDN/>
        <w:bidi w:val="0"/>
        <w:adjustRightInd/>
        <w:snapToGrid/>
        <w:spacing w:line="360" w:lineRule="auto"/>
        <w:ind w:left="0" w:leftChars="0" w:firstLine="0" w:firstLineChars="0"/>
        <w:textAlignment w:val="auto"/>
        <w:outlineLvl w:val="0"/>
        <w:rPr>
          <w:rFonts w:hint="eastAsia" w:ascii="宋体"/>
          <w:b/>
          <w:color w:val="auto"/>
          <w:sz w:val="21"/>
          <w:szCs w:val="21"/>
          <w:highlight w:val="none"/>
          <w:lang w:val="en-US" w:eastAsia="zh-CN"/>
        </w:rPr>
      </w:pPr>
      <w:bookmarkStart w:id="400" w:name="_Toc31036"/>
      <w:r>
        <w:rPr>
          <w:rFonts w:hint="eastAsia" w:ascii="宋体"/>
          <w:b/>
          <w:color w:val="auto"/>
          <w:sz w:val="21"/>
          <w:szCs w:val="21"/>
          <w:highlight w:val="none"/>
          <w:lang w:val="en-US" w:eastAsia="zh-CN"/>
        </w:rPr>
        <w:t>9</w:t>
      </w:r>
      <w:r>
        <w:rPr>
          <w:rFonts w:hint="eastAsia" w:ascii="宋体" w:hAnsi="宋体" w:eastAsia="宋体"/>
          <w:b/>
          <w:color w:val="auto"/>
          <w:sz w:val="21"/>
          <w:szCs w:val="21"/>
          <w:highlight w:val="none"/>
        </w:rPr>
        <w:t>.</w:t>
      </w:r>
      <w:r>
        <w:rPr>
          <w:rFonts w:hint="eastAsia" w:ascii="宋体"/>
          <w:b/>
          <w:color w:val="auto"/>
          <w:sz w:val="21"/>
          <w:szCs w:val="21"/>
          <w:highlight w:val="none"/>
          <w:lang w:val="en-US" w:eastAsia="zh-CN"/>
        </w:rPr>
        <w:t xml:space="preserve"> 是否采用电子招标投标</w:t>
      </w:r>
      <w:bookmarkEnd w:id="400"/>
    </w:p>
    <w:p w14:paraId="3A4D1B15">
      <w:pPr>
        <w:keepNext w:val="0"/>
        <w:keepLines w:val="0"/>
        <w:pageBreakBefore w:val="0"/>
        <w:widowControl w:val="0"/>
        <w:kinsoku/>
        <w:topLinePunct w:val="0"/>
        <w:autoSpaceDE/>
        <w:autoSpaceDN/>
        <w:bidi w:val="0"/>
        <w:adjustRightInd/>
        <w:snapToGrid/>
        <w:spacing w:line="360" w:lineRule="auto"/>
        <w:ind w:firstLine="420" w:firstLineChars="200"/>
        <w:textAlignment w:val="auto"/>
        <w:rPr>
          <w:rFonts w:hint="eastAsia"/>
          <w:color w:val="auto"/>
          <w:sz w:val="21"/>
          <w:szCs w:val="21"/>
          <w:highlight w:val="none"/>
          <w:lang w:val="en-US" w:eastAsia="zh-CN"/>
        </w:rPr>
      </w:pPr>
      <w:r>
        <w:rPr>
          <w:rFonts w:hint="eastAsia"/>
          <w:color w:val="auto"/>
          <w:sz w:val="21"/>
          <w:szCs w:val="21"/>
          <w:highlight w:val="none"/>
          <w:lang w:val="en-US" w:eastAsia="zh-CN"/>
        </w:rPr>
        <w:t>本招标项目是否采用电子招标投标方式，见投标人须知前附表。</w:t>
      </w:r>
    </w:p>
    <w:p w14:paraId="34669F10">
      <w:pPr>
        <w:pStyle w:val="36"/>
        <w:keepNext w:val="0"/>
        <w:keepLines w:val="0"/>
        <w:pageBreakBefore w:val="0"/>
        <w:widowControl w:val="0"/>
        <w:numPr>
          <w:ilvl w:val="0"/>
          <w:numId w:val="1"/>
        </w:numPr>
        <w:kinsoku/>
        <w:wordWrap w:val="0"/>
        <w:overflowPunct w:val="0"/>
        <w:topLinePunct w:val="0"/>
        <w:autoSpaceDE/>
        <w:autoSpaceDN/>
        <w:bidi w:val="0"/>
        <w:adjustRightInd/>
        <w:snapToGrid/>
        <w:spacing w:line="360" w:lineRule="auto"/>
        <w:ind w:left="0" w:leftChars="0" w:firstLine="0" w:firstLineChars="0"/>
        <w:textAlignment w:val="auto"/>
        <w:outlineLvl w:val="0"/>
        <w:rPr>
          <w:rFonts w:hint="eastAsia" w:ascii="宋体" w:hAnsi="宋体" w:eastAsia="宋体"/>
          <w:b/>
          <w:color w:val="auto"/>
          <w:sz w:val="21"/>
          <w:szCs w:val="21"/>
          <w:highlight w:val="none"/>
        </w:rPr>
      </w:pPr>
      <w:bookmarkStart w:id="401" w:name="_Toc16778792"/>
      <w:bookmarkEnd w:id="401"/>
      <w:bookmarkStart w:id="402" w:name="_Toc152042357"/>
      <w:bookmarkEnd w:id="402"/>
      <w:bookmarkStart w:id="403" w:name="_Toc6998"/>
      <w:bookmarkEnd w:id="403"/>
      <w:bookmarkStart w:id="404" w:name="_Toc152045580"/>
      <w:bookmarkEnd w:id="404"/>
      <w:bookmarkStart w:id="405" w:name="_Toc7262"/>
      <w:bookmarkEnd w:id="405"/>
      <w:bookmarkStart w:id="406" w:name="_Toc11240"/>
      <w:bookmarkEnd w:id="406"/>
      <w:bookmarkStart w:id="407" w:name="_Toc144974547"/>
      <w:bookmarkEnd w:id="407"/>
      <w:bookmarkStart w:id="408" w:name="_Toc179632598"/>
      <w:bookmarkEnd w:id="408"/>
      <w:bookmarkStart w:id="409" w:name="_Toc14738"/>
      <w:bookmarkStart w:id="410" w:name="_Toc2809"/>
      <w:r>
        <w:rPr>
          <w:rFonts w:hint="eastAsia" w:ascii="宋体" w:hAnsi="宋体" w:eastAsia="宋体"/>
          <w:b/>
          <w:color w:val="auto"/>
          <w:sz w:val="21"/>
          <w:szCs w:val="21"/>
          <w:highlight w:val="none"/>
        </w:rPr>
        <w:t>需要补充的内容</w:t>
      </w:r>
      <w:bookmarkEnd w:id="409"/>
      <w:bookmarkEnd w:id="410"/>
    </w:p>
    <w:p w14:paraId="675BB722">
      <w:pPr>
        <w:pStyle w:val="36"/>
        <w:keepNext w:val="0"/>
        <w:keepLines w:val="0"/>
        <w:pageBreakBefore w:val="0"/>
        <w:widowControl w:val="0"/>
        <w:numPr>
          <w:ilvl w:val="0"/>
          <w:numId w:val="0"/>
        </w:numPr>
        <w:kinsoku/>
        <w:wordWrap w:val="0"/>
        <w:overflowPunct w:val="0"/>
        <w:topLinePunct w:val="0"/>
        <w:autoSpaceDE/>
        <w:autoSpaceDN/>
        <w:bidi w:val="0"/>
        <w:adjustRightInd/>
        <w:snapToGrid/>
        <w:spacing w:line="360" w:lineRule="auto"/>
        <w:ind w:left="0" w:leftChars="0" w:firstLine="420" w:firstLineChars="200"/>
        <w:textAlignment w:val="auto"/>
        <w:outlineLvl w:val="9"/>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10.1自购买招标文件之日起，投标人应保证其提供的联系方式（电话、传真、电子邮件）一直有效，以便及时收到招标人发出的函件（招标文件的澄清、修改等)，并应及时向招标人反馈信息，否则招标人不承担由此引起的一切后果。</w:t>
      </w:r>
    </w:p>
    <w:p w14:paraId="570BABDD">
      <w:pPr>
        <w:keepNext w:val="0"/>
        <w:keepLines w:val="0"/>
        <w:pageBreakBefore w:val="0"/>
        <w:widowControl w:val="0"/>
        <w:kinsoku/>
        <w:overflowPunct w:val="0"/>
        <w:topLinePunct w:val="0"/>
        <w:autoSpaceDE/>
        <w:autoSpaceDN/>
        <w:bidi w:val="0"/>
        <w:adjustRightInd/>
        <w:snapToGrid/>
        <w:spacing w:line="360" w:lineRule="auto"/>
        <w:ind w:firstLine="420" w:firstLineChars="200"/>
        <w:jc w:val="left"/>
        <w:textAlignment w:val="auto"/>
        <w:rPr>
          <w:rFonts w:hint="eastAsia" w:ascii="宋体" w:hAnsi="宋体" w:cs="Times New Roman"/>
          <w:color w:val="auto"/>
          <w:sz w:val="24"/>
          <w:szCs w:val="24"/>
          <w:highlight w:val="none"/>
        </w:rPr>
      </w:pPr>
      <w:bookmarkStart w:id="411" w:name="_Toc503884973"/>
      <w:bookmarkEnd w:id="411"/>
      <w:bookmarkStart w:id="412" w:name="_Toc409717261"/>
      <w:bookmarkEnd w:id="412"/>
      <w:bookmarkStart w:id="413" w:name="_Toc179632599"/>
      <w:bookmarkEnd w:id="413"/>
      <w:bookmarkStart w:id="414" w:name="_Toc144974548"/>
      <w:bookmarkEnd w:id="414"/>
      <w:bookmarkStart w:id="415" w:name="_Toc152045581"/>
      <w:bookmarkEnd w:id="415"/>
      <w:bookmarkStart w:id="416" w:name="_Toc351044531"/>
      <w:bookmarkEnd w:id="416"/>
      <w:bookmarkStart w:id="417" w:name="_Toc503271363"/>
      <w:bookmarkEnd w:id="417"/>
      <w:bookmarkStart w:id="418" w:name="_Toc494383751"/>
      <w:bookmarkEnd w:id="418"/>
      <w:bookmarkStart w:id="419" w:name="_Toc462165688"/>
      <w:bookmarkEnd w:id="419"/>
      <w:bookmarkStart w:id="420" w:name="_Toc409440057"/>
      <w:r>
        <w:rPr>
          <w:rFonts w:hint="eastAsia" w:ascii="宋体" w:hAnsi="宋体" w:cs="Times New Roman"/>
          <w:color w:val="auto"/>
          <w:sz w:val="21"/>
          <w:szCs w:val="21"/>
          <w:highlight w:val="none"/>
        </w:rPr>
        <w:t>需要补充的其他内容:见投标人须知前附表。</w:t>
      </w:r>
    </w:p>
    <w:bookmarkEnd w:id="420"/>
    <w:p w14:paraId="4FC72BF9">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15AE344A">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1A01C430">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20D3A407">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652D8CB2">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29024EA1">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297E7B9F">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3428EA10">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7A398076">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4B7AF1F9">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38AECCCC">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7AD403A5">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203089CB">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4BC3BA9D">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029AC4CB">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0EF16AA4">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7F88D1BE">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73D920E4">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03DFFF38">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0B3FB188">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5E94D01D">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2A3EF500">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600C3A78">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037107E0">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7E9FF058">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21FA74E2">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6DEB0B70">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2CDF0D86">
      <w:pPr>
        <w:pStyle w:val="36"/>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eastAsia="宋体"/>
          <w:b/>
          <w:color w:val="auto"/>
          <w:sz w:val="28"/>
          <w:szCs w:val="28"/>
          <w:highlight w:val="none"/>
        </w:rPr>
      </w:pPr>
    </w:p>
    <w:p w14:paraId="143D123C">
      <w:pPr>
        <w:pStyle w:val="36"/>
        <w:ind w:left="0" w:leftChars="0" w:firstLine="0" w:firstLineChars="0"/>
        <w:outlineLvl w:val="0"/>
        <w:rPr>
          <w:rFonts w:ascii="宋体" w:hAnsi="宋体" w:eastAsia="宋体"/>
          <w:b/>
          <w:color w:val="auto"/>
          <w:sz w:val="36"/>
          <w:szCs w:val="36"/>
          <w:highlight w:val="none"/>
        </w:rPr>
      </w:pPr>
      <w:bookmarkStart w:id="421" w:name="_Toc24889"/>
      <w:r>
        <w:rPr>
          <w:rFonts w:hint="eastAsia" w:ascii="宋体" w:hAnsi="宋体" w:eastAsia="宋体"/>
          <w:b/>
          <w:color w:val="auto"/>
          <w:sz w:val="28"/>
          <w:szCs w:val="28"/>
          <w:highlight w:val="none"/>
        </w:rPr>
        <w:t>附件</w:t>
      </w:r>
      <w:r>
        <w:rPr>
          <w:rFonts w:hint="eastAsia" w:ascii="宋体" w:hAnsi="宋体" w:eastAsia="宋体"/>
          <w:b/>
          <w:color w:val="auto"/>
          <w:sz w:val="28"/>
          <w:szCs w:val="28"/>
          <w:highlight w:val="none"/>
          <w:lang w:eastAsia="zh-CN"/>
        </w:rPr>
        <w:t>一</w:t>
      </w:r>
      <w:r>
        <w:rPr>
          <w:rFonts w:hint="eastAsia" w:ascii="宋体" w:hAnsi="宋体" w:eastAsia="宋体"/>
          <w:b/>
          <w:color w:val="auto"/>
          <w:sz w:val="28"/>
          <w:szCs w:val="28"/>
          <w:highlight w:val="none"/>
        </w:rPr>
        <w:t xml:space="preserve"> 问题澄清通知</w:t>
      </w:r>
      <w:bookmarkEnd w:id="421"/>
    </w:p>
    <w:p w14:paraId="0193860A">
      <w:pPr>
        <w:spacing w:line="440" w:lineRule="exact"/>
        <w:jc w:val="center"/>
        <w:rPr>
          <w:rFonts w:ascii="宋体" w:hAnsi="宋体"/>
          <w:color w:val="auto"/>
          <w:highlight w:val="none"/>
        </w:rPr>
      </w:pPr>
      <w:r>
        <w:rPr>
          <w:rFonts w:hint="eastAsia" w:ascii="宋体" w:hAnsi="宋体"/>
          <w:color w:val="auto"/>
          <w:highlight w:val="none"/>
        </w:rPr>
        <w:t xml:space="preserve"> </w:t>
      </w:r>
    </w:p>
    <w:p w14:paraId="204D7E45">
      <w:pPr>
        <w:spacing w:line="440" w:lineRule="exact"/>
        <w:jc w:val="center"/>
        <w:rPr>
          <w:rFonts w:ascii="宋体" w:hAnsi="宋体"/>
          <w:b/>
          <w:color w:val="auto"/>
          <w:sz w:val="32"/>
          <w:szCs w:val="32"/>
          <w:highlight w:val="none"/>
        </w:rPr>
      </w:pPr>
      <w:r>
        <w:rPr>
          <w:rFonts w:hint="eastAsia" w:ascii="宋体" w:hAnsi="宋体"/>
          <w:b/>
          <w:color w:val="auto"/>
          <w:sz w:val="28"/>
          <w:szCs w:val="28"/>
          <w:highlight w:val="none"/>
        </w:rPr>
        <w:t>问题澄清通知</w:t>
      </w:r>
    </w:p>
    <w:p w14:paraId="262A445C">
      <w:pPr>
        <w:spacing w:line="440" w:lineRule="exact"/>
        <w:jc w:val="center"/>
        <w:rPr>
          <w:rFonts w:ascii="宋体" w:hAnsi="宋体"/>
          <w:color w:val="auto"/>
          <w:sz w:val="21"/>
          <w:szCs w:val="21"/>
          <w:highlight w:val="none"/>
        </w:rPr>
      </w:pPr>
      <w:r>
        <w:rPr>
          <w:rFonts w:hint="eastAsia" w:ascii="宋体" w:hAnsi="宋体"/>
          <w:color w:val="auto"/>
          <w:sz w:val="21"/>
          <w:szCs w:val="21"/>
          <w:highlight w:val="none"/>
        </w:rPr>
        <w:t>（编号：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53A2B995">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5481522B">
      <w:pPr>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（投标人名称）：</w:t>
      </w:r>
    </w:p>
    <w:p w14:paraId="4797BA2D">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51A8150C">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（项目名称）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标段施工招标的评标委员会，对你方的投标文件进行了仔细的审查，现需你方对下列问题以书面形式予以澄清或说明：</w:t>
      </w:r>
    </w:p>
    <w:p w14:paraId="716C400A">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1A3A4BFE">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w:t>
      </w:r>
    </w:p>
    <w:p w14:paraId="524109C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w:t>
      </w:r>
    </w:p>
    <w:p w14:paraId="52E1129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735A2935">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3970C5F3">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请将上述问题的澄清或说明于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时</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分前递交至</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（详细地址）或传真至</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（传真号码）。采用传真方式的，应在</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时</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分前将原件递交至</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（详细地址）。</w:t>
      </w:r>
    </w:p>
    <w:p w14:paraId="71F6F9D6">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45711194">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25827A52">
      <w:pPr>
        <w:spacing w:line="360" w:lineRule="auto"/>
        <w:ind w:firstLine="210" w:firstLineChars="100"/>
        <w:jc w:val="right"/>
        <w:rPr>
          <w:rFonts w:ascii="宋体" w:hAnsi="宋体"/>
          <w:color w:val="auto"/>
          <w:sz w:val="21"/>
          <w:szCs w:val="21"/>
          <w:highlight w:val="none"/>
        </w:rPr>
      </w:pPr>
      <w:r>
        <w:rPr>
          <w:rFonts w:hint="eastAsia" w:ascii="宋体" w:hAnsi="宋体"/>
          <w:color w:val="auto"/>
          <w:sz w:val="21"/>
          <w:szCs w:val="21"/>
          <w:highlight w:val="none"/>
        </w:rPr>
        <w:t>评标委员会授权的招标人或招标代理机构：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（签字或盖单位章）</w:t>
      </w:r>
    </w:p>
    <w:p w14:paraId="22EA091F">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14D0514F">
      <w:pPr>
        <w:spacing w:line="360" w:lineRule="auto"/>
        <w:ind w:firstLine="3885" w:firstLineChars="1850"/>
        <w:rPr>
          <w:rFonts w:ascii="宋体" w:hAnsi="宋体"/>
          <w:color w:val="auto"/>
          <w:sz w:val="24"/>
          <w:szCs w:val="24"/>
          <w:highlight w:val="non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w:t>
      </w:r>
    </w:p>
    <w:p w14:paraId="60F22F81">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422" w:name="_Toc144974550"/>
      <w:bookmarkEnd w:id="422"/>
      <w:bookmarkStart w:id="423" w:name="_Toc152045583"/>
      <w:bookmarkEnd w:id="423"/>
      <w:bookmarkStart w:id="424" w:name="_Toc11455"/>
      <w:bookmarkEnd w:id="424"/>
      <w:bookmarkStart w:id="425" w:name="_Toc16778795"/>
      <w:bookmarkEnd w:id="425"/>
      <w:bookmarkStart w:id="426" w:name="_Toc179632601"/>
      <w:bookmarkEnd w:id="426"/>
      <w:bookmarkStart w:id="427" w:name="_Toc3907"/>
    </w:p>
    <w:p w14:paraId="30364371">
      <w:pPr>
        <w:rPr>
          <w:rFonts w:hint="eastAsia" w:ascii="宋体" w:hAnsi="宋体"/>
          <w:color w:val="auto"/>
          <w:sz w:val="24"/>
          <w:szCs w:val="24"/>
          <w:highlight w:val="none"/>
        </w:rPr>
      </w:pPr>
      <w:r>
        <w:rPr>
          <w:rFonts w:hint="eastAsia" w:ascii="宋体" w:hAnsi="宋体"/>
          <w:color w:val="auto"/>
          <w:sz w:val="24"/>
          <w:szCs w:val="24"/>
          <w:highlight w:val="none"/>
        </w:rPr>
        <w:br w:type="page"/>
      </w:r>
    </w:p>
    <w:p w14:paraId="58CB9786">
      <w:pPr>
        <w:spacing w:line="400" w:lineRule="exact"/>
        <w:outlineLvl w:val="0"/>
        <w:rPr>
          <w:rFonts w:ascii="宋体" w:hAnsi="宋体" w:eastAsia="宋体"/>
          <w:b/>
          <w:color w:val="auto"/>
          <w:sz w:val="21"/>
          <w:szCs w:val="21"/>
          <w:highlight w:val="none"/>
        </w:rPr>
      </w:pPr>
      <w:bookmarkStart w:id="428" w:name="_Toc2498"/>
      <w:r>
        <w:rPr>
          <w:rFonts w:hint="eastAsia" w:ascii="宋体" w:hAnsi="宋体" w:eastAsia="宋体"/>
          <w:b/>
          <w:color w:val="auto"/>
          <w:sz w:val="28"/>
          <w:szCs w:val="28"/>
          <w:highlight w:val="none"/>
        </w:rPr>
        <w:t>附件</w:t>
      </w:r>
      <w:bookmarkEnd w:id="427"/>
      <w:r>
        <w:rPr>
          <w:rFonts w:hint="eastAsia" w:ascii="宋体" w:hAnsi="宋体" w:eastAsia="宋体"/>
          <w:b/>
          <w:color w:val="auto"/>
          <w:sz w:val="28"/>
          <w:szCs w:val="28"/>
          <w:highlight w:val="none"/>
          <w:lang w:eastAsia="zh-CN"/>
        </w:rPr>
        <w:t>二</w:t>
      </w:r>
      <w:r>
        <w:rPr>
          <w:rFonts w:hint="eastAsia" w:ascii="宋体" w:hAnsi="宋体" w:eastAsia="宋体"/>
          <w:b/>
          <w:color w:val="auto"/>
          <w:sz w:val="28"/>
          <w:szCs w:val="28"/>
          <w:highlight w:val="none"/>
        </w:rPr>
        <w:t xml:space="preserve">  问题的澄清</w:t>
      </w:r>
      <w:bookmarkEnd w:id="428"/>
    </w:p>
    <w:p w14:paraId="24E7C250">
      <w:pPr>
        <w:spacing w:line="400" w:lineRule="exact"/>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03CBE706">
      <w:pPr>
        <w:spacing w:line="400" w:lineRule="exact"/>
        <w:jc w:val="center"/>
        <w:rPr>
          <w:rFonts w:ascii="宋体" w:hAnsi="宋体"/>
          <w:b/>
          <w:color w:val="auto"/>
          <w:sz w:val="32"/>
          <w:szCs w:val="32"/>
          <w:highlight w:val="none"/>
        </w:rPr>
      </w:pPr>
      <w:r>
        <w:rPr>
          <w:rFonts w:hint="eastAsia" w:ascii="宋体" w:hAnsi="宋体"/>
          <w:b/>
          <w:color w:val="auto"/>
          <w:sz w:val="28"/>
          <w:szCs w:val="28"/>
          <w:highlight w:val="none"/>
        </w:rPr>
        <w:t>问题的澄清</w:t>
      </w:r>
    </w:p>
    <w:p w14:paraId="64A1C45F">
      <w:pPr>
        <w:spacing w:line="440" w:lineRule="exact"/>
        <w:jc w:val="center"/>
        <w:rPr>
          <w:rFonts w:ascii="宋体" w:hAnsi="宋体"/>
          <w:color w:val="auto"/>
          <w:sz w:val="21"/>
          <w:szCs w:val="21"/>
          <w:highlight w:val="none"/>
        </w:rPr>
      </w:pPr>
      <w:r>
        <w:rPr>
          <w:rFonts w:hint="eastAsia" w:ascii="宋体" w:hAnsi="宋体"/>
          <w:color w:val="auto"/>
          <w:sz w:val="21"/>
          <w:szCs w:val="21"/>
          <w:highlight w:val="none"/>
        </w:rPr>
        <w:t>（编号：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EA4C084">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w:t>
      </w:r>
    </w:p>
    <w:p w14:paraId="57F3C38C">
      <w:pPr>
        <w:spacing w:line="44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项目名称）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标段施工招标评标委员会：</w:t>
      </w:r>
    </w:p>
    <w:p w14:paraId="46F8E7BF">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4E6F1950">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问题澄清通知（编号：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）已收悉，现澄清、说明如下：</w:t>
      </w:r>
    </w:p>
    <w:p w14:paraId="24C408C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w:t>
      </w:r>
    </w:p>
    <w:p w14:paraId="24F84131">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w:t>
      </w:r>
    </w:p>
    <w:p w14:paraId="7AB4BD59">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71C31FFF">
      <w:pPr>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w:t>
      </w:r>
    </w:p>
    <w:p w14:paraId="39F61A2E">
      <w:pP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p>
    <w:p w14:paraId="774BD57C">
      <w:pPr>
        <w:spacing w:line="440" w:lineRule="exact"/>
        <w:ind w:firstLine="315" w:firstLineChars="150"/>
        <w:rPr>
          <w:rFonts w:ascii="宋体" w:hAnsi="宋体"/>
          <w:color w:val="auto"/>
          <w:sz w:val="21"/>
          <w:szCs w:val="21"/>
          <w:highlight w:val="none"/>
        </w:rPr>
      </w:pPr>
      <w:r>
        <w:rPr>
          <w:rFonts w:hint="eastAsia" w:ascii="宋体" w:hAnsi="宋体"/>
          <w:color w:val="auto"/>
          <w:sz w:val="21"/>
          <w:szCs w:val="21"/>
          <w:highlight w:val="none"/>
        </w:rPr>
        <w:t>上述问题澄清或说明，不改变我方投标文件的实质性内容，构成我方投标文件的组成部分。</w:t>
      </w:r>
    </w:p>
    <w:p w14:paraId="42EA2258">
      <w:pPr>
        <w:spacing w:line="440" w:lineRule="exact"/>
        <w:ind w:firstLine="3255" w:firstLineChars="1550"/>
        <w:rPr>
          <w:rFonts w:ascii="宋体" w:hAnsi="宋体"/>
          <w:color w:val="auto"/>
          <w:sz w:val="21"/>
          <w:szCs w:val="21"/>
          <w:highlight w:val="none"/>
        </w:rPr>
      </w:pPr>
      <w:r>
        <w:rPr>
          <w:rFonts w:hint="eastAsia" w:ascii="宋体" w:hAnsi="宋体"/>
          <w:color w:val="auto"/>
          <w:sz w:val="21"/>
          <w:szCs w:val="21"/>
          <w:highlight w:val="none"/>
        </w:rPr>
        <w:t xml:space="preserve"> </w:t>
      </w:r>
    </w:p>
    <w:p w14:paraId="30DC92BD">
      <w:pPr>
        <w:spacing w:line="440" w:lineRule="exact"/>
        <w:ind w:firstLine="3255" w:firstLineChars="155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（盖单位章）</w:t>
      </w:r>
    </w:p>
    <w:p w14:paraId="44DEFCA2">
      <w:pP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p>
    <w:p w14:paraId="15821151">
      <w:pPr>
        <w:spacing w:line="440" w:lineRule="exact"/>
        <w:ind w:firstLine="3255" w:firstLineChars="1550"/>
        <w:rPr>
          <w:rFonts w:ascii="宋体" w:hAnsi="宋体"/>
          <w:color w:val="auto"/>
          <w:sz w:val="21"/>
          <w:szCs w:val="21"/>
          <w:highlight w:val="none"/>
        </w:rPr>
      </w:pPr>
      <w:r>
        <w:rPr>
          <w:rFonts w:hint="eastAsia" w:ascii="宋体" w:hAnsi="宋体"/>
          <w:color w:val="auto"/>
          <w:sz w:val="21"/>
          <w:szCs w:val="21"/>
          <w:highlight w:val="none"/>
        </w:rPr>
        <w:t>法定代表人或其委托代理人：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（签字）</w:t>
      </w:r>
    </w:p>
    <w:p w14:paraId="3D7F666C">
      <w:pP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p>
    <w:p w14:paraId="4840C96F">
      <w:pPr>
        <w:spacing w:line="400" w:lineRule="exact"/>
        <w:jc w:val="right"/>
        <w:rPr>
          <w:rFonts w:ascii="宋体" w:hAnsi="宋体"/>
          <w:color w:val="auto"/>
          <w:sz w:val="24"/>
          <w:szCs w:val="24"/>
          <w:highlight w:val="non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w:t>
      </w:r>
    </w:p>
    <w:p w14:paraId="19834614">
      <w:pPr>
        <w:spacing w:line="400" w:lineRule="exact"/>
        <w:rPr>
          <w:rFonts w:ascii="宋体" w:hAnsi="宋体"/>
          <w:color w:val="auto"/>
          <w:highlight w:val="none"/>
        </w:rPr>
      </w:pPr>
      <w:r>
        <w:rPr>
          <w:rFonts w:hint="eastAsia" w:ascii="宋体" w:hAnsi="宋体"/>
          <w:color w:val="auto"/>
          <w:highlight w:val="none"/>
        </w:rPr>
        <w:t xml:space="preserve"> </w:t>
      </w:r>
    </w:p>
    <w:p w14:paraId="08C59413">
      <w:pPr>
        <w:adjustRightInd w:val="0"/>
        <w:snapToGrid w:val="0"/>
        <w:spacing w:line="360" w:lineRule="auto"/>
        <w:ind w:firstLine="420" w:firstLineChars="200"/>
        <w:jc w:val="center"/>
        <w:rPr>
          <w:rFonts w:hint="eastAsia" w:ascii="宋体" w:hAnsi="宋体"/>
          <w:color w:val="auto"/>
          <w:highlight w:val="none"/>
        </w:rPr>
      </w:pPr>
      <w:bookmarkStart w:id="429" w:name="_Toc179632602"/>
      <w:bookmarkEnd w:id="429"/>
      <w:bookmarkStart w:id="430" w:name="_Toc152042361"/>
      <w:bookmarkEnd w:id="430"/>
      <w:bookmarkStart w:id="431" w:name="_Toc152045584"/>
      <w:bookmarkEnd w:id="431"/>
      <w:bookmarkStart w:id="432" w:name="_Toc144974551"/>
    </w:p>
    <w:p w14:paraId="33F11C92">
      <w:pPr>
        <w:adjustRightInd w:val="0"/>
        <w:snapToGrid w:val="0"/>
        <w:spacing w:line="360" w:lineRule="auto"/>
        <w:ind w:firstLine="420" w:firstLineChars="200"/>
        <w:jc w:val="center"/>
        <w:rPr>
          <w:rFonts w:hint="eastAsia" w:ascii="宋体" w:hAnsi="宋体"/>
          <w:color w:val="auto"/>
          <w:highlight w:val="none"/>
        </w:rPr>
      </w:pPr>
    </w:p>
    <w:p w14:paraId="7CDF867F">
      <w:pPr>
        <w:adjustRightInd w:val="0"/>
        <w:snapToGrid w:val="0"/>
        <w:spacing w:line="360" w:lineRule="auto"/>
        <w:ind w:firstLine="420" w:firstLineChars="200"/>
        <w:jc w:val="center"/>
        <w:rPr>
          <w:rFonts w:hint="eastAsia" w:ascii="宋体" w:hAnsi="宋体"/>
          <w:color w:val="auto"/>
          <w:highlight w:val="none"/>
        </w:rPr>
      </w:pPr>
    </w:p>
    <w:p w14:paraId="06D94D6F">
      <w:pPr>
        <w:adjustRightInd w:val="0"/>
        <w:snapToGrid w:val="0"/>
        <w:spacing w:line="360" w:lineRule="auto"/>
        <w:ind w:firstLine="420" w:firstLineChars="200"/>
        <w:jc w:val="center"/>
        <w:rPr>
          <w:rFonts w:hint="eastAsia" w:ascii="宋体" w:hAnsi="宋体"/>
          <w:color w:val="auto"/>
          <w:highlight w:val="none"/>
        </w:rPr>
      </w:pPr>
    </w:p>
    <w:p w14:paraId="3B9631DA">
      <w:pPr>
        <w:adjustRightInd w:val="0"/>
        <w:snapToGrid w:val="0"/>
        <w:spacing w:line="360" w:lineRule="auto"/>
        <w:ind w:firstLine="420" w:firstLineChars="200"/>
        <w:jc w:val="center"/>
        <w:rPr>
          <w:rFonts w:hint="eastAsia" w:ascii="宋体" w:hAnsi="宋体"/>
          <w:color w:val="auto"/>
          <w:highlight w:val="none"/>
        </w:rPr>
      </w:pPr>
    </w:p>
    <w:p w14:paraId="662BDA90">
      <w:pPr>
        <w:adjustRightInd w:val="0"/>
        <w:snapToGrid w:val="0"/>
        <w:spacing w:line="360" w:lineRule="auto"/>
        <w:ind w:firstLine="420" w:firstLineChars="200"/>
        <w:jc w:val="center"/>
        <w:rPr>
          <w:rFonts w:hint="eastAsia" w:ascii="宋体" w:hAnsi="宋体"/>
          <w:color w:val="auto"/>
          <w:highlight w:val="none"/>
        </w:rPr>
      </w:pPr>
    </w:p>
    <w:p w14:paraId="305CCFD7">
      <w:pPr>
        <w:adjustRightInd w:val="0"/>
        <w:snapToGrid w:val="0"/>
        <w:spacing w:line="360" w:lineRule="auto"/>
        <w:ind w:firstLine="420" w:firstLineChars="200"/>
        <w:jc w:val="center"/>
        <w:rPr>
          <w:rFonts w:hint="eastAsia" w:ascii="宋体" w:hAnsi="宋体"/>
          <w:color w:val="auto"/>
          <w:highlight w:val="none"/>
        </w:rPr>
      </w:pPr>
    </w:p>
    <w:p w14:paraId="5799FA3D">
      <w:pPr>
        <w:adjustRightInd w:val="0"/>
        <w:snapToGrid w:val="0"/>
        <w:spacing w:line="360" w:lineRule="auto"/>
        <w:ind w:firstLine="420" w:firstLineChars="200"/>
        <w:jc w:val="center"/>
        <w:rPr>
          <w:rFonts w:hint="eastAsia" w:ascii="宋体" w:hAnsi="宋体"/>
          <w:color w:val="auto"/>
          <w:highlight w:val="none"/>
        </w:rPr>
      </w:pPr>
    </w:p>
    <w:p w14:paraId="4A2C74D3">
      <w:pPr>
        <w:adjustRightInd w:val="0"/>
        <w:snapToGrid w:val="0"/>
        <w:spacing w:line="360" w:lineRule="auto"/>
        <w:ind w:firstLine="420" w:firstLineChars="200"/>
        <w:jc w:val="center"/>
        <w:rPr>
          <w:rFonts w:hint="eastAsia" w:ascii="宋体" w:hAnsi="宋体"/>
          <w:color w:val="auto"/>
          <w:highlight w:val="none"/>
        </w:rPr>
      </w:pPr>
    </w:p>
    <w:p w14:paraId="509E6238">
      <w:pPr>
        <w:adjustRightInd w:val="0"/>
        <w:snapToGrid w:val="0"/>
        <w:spacing w:line="360" w:lineRule="auto"/>
        <w:ind w:firstLine="420" w:firstLineChars="200"/>
        <w:jc w:val="center"/>
        <w:rPr>
          <w:rFonts w:hint="eastAsia" w:ascii="宋体" w:hAnsi="宋体"/>
          <w:color w:val="auto"/>
          <w:highlight w:val="none"/>
        </w:rPr>
      </w:pPr>
    </w:p>
    <w:p w14:paraId="003AEF00">
      <w:pPr>
        <w:adjustRightInd w:val="0"/>
        <w:snapToGrid w:val="0"/>
        <w:spacing w:line="360" w:lineRule="auto"/>
        <w:ind w:firstLine="420" w:firstLineChars="200"/>
        <w:jc w:val="center"/>
        <w:rPr>
          <w:rFonts w:hint="eastAsia" w:ascii="宋体" w:hAnsi="宋体"/>
          <w:color w:val="auto"/>
          <w:highlight w:val="none"/>
        </w:rPr>
      </w:pPr>
    </w:p>
    <w:p w14:paraId="7079ED40">
      <w:pPr>
        <w:adjustRightInd w:val="0"/>
        <w:snapToGrid w:val="0"/>
        <w:spacing w:line="360" w:lineRule="auto"/>
        <w:ind w:firstLine="420" w:firstLineChars="200"/>
        <w:jc w:val="center"/>
        <w:rPr>
          <w:rFonts w:hint="eastAsia" w:ascii="宋体" w:hAnsi="宋体"/>
          <w:color w:val="auto"/>
          <w:highlight w:val="none"/>
        </w:rPr>
      </w:pPr>
    </w:p>
    <w:p w14:paraId="63EB03C0">
      <w:pPr>
        <w:outlineLvl w:val="0"/>
        <w:rPr>
          <w:rFonts w:hint="eastAsia" w:ascii="宋体" w:hAnsi="宋体" w:cs="宋体"/>
          <w:b/>
          <w:bCs/>
          <w:color w:val="auto"/>
          <w:sz w:val="28"/>
          <w:szCs w:val="28"/>
          <w:highlight w:val="none"/>
        </w:rPr>
      </w:pPr>
      <w:bookmarkStart w:id="433" w:name="_Toc82772063"/>
      <w:bookmarkStart w:id="434" w:name="_Toc16778796"/>
      <w:bookmarkStart w:id="435" w:name="_Toc25915"/>
      <w:r>
        <w:rPr>
          <w:rFonts w:hint="eastAsia" w:ascii="宋体" w:hAnsi="宋体" w:cs="宋体"/>
          <w:b/>
          <w:bCs/>
          <w:color w:val="auto"/>
          <w:sz w:val="28"/>
          <w:szCs w:val="28"/>
          <w:highlight w:val="none"/>
        </w:rPr>
        <w:t>附件三  中标通知书</w:t>
      </w:r>
      <w:bookmarkEnd w:id="433"/>
      <w:bookmarkEnd w:id="434"/>
      <w:bookmarkEnd w:id="435"/>
    </w:p>
    <w:p w14:paraId="7D7EECB9">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中标通知书</w:t>
      </w:r>
    </w:p>
    <w:p w14:paraId="7DED8D5F">
      <w:pPr>
        <w:spacing w:line="440" w:lineRule="exact"/>
        <w:rPr>
          <w:rFonts w:hint="eastAsia" w:ascii="宋体" w:hAnsi="宋体" w:cs="宋体"/>
          <w:color w:val="auto"/>
          <w:szCs w:val="21"/>
          <w:highlight w:val="none"/>
        </w:rPr>
      </w:pPr>
    </w:p>
    <w:p w14:paraId="23DF4050">
      <w:pPr>
        <w:spacing w:line="44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（中标人名称）：</w:t>
      </w:r>
    </w:p>
    <w:p w14:paraId="39F6A051">
      <w:pPr>
        <w:spacing w:line="440" w:lineRule="exact"/>
        <w:rPr>
          <w:rFonts w:hint="eastAsia" w:ascii="宋体" w:hAnsi="宋体" w:cs="宋体"/>
          <w:color w:val="auto"/>
          <w:szCs w:val="21"/>
          <w:highlight w:val="none"/>
        </w:rPr>
      </w:pPr>
    </w:p>
    <w:p w14:paraId="325C91F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你方于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（投标日期）所递交的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标段施工投标文件已被我方接受，被确定为中标人。</w:t>
      </w:r>
    </w:p>
    <w:p w14:paraId="6F6A38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中标价：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439025F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日历天。</w:t>
      </w:r>
    </w:p>
    <w:p w14:paraId="4378B62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工程质量：符合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标准。</w:t>
      </w:r>
    </w:p>
    <w:p w14:paraId="51641D4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工程安全目标：_________________________。</w:t>
      </w:r>
    </w:p>
    <w:p w14:paraId="766E93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项目经理：_____________________（姓名）。</w:t>
      </w:r>
    </w:p>
    <w:p w14:paraId="7B1C081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项目总工：_____________________（姓名）。</w:t>
      </w:r>
    </w:p>
    <w:p w14:paraId="39A0FEE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请你方在接到本通知书后的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日内到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（指定地点）与我方签订施工承包合同，在此之前按招标文件第二章“投标人须知”第7.7款规定向我方提交履约保证金。</w:t>
      </w:r>
    </w:p>
    <w:p w14:paraId="0DE6BD8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特此通知。</w:t>
      </w:r>
    </w:p>
    <w:p w14:paraId="07EEE579">
      <w:pPr>
        <w:spacing w:line="440" w:lineRule="exact"/>
        <w:rPr>
          <w:rFonts w:hint="eastAsia" w:ascii="宋体" w:hAnsi="宋体" w:cs="宋体"/>
          <w:color w:val="auto"/>
          <w:szCs w:val="21"/>
          <w:highlight w:val="none"/>
        </w:rPr>
      </w:pPr>
    </w:p>
    <w:p w14:paraId="50BDB9E4">
      <w:pPr>
        <w:spacing w:line="440" w:lineRule="exact"/>
        <w:rPr>
          <w:rFonts w:hint="eastAsia" w:ascii="宋体" w:hAnsi="宋体" w:cs="宋体"/>
          <w:color w:val="auto"/>
          <w:szCs w:val="21"/>
          <w:highlight w:val="none"/>
        </w:rPr>
      </w:pPr>
    </w:p>
    <w:p w14:paraId="6C368264">
      <w:pPr>
        <w:spacing w:line="360" w:lineRule="auto"/>
        <w:rPr>
          <w:rFonts w:hint="eastAsia" w:ascii="宋体" w:hAnsi="宋体" w:cs="宋体"/>
          <w:color w:val="auto"/>
          <w:szCs w:val="21"/>
          <w:highlight w:val="none"/>
        </w:rPr>
      </w:pPr>
    </w:p>
    <w:p w14:paraId="5D9877EF">
      <w:pPr>
        <w:spacing w:line="360" w:lineRule="auto"/>
        <w:ind w:firstLine="3238" w:firstLineChars="1542"/>
        <w:rPr>
          <w:rFonts w:hint="eastAsia" w:ascii="宋体" w:hAnsi="宋体" w:cs="宋体"/>
          <w:color w:val="auto"/>
          <w:szCs w:val="21"/>
          <w:highlight w:val="none"/>
        </w:rPr>
      </w:pPr>
      <w:r>
        <w:rPr>
          <w:rFonts w:hint="eastAsia" w:ascii="宋体" w:hAnsi="宋体" w:cs="宋体"/>
          <w:color w:val="auto"/>
          <w:szCs w:val="21"/>
          <w:highlight w:val="none"/>
        </w:rPr>
        <w:t>招标人：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（盖单位章）</w:t>
      </w:r>
    </w:p>
    <w:p w14:paraId="2946513B">
      <w:pPr>
        <w:spacing w:line="360" w:lineRule="auto"/>
        <w:rPr>
          <w:rFonts w:hint="eastAsia" w:ascii="宋体" w:hAnsi="宋体" w:cs="宋体"/>
          <w:color w:val="auto"/>
          <w:szCs w:val="21"/>
          <w:highlight w:val="none"/>
        </w:rPr>
      </w:pPr>
    </w:p>
    <w:p w14:paraId="45F9F395">
      <w:pPr>
        <w:spacing w:line="360" w:lineRule="auto"/>
        <w:ind w:firstLine="3238" w:firstLineChars="1542"/>
        <w:rPr>
          <w:rFonts w:hint="eastAsia" w:ascii="宋体" w:hAnsi="宋体" w:cs="宋体"/>
          <w:color w:val="auto"/>
          <w:szCs w:val="21"/>
          <w:highlight w:val="none"/>
        </w:rPr>
      </w:pPr>
      <w:r>
        <w:rPr>
          <w:rFonts w:hint="eastAsia" w:ascii="宋体" w:hAnsi="宋体" w:cs="宋体"/>
          <w:color w:val="auto"/>
          <w:szCs w:val="21"/>
          <w:highlight w:val="none"/>
        </w:rPr>
        <w:t>招标代理机构：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（盖单位章）</w:t>
      </w:r>
    </w:p>
    <w:p w14:paraId="20F55D6F">
      <w:pPr>
        <w:spacing w:line="360" w:lineRule="auto"/>
        <w:rPr>
          <w:rFonts w:hint="eastAsia" w:ascii="宋体" w:hAnsi="宋体" w:cs="宋体"/>
          <w:color w:val="auto"/>
          <w:szCs w:val="21"/>
          <w:highlight w:val="none"/>
        </w:rPr>
      </w:pPr>
    </w:p>
    <w:p w14:paraId="670119B6">
      <w:pPr>
        <w:adjustRightInd w:val="0"/>
        <w:snapToGrid w:val="0"/>
        <w:spacing w:line="360" w:lineRule="auto"/>
        <w:ind w:firstLine="420" w:firstLineChars="200"/>
        <w:jc w:val="righ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20B29B68">
      <w:pPr>
        <w:adjustRightInd w:val="0"/>
        <w:snapToGrid w:val="0"/>
        <w:spacing w:line="360" w:lineRule="auto"/>
        <w:ind w:firstLine="420" w:firstLineChars="200"/>
        <w:jc w:val="right"/>
        <w:rPr>
          <w:rFonts w:hint="eastAsia" w:ascii="宋体" w:hAnsi="宋体" w:cs="宋体"/>
          <w:color w:val="auto"/>
          <w:szCs w:val="21"/>
          <w:highlight w:val="none"/>
        </w:rPr>
      </w:pPr>
    </w:p>
    <w:p w14:paraId="448B4C75">
      <w:pPr>
        <w:adjustRightInd w:val="0"/>
        <w:snapToGrid w:val="0"/>
        <w:spacing w:line="360" w:lineRule="auto"/>
        <w:ind w:firstLine="420" w:firstLineChars="200"/>
        <w:jc w:val="right"/>
        <w:rPr>
          <w:rFonts w:hint="eastAsia" w:ascii="宋体" w:hAnsi="宋体" w:cs="宋体"/>
          <w:color w:val="auto"/>
          <w:szCs w:val="21"/>
          <w:highlight w:val="none"/>
        </w:rPr>
      </w:pPr>
    </w:p>
    <w:p w14:paraId="38B79252">
      <w:pPr>
        <w:adjustRightInd w:val="0"/>
        <w:snapToGrid w:val="0"/>
        <w:spacing w:line="360" w:lineRule="auto"/>
        <w:ind w:firstLine="420" w:firstLineChars="200"/>
        <w:jc w:val="right"/>
        <w:rPr>
          <w:rFonts w:hint="eastAsia" w:ascii="宋体" w:hAnsi="宋体" w:cs="宋体"/>
          <w:color w:val="auto"/>
          <w:szCs w:val="21"/>
          <w:highlight w:val="none"/>
        </w:rPr>
      </w:pPr>
    </w:p>
    <w:p w14:paraId="7EEA8396">
      <w:pPr>
        <w:adjustRightInd w:val="0"/>
        <w:snapToGrid w:val="0"/>
        <w:spacing w:line="360" w:lineRule="auto"/>
        <w:ind w:firstLine="420" w:firstLineChars="200"/>
        <w:jc w:val="right"/>
        <w:rPr>
          <w:rFonts w:hint="eastAsia" w:ascii="宋体" w:hAnsi="宋体" w:cs="宋体"/>
          <w:color w:val="auto"/>
          <w:szCs w:val="21"/>
          <w:highlight w:val="none"/>
        </w:rPr>
      </w:pPr>
    </w:p>
    <w:p w14:paraId="47665B45">
      <w:pPr>
        <w:adjustRightInd w:val="0"/>
        <w:snapToGrid w:val="0"/>
        <w:spacing w:line="360" w:lineRule="auto"/>
        <w:ind w:firstLine="420" w:firstLineChars="200"/>
        <w:jc w:val="right"/>
        <w:rPr>
          <w:rFonts w:hint="eastAsia" w:ascii="宋体" w:hAnsi="宋体" w:cs="宋体"/>
          <w:color w:val="auto"/>
          <w:szCs w:val="21"/>
          <w:highlight w:val="none"/>
        </w:rPr>
      </w:pPr>
    </w:p>
    <w:p w14:paraId="36F41BCA">
      <w:pPr>
        <w:adjustRightInd w:val="0"/>
        <w:snapToGrid w:val="0"/>
        <w:spacing w:line="360" w:lineRule="auto"/>
        <w:ind w:firstLine="420" w:firstLineChars="200"/>
        <w:jc w:val="right"/>
        <w:rPr>
          <w:rFonts w:hint="eastAsia" w:ascii="宋体" w:hAnsi="宋体" w:cs="宋体"/>
          <w:color w:val="auto"/>
          <w:szCs w:val="21"/>
          <w:highlight w:val="none"/>
        </w:rPr>
      </w:pPr>
    </w:p>
    <w:p w14:paraId="237DE904">
      <w:pPr>
        <w:adjustRightInd w:val="0"/>
        <w:snapToGrid w:val="0"/>
        <w:spacing w:line="360" w:lineRule="auto"/>
        <w:ind w:firstLine="420" w:firstLineChars="200"/>
        <w:jc w:val="right"/>
        <w:rPr>
          <w:rFonts w:hint="eastAsia" w:ascii="宋体" w:hAnsi="宋体" w:cs="宋体"/>
          <w:color w:val="auto"/>
          <w:szCs w:val="21"/>
          <w:highlight w:val="none"/>
        </w:rPr>
      </w:pPr>
    </w:p>
    <w:p w14:paraId="35729F7F">
      <w:pPr>
        <w:adjustRightInd w:val="0"/>
        <w:snapToGrid w:val="0"/>
        <w:spacing w:line="360" w:lineRule="auto"/>
        <w:ind w:firstLine="420" w:firstLineChars="200"/>
        <w:jc w:val="right"/>
        <w:rPr>
          <w:rFonts w:hint="eastAsia" w:ascii="宋体" w:hAnsi="宋体" w:cs="宋体"/>
          <w:color w:val="auto"/>
          <w:szCs w:val="21"/>
          <w:highlight w:val="none"/>
        </w:rPr>
      </w:pPr>
    </w:p>
    <w:p w14:paraId="6859F330">
      <w:pPr>
        <w:adjustRightInd w:val="0"/>
        <w:snapToGrid w:val="0"/>
        <w:spacing w:line="360" w:lineRule="auto"/>
        <w:ind w:firstLine="420" w:firstLineChars="200"/>
        <w:jc w:val="right"/>
        <w:rPr>
          <w:rFonts w:hint="eastAsia" w:ascii="宋体" w:hAnsi="宋体" w:cs="宋体"/>
          <w:color w:val="auto"/>
          <w:szCs w:val="21"/>
          <w:highlight w:val="none"/>
        </w:rPr>
      </w:pPr>
    </w:p>
    <w:p w14:paraId="13D83B34">
      <w:pPr>
        <w:rPr>
          <w:rFonts w:hint="eastAsia" w:ascii="宋体" w:hAnsi="宋体" w:cs="宋体"/>
          <w:b/>
          <w:bCs/>
          <w:color w:val="auto"/>
          <w:highlight w:val="none"/>
        </w:rPr>
      </w:pPr>
      <w:bookmarkStart w:id="436" w:name="_Toc82772064"/>
      <w:bookmarkStart w:id="437" w:name="_Toc16778797"/>
    </w:p>
    <w:p w14:paraId="56DF7040">
      <w:pPr>
        <w:outlineLvl w:val="0"/>
        <w:rPr>
          <w:rFonts w:hint="eastAsia" w:ascii="宋体" w:hAnsi="宋体" w:cs="宋体"/>
          <w:b/>
          <w:bCs/>
          <w:color w:val="auto"/>
          <w:sz w:val="28"/>
          <w:szCs w:val="28"/>
          <w:highlight w:val="none"/>
        </w:rPr>
      </w:pPr>
      <w:bookmarkStart w:id="438" w:name="_Toc3777"/>
      <w:r>
        <w:rPr>
          <w:rFonts w:hint="eastAsia" w:ascii="宋体" w:hAnsi="宋体" w:cs="宋体"/>
          <w:b/>
          <w:bCs/>
          <w:color w:val="auto"/>
          <w:sz w:val="28"/>
          <w:szCs w:val="28"/>
          <w:highlight w:val="none"/>
        </w:rPr>
        <w:t>附件四  中标结果通知书</w:t>
      </w:r>
      <w:bookmarkEnd w:id="436"/>
      <w:bookmarkEnd w:id="437"/>
      <w:bookmarkEnd w:id="438"/>
    </w:p>
    <w:p w14:paraId="21FB8F1D">
      <w:pPr>
        <w:rPr>
          <w:rFonts w:hint="eastAsia" w:ascii="宋体" w:hAnsi="宋体" w:cs="宋体"/>
          <w:b/>
          <w:bCs/>
          <w:color w:val="auto"/>
          <w:highlight w:val="none"/>
        </w:rPr>
      </w:pPr>
    </w:p>
    <w:p w14:paraId="03AAAFE1">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中标结果通知书</w:t>
      </w:r>
    </w:p>
    <w:p w14:paraId="0844A9C2">
      <w:pPr>
        <w:spacing w:line="400" w:lineRule="exact"/>
        <w:rPr>
          <w:rFonts w:hint="eastAsia" w:ascii="宋体" w:hAnsi="宋体" w:cs="宋体"/>
          <w:color w:val="auto"/>
          <w:sz w:val="24"/>
          <w:highlight w:val="none"/>
        </w:rPr>
      </w:pPr>
    </w:p>
    <w:p w14:paraId="5E1D9A9F">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（未中标人名称）：</w:t>
      </w:r>
    </w:p>
    <w:p w14:paraId="628A5777">
      <w:pPr>
        <w:spacing w:line="360" w:lineRule="auto"/>
        <w:rPr>
          <w:rFonts w:hint="eastAsia" w:ascii="宋体" w:hAnsi="宋体" w:cs="宋体"/>
          <w:color w:val="auto"/>
          <w:szCs w:val="21"/>
          <w:highlight w:val="none"/>
        </w:rPr>
      </w:pPr>
    </w:p>
    <w:p w14:paraId="2CE1BA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我方已接受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（中标人名称）于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（投标日期）所递交的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标段施工投标文件，确定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（中标人名称）为中标人。</w:t>
      </w:r>
    </w:p>
    <w:p w14:paraId="3BDB3C03">
      <w:pPr>
        <w:spacing w:line="360" w:lineRule="auto"/>
        <w:rPr>
          <w:rFonts w:hint="eastAsia" w:ascii="宋体" w:hAnsi="宋体" w:cs="宋体"/>
          <w:color w:val="auto"/>
          <w:szCs w:val="21"/>
          <w:highlight w:val="none"/>
        </w:rPr>
      </w:pPr>
    </w:p>
    <w:p w14:paraId="631000E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感谢你单位对招标项目的参与！</w:t>
      </w:r>
    </w:p>
    <w:p w14:paraId="358E1861">
      <w:pPr>
        <w:spacing w:line="440" w:lineRule="exact"/>
        <w:rPr>
          <w:rFonts w:hint="eastAsia" w:ascii="宋体" w:hAnsi="宋体" w:cs="宋体"/>
          <w:color w:val="auto"/>
          <w:szCs w:val="21"/>
          <w:highlight w:val="none"/>
        </w:rPr>
      </w:pPr>
    </w:p>
    <w:p w14:paraId="7F965F53">
      <w:pPr>
        <w:spacing w:line="440" w:lineRule="exact"/>
        <w:rPr>
          <w:rFonts w:hint="eastAsia" w:ascii="宋体" w:hAnsi="宋体" w:cs="宋体"/>
          <w:color w:val="auto"/>
          <w:szCs w:val="21"/>
          <w:highlight w:val="none"/>
        </w:rPr>
      </w:pPr>
    </w:p>
    <w:p w14:paraId="6F6A2B15">
      <w:pPr>
        <w:spacing w:line="440" w:lineRule="exact"/>
        <w:rPr>
          <w:rFonts w:hint="eastAsia" w:ascii="宋体" w:hAnsi="宋体" w:cs="宋体"/>
          <w:color w:val="auto"/>
          <w:szCs w:val="21"/>
          <w:highlight w:val="none"/>
        </w:rPr>
      </w:pPr>
    </w:p>
    <w:p w14:paraId="45FF0C03">
      <w:pPr>
        <w:spacing w:line="440" w:lineRule="exact"/>
        <w:jc w:val="right"/>
        <w:rPr>
          <w:rFonts w:hint="eastAsia" w:ascii="宋体" w:hAnsi="宋体" w:cs="宋体"/>
          <w:color w:val="auto"/>
          <w:szCs w:val="21"/>
          <w:highlight w:val="none"/>
        </w:rPr>
      </w:pPr>
      <w:r>
        <w:rPr>
          <w:rFonts w:hint="eastAsia" w:ascii="宋体" w:hAnsi="宋体" w:cs="宋体"/>
          <w:color w:val="auto"/>
          <w:szCs w:val="21"/>
          <w:highlight w:val="none"/>
        </w:rPr>
        <w:t>招标人：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（盖单位章）</w:t>
      </w:r>
    </w:p>
    <w:p w14:paraId="77E5162F">
      <w:pPr>
        <w:spacing w:line="440" w:lineRule="exact"/>
        <w:jc w:val="right"/>
        <w:rPr>
          <w:rFonts w:hint="eastAsia" w:ascii="宋体" w:hAnsi="宋体" w:cs="宋体"/>
          <w:color w:val="auto"/>
          <w:szCs w:val="21"/>
          <w:highlight w:val="none"/>
        </w:rPr>
      </w:pPr>
    </w:p>
    <w:p w14:paraId="326E45FA">
      <w:pPr>
        <w:spacing w:line="440" w:lineRule="exact"/>
        <w:jc w:val="right"/>
        <w:rPr>
          <w:rFonts w:hint="eastAsia" w:ascii="宋体" w:hAnsi="宋体" w:cs="宋体"/>
          <w:color w:val="auto"/>
          <w:szCs w:val="21"/>
          <w:highlight w:val="none"/>
        </w:rPr>
      </w:pPr>
      <w:r>
        <w:rPr>
          <w:rFonts w:hint="eastAsia" w:ascii="宋体" w:hAnsi="宋体" w:cs="宋体"/>
          <w:color w:val="auto"/>
          <w:szCs w:val="21"/>
          <w:highlight w:val="none"/>
        </w:rPr>
        <w:t>招标代理机构：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盖单位章）</w:t>
      </w:r>
    </w:p>
    <w:p w14:paraId="350CA2F7">
      <w:pPr>
        <w:spacing w:line="440" w:lineRule="exact"/>
        <w:jc w:val="right"/>
        <w:rPr>
          <w:rFonts w:hint="eastAsia" w:ascii="宋体" w:hAnsi="宋体" w:cs="宋体"/>
          <w:color w:val="auto"/>
          <w:szCs w:val="21"/>
          <w:highlight w:val="none"/>
        </w:rPr>
      </w:pPr>
    </w:p>
    <w:p w14:paraId="53DFD93F">
      <w:pPr>
        <w:spacing w:line="440" w:lineRule="exact"/>
        <w:jc w:val="right"/>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67DCC982">
      <w:pPr>
        <w:spacing w:line="400" w:lineRule="exact"/>
        <w:rPr>
          <w:rFonts w:hint="eastAsia" w:ascii="宋体" w:hAnsi="宋体" w:cs="宋体"/>
          <w:color w:val="auto"/>
          <w:szCs w:val="21"/>
          <w:highlight w:val="none"/>
        </w:rPr>
      </w:pPr>
    </w:p>
    <w:p w14:paraId="0CB4B3CC">
      <w:pPr>
        <w:spacing w:line="400" w:lineRule="exact"/>
        <w:rPr>
          <w:rFonts w:hint="eastAsia" w:ascii="宋体" w:hAnsi="宋体" w:cs="宋体"/>
          <w:color w:val="auto"/>
          <w:highlight w:val="none"/>
        </w:rPr>
      </w:pPr>
    </w:p>
    <w:p w14:paraId="31A2AC6D">
      <w:pPr>
        <w:outlineLvl w:val="0"/>
        <w:rPr>
          <w:rFonts w:hint="eastAsia" w:ascii="宋体" w:hAnsi="宋体" w:cs="宋体"/>
          <w:b/>
          <w:bCs/>
          <w:color w:val="auto"/>
          <w:highlight w:val="none"/>
        </w:rPr>
      </w:pPr>
      <w:bookmarkStart w:id="439" w:name="_Toc152042363"/>
      <w:bookmarkStart w:id="440" w:name="_Toc179632604"/>
      <w:bookmarkStart w:id="441" w:name="_Toc152045586"/>
      <w:bookmarkStart w:id="442" w:name="_Toc144974553"/>
      <w:r>
        <w:rPr>
          <w:rFonts w:hint="eastAsia" w:ascii="宋体" w:hAnsi="宋体" w:cs="宋体"/>
          <w:color w:val="auto"/>
          <w:highlight w:val="none"/>
        </w:rPr>
        <w:br w:type="page"/>
      </w:r>
      <w:bookmarkStart w:id="443" w:name="_Toc27854"/>
      <w:bookmarkStart w:id="444" w:name="_Toc82772065"/>
      <w:bookmarkStart w:id="445" w:name="_Toc16778798"/>
      <w:r>
        <w:rPr>
          <w:rFonts w:hint="eastAsia" w:ascii="宋体" w:hAnsi="宋体" w:cs="宋体"/>
          <w:b/>
          <w:bCs/>
          <w:color w:val="auto"/>
          <w:sz w:val="28"/>
          <w:szCs w:val="28"/>
          <w:highlight w:val="none"/>
        </w:rPr>
        <w:t>附件五  确认通知</w:t>
      </w:r>
      <w:bookmarkEnd w:id="439"/>
      <w:bookmarkEnd w:id="440"/>
      <w:bookmarkEnd w:id="441"/>
      <w:bookmarkEnd w:id="442"/>
      <w:bookmarkEnd w:id="443"/>
      <w:bookmarkEnd w:id="444"/>
      <w:bookmarkEnd w:id="445"/>
    </w:p>
    <w:p w14:paraId="46BDC692">
      <w:pPr>
        <w:rPr>
          <w:rFonts w:hint="eastAsia" w:ascii="宋体" w:hAnsi="宋体" w:cs="宋体"/>
          <w:b/>
          <w:bCs/>
          <w:color w:val="auto"/>
          <w:highlight w:val="none"/>
        </w:rPr>
      </w:pPr>
    </w:p>
    <w:p w14:paraId="6A23D37E">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确认通知</w:t>
      </w:r>
    </w:p>
    <w:p w14:paraId="031E4C01">
      <w:pPr>
        <w:spacing w:line="400" w:lineRule="exact"/>
        <w:rPr>
          <w:rFonts w:hint="eastAsia" w:ascii="宋体" w:hAnsi="宋体" w:cs="宋体"/>
          <w:color w:val="auto"/>
          <w:szCs w:val="21"/>
          <w:highlight w:val="none"/>
        </w:rPr>
      </w:pPr>
    </w:p>
    <w:p w14:paraId="5DC5C48E">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538DFC6A">
      <w:pPr>
        <w:spacing w:line="360" w:lineRule="auto"/>
        <w:ind w:firstLine="420" w:firstLineChars="200"/>
        <w:rPr>
          <w:rFonts w:hint="eastAsia" w:ascii="宋体" w:hAnsi="宋体" w:cs="宋体"/>
          <w:color w:val="auto"/>
          <w:szCs w:val="21"/>
          <w:highlight w:val="none"/>
        </w:rPr>
      </w:pPr>
    </w:p>
    <w:p w14:paraId="3E7B5DB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你方于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日发出的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标段施工招标关于招标文件澄清/修改的通知（第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号补遗书，正文共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页），我方已于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日收到。</w:t>
      </w:r>
    </w:p>
    <w:p w14:paraId="2789D9C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特此确认。</w:t>
      </w:r>
    </w:p>
    <w:p w14:paraId="21E18CC0">
      <w:pPr>
        <w:spacing w:line="360" w:lineRule="auto"/>
        <w:ind w:firstLine="420" w:firstLineChars="200"/>
        <w:rPr>
          <w:rFonts w:hint="eastAsia" w:ascii="宋体" w:hAnsi="宋体" w:cs="宋体"/>
          <w:color w:val="auto"/>
          <w:szCs w:val="21"/>
          <w:highlight w:val="none"/>
        </w:rPr>
      </w:pPr>
    </w:p>
    <w:p w14:paraId="6E3B1D6C">
      <w:pPr>
        <w:spacing w:line="360" w:lineRule="auto"/>
        <w:ind w:firstLine="420" w:firstLineChars="200"/>
        <w:rPr>
          <w:rFonts w:hint="eastAsia" w:ascii="宋体" w:hAnsi="宋体" w:cs="宋体"/>
          <w:color w:val="auto"/>
          <w:szCs w:val="21"/>
          <w:highlight w:val="none"/>
        </w:rPr>
      </w:pPr>
    </w:p>
    <w:p w14:paraId="5CB4B0B2">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（盖单位章）</w:t>
      </w:r>
    </w:p>
    <w:p w14:paraId="71DA743D">
      <w:pPr>
        <w:spacing w:line="360" w:lineRule="auto"/>
        <w:ind w:firstLine="420" w:firstLineChars="200"/>
        <w:rPr>
          <w:rFonts w:hint="eastAsia" w:ascii="宋体" w:hAnsi="宋体" w:cs="宋体"/>
          <w:color w:val="auto"/>
          <w:szCs w:val="21"/>
          <w:highlight w:val="none"/>
        </w:rPr>
      </w:pPr>
    </w:p>
    <w:p w14:paraId="0FB60F7C">
      <w:pPr>
        <w:adjustRightInd w:val="0"/>
        <w:snapToGrid w:val="0"/>
        <w:spacing w:line="360" w:lineRule="auto"/>
        <w:ind w:firstLine="420" w:firstLineChars="200"/>
        <w:jc w:val="right"/>
        <w:rPr>
          <w:rFonts w:hint="eastAsia" w:ascii="宋体" w:hAnsi="宋体"/>
          <w:b/>
          <w:color w:val="auto"/>
          <w:kern w:val="44"/>
          <w:sz w:val="32"/>
          <w:szCs w:val="32"/>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olor w:val="auto"/>
          <w:highlight w:val="none"/>
        </w:rPr>
        <w:br w:type="page"/>
      </w:r>
      <w:bookmarkEnd w:id="432"/>
    </w:p>
    <w:p w14:paraId="58B3511F">
      <w:pPr>
        <w:jc w:val="center"/>
        <w:outlineLvl w:val="0"/>
        <w:rPr>
          <w:rFonts w:hint="eastAsia"/>
          <w:color w:val="auto"/>
          <w:highlight w:val="none"/>
        </w:rPr>
      </w:pPr>
      <w:bookmarkStart w:id="446" w:name="_Toc22397"/>
      <w:r>
        <w:rPr>
          <w:rFonts w:hint="eastAsia" w:ascii="宋体" w:hAnsi="宋体"/>
          <w:b/>
          <w:color w:val="auto"/>
          <w:kern w:val="44"/>
          <w:sz w:val="32"/>
          <w:szCs w:val="32"/>
          <w:highlight w:val="none"/>
        </w:rPr>
        <w:t>第三章  评标办法（</w:t>
      </w:r>
      <w:r>
        <w:rPr>
          <w:rFonts w:hint="eastAsia" w:ascii="宋体" w:hAnsi="宋体"/>
          <w:b/>
          <w:color w:val="auto"/>
          <w:kern w:val="44"/>
          <w:sz w:val="32"/>
          <w:szCs w:val="32"/>
          <w:highlight w:val="none"/>
          <w:lang w:eastAsia="zh-CN"/>
        </w:rPr>
        <w:t>综合评分</w:t>
      </w:r>
      <w:r>
        <w:rPr>
          <w:rFonts w:hint="eastAsia" w:ascii="宋体" w:hAnsi="宋体"/>
          <w:b/>
          <w:color w:val="auto"/>
          <w:kern w:val="44"/>
          <w:sz w:val="32"/>
          <w:szCs w:val="32"/>
          <w:highlight w:val="none"/>
        </w:rPr>
        <w:t>法）</w:t>
      </w:r>
      <w:bookmarkEnd w:id="446"/>
    </w:p>
    <w:p w14:paraId="10A1946E">
      <w:pPr>
        <w:jc w:val="center"/>
        <w:rPr>
          <w:rFonts w:hint="eastAsia" w:ascii="宋体" w:hAnsi="宋体" w:cs="宋体"/>
          <w:b/>
          <w:bCs/>
          <w:color w:val="auto"/>
          <w:sz w:val="28"/>
          <w:szCs w:val="28"/>
          <w:highlight w:val="none"/>
        </w:rPr>
      </w:pPr>
      <w:bookmarkStart w:id="447" w:name="_Toc608"/>
      <w:bookmarkEnd w:id="447"/>
      <w:bookmarkStart w:id="448" w:name="_Toc272772605"/>
      <w:bookmarkEnd w:id="448"/>
      <w:bookmarkStart w:id="449" w:name="_Toc341721583"/>
      <w:bookmarkEnd w:id="449"/>
      <w:bookmarkStart w:id="450" w:name="_Toc14911"/>
      <w:bookmarkEnd w:id="450"/>
      <w:bookmarkStart w:id="451" w:name="_Toc16778799"/>
      <w:bookmarkEnd w:id="451"/>
      <w:bookmarkStart w:id="452" w:name="_Toc82772067"/>
    </w:p>
    <w:p w14:paraId="4BAAB154">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评标办法前附表</w:t>
      </w:r>
      <w:bookmarkEnd w:id="452"/>
    </w:p>
    <w:p w14:paraId="234B91C1">
      <w:pPr>
        <w:jc w:val="center"/>
        <w:rPr>
          <w:rFonts w:hint="eastAsia" w:ascii="宋体" w:hAnsi="宋体" w:cs="宋体"/>
          <w:b/>
          <w:bCs/>
          <w:color w:val="auto"/>
          <w:sz w:val="28"/>
          <w:szCs w:val="28"/>
          <w:highlight w:val="none"/>
        </w:rPr>
      </w:pPr>
    </w:p>
    <w:tbl>
      <w:tblPr>
        <w:tblStyle w:val="29"/>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46"/>
        <w:gridCol w:w="1022"/>
        <w:gridCol w:w="772"/>
        <w:gridCol w:w="662"/>
        <w:gridCol w:w="2018"/>
        <w:gridCol w:w="3438"/>
        <w:gridCol w:w="988"/>
      </w:tblGrid>
      <w:tr w14:paraId="45F42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2770" w:type="dxa"/>
            <w:gridSpan w:val="4"/>
            <w:tcBorders>
              <w:top w:val="single" w:color="auto" w:sz="4" w:space="0"/>
              <w:left w:val="single" w:color="auto" w:sz="4" w:space="0"/>
              <w:bottom w:val="single" w:color="auto" w:sz="4" w:space="0"/>
              <w:right w:val="single" w:color="auto" w:sz="4" w:space="0"/>
            </w:tcBorders>
            <w:noWrap w:val="0"/>
            <w:vAlign w:val="center"/>
          </w:tcPr>
          <w:p w14:paraId="15B7FAD5">
            <w:pPr>
              <w:pStyle w:val="34"/>
              <w:spacing w:line="38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7106" w:type="dxa"/>
            <w:gridSpan w:val="4"/>
            <w:tcBorders>
              <w:top w:val="single" w:color="auto" w:sz="4" w:space="0"/>
              <w:left w:val="single" w:color="auto" w:sz="4" w:space="0"/>
              <w:bottom w:val="single" w:color="auto" w:sz="4" w:space="0"/>
              <w:right w:val="single" w:color="auto" w:sz="4" w:space="0"/>
            </w:tcBorders>
            <w:noWrap w:val="0"/>
            <w:vAlign w:val="center"/>
          </w:tcPr>
          <w:p w14:paraId="310E8BB5">
            <w:pPr>
              <w:pStyle w:val="34"/>
              <w:spacing w:line="38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评审因素与评审标准</w:t>
            </w:r>
          </w:p>
        </w:tc>
      </w:tr>
      <w:tr w14:paraId="0AE2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9" w:hRule="exact"/>
          <w:jc w:val="center"/>
        </w:trPr>
        <w:tc>
          <w:tcPr>
            <w:tcW w:w="976" w:type="dxa"/>
            <w:gridSpan w:val="2"/>
            <w:noWrap w:val="0"/>
            <w:vAlign w:val="center"/>
          </w:tcPr>
          <w:p w14:paraId="47653CB0">
            <w:pPr>
              <w:pStyle w:val="34"/>
              <w:spacing w:line="380" w:lineRule="exact"/>
              <w:ind w:left="0" w:leftChars="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794" w:type="dxa"/>
            <w:gridSpan w:val="2"/>
            <w:noWrap w:val="0"/>
            <w:vAlign w:val="center"/>
          </w:tcPr>
          <w:p w14:paraId="11CF0C58">
            <w:pPr>
              <w:pStyle w:val="34"/>
              <w:spacing w:line="380" w:lineRule="exact"/>
              <w:ind w:left="0" w:leftChars="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7106" w:type="dxa"/>
            <w:gridSpan w:val="4"/>
            <w:noWrap w:val="0"/>
            <w:vAlign w:val="top"/>
          </w:tcPr>
          <w:p w14:paraId="7B16A48C">
            <w:pPr>
              <w:pStyle w:val="34"/>
              <w:spacing w:line="360"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综合评分相等时，评标委员会依次按照以下优先顺序推荐中标候选人： </w:t>
            </w:r>
          </w:p>
          <w:p w14:paraId="7408311D">
            <w:pPr>
              <w:pStyle w:val="34"/>
              <w:numPr>
                <w:ilvl w:val="0"/>
                <w:numId w:val="0"/>
              </w:numPr>
              <w:spacing w:line="360" w:lineRule="auto"/>
              <w:ind w:left="0" w:leftChars="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sz w:val="21"/>
                <w:szCs w:val="21"/>
                <w:highlight w:val="none"/>
              </w:rPr>
              <w:t xml:space="preserve">评标价低的投标人优先； </w:t>
            </w:r>
          </w:p>
          <w:p w14:paraId="76F5C858">
            <w:pPr>
              <w:pStyle w:val="34"/>
              <w:spacing w:line="360" w:lineRule="auto"/>
              <w:ind w:left="0" w:leftChars="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）商务和技术得分较高的投标人优先；</w:t>
            </w:r>
          </w:p>
          <w:p w14:paraId="4F7BCF08">
            <w:pPr>
              <w:pStyle w:val="34"/>
              <w:spacing w:line="360" w:lineRule="auto"/>
              <w:ind w:left="0" w:leftChars="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）招标人或招标人授权评标委员会现场随机确定。</w:t>
            </w:r>
          </w:p>
        </w:tc>
      </w:tr>
      <w:tr w14:paraId="5051B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976" w:type="dxa"/>
            <w:gridSpan w:val="2"/>
            <w:noWrap w:val="0"/>
            <w:vAlign w:val="center"/>
          </w:tcPr>
          <w:p w14:paraId="058D0854">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p w14:paraId="342E4A12">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p w14:paraId="160B6D7B">
            <w:pPr>
              <w:pStyle w:val="41"/>
              <w:spacing w:line="380" w:lineRule="exact"/>
              <w:jc w:val="center"/>
              <w:rPr>
                <w:rFonts w:hint="eastAsia" w:ascii="宋体" w:hAnsi="宋体" w:eastAsia="宋体" w:cs="宋体"/>
                <w:color w:val="auto"/>
                <w:sz w:val="21"/>
                <w:szCs w:val="21"/>
                <w:highlight w:val="none"/>
              </w:rPr>
            </w:pPr>
          </w:p>
        </w:tc>
        <w:tc>
          <w:tcPr>
            <w:tcW w:w="1794" w:type="dxa"/>
            <w:gridSpan w:val="2"/>
            <w:noWrap w:val="0"/>
            <w:vAlign w:val="center"/>
          </w:tcPr>
          <w:p w14:paraId="4F10E5E9">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形式评审与响应性评审标准</w:t>
            </w:r>
          </w:p>
        </w:tc>
        <w:tc>
          <w:tcPr>
            <w:tcW w:w="7106" w:type="dxa"/>
            <w:gridSpan w:val="4"/>
            <w:noWrap w:val="0"/>
            <w:vAlign w:val="center"/>
          </w:tcPr>
          <w:p w14:paraId="213583FA">
            <w:pPr>
              <w:pStyle w:val="34"/>
              <w:spacing w:line="360" w:lineRule="auto"/>
              <w:ind w:left="0" w:leftChars="0"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第一个信封（商务及技术文件）评审标准：</w:t>
            </w:r>
          </w:p>
          <w:p w14:paraId="22353140">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（1）投标文件按照招标文件规定的格式、内容填写，字迹清晰可辨：</w:t>
            </w:r>
          </w:p>
          <w:p w14:paraId="54A7D798">
            <w:pPr>
              <w:pStyle w:val="34"/>
              <w:spacing w:line="360" w:lineRule="auto"/>
              <w:ind w:left="0" w:leftChars="0" w:firstLine="0" w:firstLineChars="0"/>
              <w:rPr>
                <w:rFonts w:hint="eastAsia" w:ascii="宋体" w:hAnsi="宋体" w:eastAsia="宋体" w:cs="宋体"/>
                <w:color w:val="auto"/>
                <w:sz w:val="21"/>
                <w:szCs w:val="21"/>
                <w:highlight w:val="none"/>
              </w:rPr>
            </w:pPr>
            <w:bookmarkStart w:id="453" w:name="OLE_LINK21"/>
            <w:r>
              <w:rPr>
                <w:rFonts w:hint="eastAsia" w:ascii="宋体" w:hAnsi="宋体" w:eastAsia="宋体" w:cs="宋体"/>
                <w:color w:val="auto"/>
                <w:sz w:val="21"/>
                <w:szCs w:val="21"/>
                <w:highlight w:val="none"/>
              </w:rPr>
              <w:t>a.投标函按招标文件规定填报；</w:t>
            </w:r>
          </w:p>
          <w:p w14:paraId="0B4B17D9">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b.投标函附录的所有数据均符合招标文件规定；</w:t>
            </w:r>
          </w:p>
          <w:p w14:paraId="0CD018FB">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c.投标文件组成齐全完整，内容均按规定填写。</w:t>
            </w:r>
            <w:bookmarkEnd w:id="453"/>
          </w:p>
          <w:p w14:paraId="430C17A0">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投标文件上法定代表人或其委托代理人的签字、投标人的单位章盖章齐全，符合招标文件规定。</w:t>
            </w:r>
          </w:p>
          <w:p w14:paraId="166AD49D">
            <w:pPr>
              <w:pStyle w:val="34"/>
              <w:spacing w:line="360"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（3）投标人按照招标文件的规定提供了投标保证金</w:t>
            </w:r>
            <w:r>
              <w:rPr>
                <w:rFonts w:hint="eastAsia" w:ascii="宋体" w:hAnsi="宋体" w:eastAsia="宋体" w:cs="宋体"/>
                <w:color w:val="auto"/>
                <w:sz w:val="21"/>
                <w:szCs w:val="21"/>
                <w:highlight w:val="none"/>
                <w:lang w:eastAsia="zh-CN"/>
              </w:rPr>
              <w:t>。</w:t>
            </w:r>
          </w:p>
          <w:p w14:paraId="1A3E4485">
            <w:pPr>
              <w:pStyle w:val="34"/>
              <w:spacing w:line="360"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（4）投标人法定代表人授权委托代理人签署投标文件的，须提交授权委托书，且授权人和被授权人均在授权委托书上签名</w:t>
            </w:r>
            <w:r>
              <w:rPr>
                <w:rFonts w:hint="eastAsia" w:hAnsi="宋体" w:cs="宋体"/>
                <w:color w:val="auto"/>
                <w:sz w:val="21"/>
                <w:szCs w:val="21"/>
                <w:highlight w:val="none"/>
                <w:lang w:eastAsia="zh-CN"/>
              </w:rPr>
              <w:t>。</w:t>
            </w:r>
          </w:p>
          <w:p w14:paraId="05AAFF73">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（5）投标人法定代表人亲自签署投标文件的，提供了法定代表人身份证明</w:t>
            </w:r>
            <w:r>
              <w:rPr>
                <w:rFonts w:hint="eastAsia" w:ascii="宋体" w:hAnsi="宋体" w:eastAsia="宋体" w:cs="宋体"/>
                <w:color w:val="auto"/>
                <w:sz w:val="21"/>
                <w:szCs w:val="21"/>
                <w:highlight w:val="none"/>
                <w:lang w:val="en-US" w:eastAsia="zh-CN"/>
              </w:rPr>
              <w:t>，且法定代表人在法定代表人身份证明上签名</w:t>
            </w:r>
            <w:r>
              <w:rPr>
                <w:rFonts w:hint="eastAsia" w:ascii="宋体" w:hAnsi="宋体" w:eastAsia="宋体" w:cs="宋体"/>
                <w:color w:val="auto"/>
                <w:sz w:val="21"/>
                <w:szCs w:val="21"/>
                <w:highlight w:val="none"/>
              </w:rPr>
              <w:t xml:space="preserve">。 </w:t>
            </w:r>
          </w:p>
          <w:p w14:paraId="3DBD9BF6">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（6）同一投标人未提交两个以上不同的投标文件</w:t>
            </w:r>
            <w:r>
              <w:rPr>
                <w:rFonts w:hint="eastAsia" w:ascii="宋体" w:hAnsi="宋体" w:eastAsia="宋体" w:cs="宋体"/>
                <w:color w:val="auto"/>
                <w:sz w:val="21"/>
                <w:szCs w:val="21"/>
                <w:highlight w:val="none"/>
                <w:lang w:val="en-US" w:eastAsia="zh-CN"/>
              </w:rPr>
              <w:t>，但招标文件要求提交备选投标的除外</w:t>
            </w:r>
            <w:r>
              <w:rPr>
                <w:rFonts w:hint="eastAsia" w:ascii="宋体" w:hAnsi="宋体" w:eastAsia="宋体" w:cs="宋体"/>
                <w:color w:val="auto"/>
                <w:sz w:val="21"/>
                <w:szCs w:val="21"/>
                <w:highlight w:val="none"/>
              </w:rPr>
              <w:t xml:space="preserve">。 </w:t>
            </w:r>
          </w:p>
          <w:p w14:paraId="304A9C60">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（7）投标文件中未出现有关投标报价的内容。 </w:t>
            </w:r>
          </w:p>
          <w:p w14:paraId="4099C464">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（8）投标文件载明的招标项目完成期限未超过招标文件规定的时限。 </w:t>
            </w:r>
          </w:p>
          <w:p w14:paraId="50D82987">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（9）投标文件对招标文件的实质性要求和条件作出响应。 </w:t>
            </w:r>
          </w:p>
          <w:p w14:paraId="218431C2">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）权利义务符合招标文件规定：</w:t>
            </w:r>
          </w:p>
          <w:p w14:paraId="20767DDD">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a.投标人应接受招标文件规定的风险划分原则，未提出新的风险划分办法；</w:t>
            </w:r>
          </w:p>
          <w:p w14:paraId="7E97C520">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b.投标人未增加发包人的责任范围，或减少投标人义务；</w:t>
            </w:r>
          </w:p>
          <w:p w14:paraId="19D4DDD4">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c.投标人未提出不同的工程验收、计量、支付办法；</w:t>
            </w:r>
          </w:p>
          <w:p w14:paraId="43939B28">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d.投标人对合同纠纷、事故处理办法未提出异议；</w:t>
            </w:r>
          </w:p>
          <w:p w14:paraId="01DADC25">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e.投标人在投标活动中无欺诈行为；</w:t>
            </w:r>
          </w:p>
          <w:p w14:paraId="2B5AC7E6">
            <w:pPr>
              <w:spacing w:line="360" w:lineRule="auto"/>
              <w:jc w:val="left"/>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f.投标人未对合同条款有重要保留</w:t>
            </w:r>
            <w:r>
              <w:rPr>
                <w:rFonts w:hint="eastAsia" w:ascii="宋体" w:hAnsi="宋体" w:cs="宋体"/>
                <w:color w:val="auto"/>
                <w:sz w:val="21"/>
                <w:szCs w:val="21"/>
                <w:highlight w:val="none"/>
                <w:lang w:eastAsia="zh-CN"/>
              </w:rPr>
              <w:t>。</w:t>
            </w:r>
          </w:p>
          <w:p w14:paraId="24BB51C8">
            <w:pPr>
              <w:pStyle w:val="34"/>
              <w:spacing w:line="360" w:lineRule="auto"/>
              <w:ind w:left="0" w:leftChars="0"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第二个信封（报价文件）评审标准：</w:t>
            </w:r>
          </w:p>
          <w:p w14:paraId="43D71E83">
            <w:pPr>
              <w:pStyle w:val="34"/>
              <w:numPr>
                <w:ilvl w:val="0"/>
                <w:numId w:val="2"/>
              </w:numPr>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投标文件按照招标文件规定的格式、内容填写，字迹清晰可辨：</w:t>
            </w:r>
            <w:bookmarkStart w:id="454" w:name="OLE_LINK17"/>
          </w:p>
          <w:p w14:paraId="0D410D7D">
            <w:pPr>
              <w:pStyle w:val="34"/>
              <w:numPr>
                <w:ilvl w:val="0"/>
                <w:numId w:val="3"/>
              </w:numPr>
              <w:spacing w:line="360" w:lineRule="auto"/>
              <w:ind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投标函按招标文件规定填报了项目名称、投标价（包括大写金额和小写金额）；</w:t>
            </w:r>
          </w:p>
          <w:p w14:paraId="1A7DE85D">
            <w:pPr>
              <w:pStyle w:val="34"/>
              <w:numPr>
                <w:ilvl w:val="0"/>
                <w:numId w:val="3"/>
              </w:numPr>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已标价工程量清单说明文字与招标文件规定一致，未进行实质性修改和删减；</w:t>
            </w:r>
          </w:p>
          <w:p w14:paraId="1E1751B5">
            <w:pPr>
              <w:pStyle w:val="34"/>
              <w:numPr>
                <w:ilvl w:val="0"/>
                <w:numId w:val="0"/>
              </w:numPr>
              <w:spacing w:line="360" w:lineRule="auto"/>
              <w:ind w:left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c</w:t>
            </w:r>
            <w:r>
              <w:rPr>
                <w:rFonts w:hint="eastAsia" w:ascii="宋体" w:hAnsi="宋体" w:eastAsia="宋体" w:cs="宋体"/>
                <w:color w:val="auto"/>
                <w:sz w:val="21"/>
                <w:szCs w:val="21"/>
                <w:highlight w:val="none"/>
              </w:rPr>
              <w:t>.投标文件组成齐全完整，内容均按规定填写。</w:t>
            </w:r>
          </w:p>
          <w:bookmarkEnd w:id="454"/>
          <w:p w14:paraId="24141440">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（2）投标文件上法定代表人或其委托代理人的签字、投标人的单位章盖章齐全，符合招标文件规定。</w:t>
            </w:r>
          </w:p>
          <w:p w14:paraId="769B021F">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（3）投标报价未超过招标文件设定的最高投标限价。</w:t>
            </w:r>
          </w:p>
          <w:p w14:paraId="6C9EE919">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（4）投标报价的大写金额能够确定具体数值。</w:t>
            </w:r>
          </w:p>
          <w:p w14:paraId="24F7879C">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（5）同一投标人未提交两个以上不同的投标报价。</w:t>
            </w:r>
          </w:p>
        </w:tc>
      </w:tr>
      <w:tr w14:paraId="6D46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76" w:type="dxa"/>
            <w:gridSpan w:val="2"/>
            <w:noWrap w:val="0"/>
            <w:vAlign w:val="center"/>
          </w:tcPr>
          <w:p w14:paraId="3B81F3D0">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tc>
        <w:tc>
          <w:tcPr>
            <w:tcW w:w="1794" w:type="dxa"/>
            <w:gridSpan w:val="2"/>
            <w:noWrap w:val="0"/>
            <w:vAlign w:val="center"/>
          </w:tcPr>
          <w:p w14:paraId="55D42E19">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w:t>
            </w:r>
          </w:p>
          <w:p w14:paraId="7E62D398">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7106" w:type="dxa"/>
            <w:gridSpan w:val="4"/>
            <w:noWrap w:val="0"/>
            <w:vAlign w:val="center"/>
          </w:tcPr>
          <w:p w14:paraId="1F42AAD5">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rPr>
              <w:t>投标人具备有效的营业执照</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资质证书、安全生产许可证</w:t>
            </w:r>
            <w:r>
              <w:rPr>
                <w:rFonts w:hint="eastAsia" w:ascii="宋体" w:hAnsi="宋体" w:eastAsia="宋体" w:cs="宋体"/>
                <w:color w:val="auto"/>
                <w:sz w:val="21"/>
                <w:szCs w:val="21"/>
                <w:highlight w:val="none"/>
              </w:rPr>
              <w:t>。</w:t>
            </w:r>
          </w:p>
          <w:p w14:paraId="7B7A0B19">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（2）投标人的资质等级符合招标文件规定。</w:t>
            </w:r>
          </w:p>
          <w:p w14:paraId="4CDF7EB9">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（3）投标人的财务状况符合招标文件规定。</w:t>
            </w:r>
          </w:p>
          <w:p w14:paraId="32E2FD7B">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rPr>
              <w:t>）投标人的信誉符合招标文件规定。</w:t>
            </w:r>
          </w:p>
          <w:p w14:paraId="0DA027AE">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投标人的项目经理和项目总工资格、在岗情况符合招标文件规定</w:t>
            </w:r>
            <w:r>
              <w:rPr>
                <w:rFonts w:hint="eastAsia" w:ascii="宋体" w:hAnsi="宋体" w:eastAsia="宋体" w:cs="宋体"/>
                <w:color w:val="auto"/>
                <w:sz w:val="21"/>
                <w:szCs w:val="21"/>
                <w:highlight w:val="none"/>
              </w:rPr>
              <w:t>。</w:t>
            </w:r>
          </w:p>
          <w:p w14:paraId="64265304">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）投标人不存在第二章“投标人须知”第1.4.3项或第1.4.4项规定的任何一种情形。</w:t>
            </w:r>
          </w:p>
          <w:p w14:paraId="3EC16CF4">
            <w:pPr>
              <w:pStyle w:val="34"/>
              <w:spacing w:line="360"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rPr>
              <w:t>）投标人的其他要求符合招标文件规定。</w:t>
            </w:r>
          </w:p>
        </w:tc>
      </w:tr>
      <w:tr w14:paraId="42D55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76" w:type="dxa"/>
            <w:gridSpan w:val="2"/>
            <w:noWrap w:val="0"/>
            <w:vAlign w:val="center"/>
          </w:tcPr>
          <w:p w14:paraId="58D7FB74">
            <w:pPr>
              <w:autoSpaceDE w:val="0"/>
              <w:autoSpaceDN w:val="0"/>
              <w:adjustRightInd w:val="0"/>
              <w:spacing w:line="340" w:lineRule="exact"/>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val="en-US" w:eastAsia="zh-CN"/>
              </w:rPr>
              <w:t>条款</w:t>
            </w:r>
            <w:r>
              <w:rPr>
                <w:rFonts w:hint="eastAsia" w:ascii="宋体" w:hAnsi="宋体" w:eastAsia="宋体" w:cs="宋体"/>
                <w:b/>
                <w:color w:val="auto"/>
                <w:kern w:val="0"/>
                <w:sz w:val="21"/>
                <w:szCs w:val="21"/>
                <w:highlight w:val="none"/>
                <w:lang w:eastAsia="zh-CN"/>
              </w:rPr>
              <w:t>号</w:t>
            </w:r>
          </w:p>
        </w:tc>
        <w:tc>
          <w:tcPr>
            <w:tcW w:w="1794" w:type="dxa"/>
            <w:gridSpan w:val="2"/>
            <w:noWrap w:val="0"/>
            <w:vAlign w:val="center"/>
          </w:tcPr>
          <w:p w14:paraId="7D0D15E7">
            <w:pPr>
              <w:autoSpaceDE w:val="0"/>
              <w:autoSpaceDN w:val="0"/>
              <w:adjustRightInd w:val="0"/>
              <w:spacing w:line="340" w:lineRule="exact"/>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条款内容</w:t>
            </w:r>
          </w:p>
        </w:tc>
        <w:tc>
          <w:tcPr>
            <w:tcW w:w="7106" w:type="dxa"/>
            <w:gridSpan w:val="4"/>
            <w:noWrap w:val="0"/>
            <w:vAlign w:val="center"/>
          </w:tcPr>
          <w:p w14:paraId="5FE6BECB">
            <w:pPr>
              <w:autoSpaceDE w:val="0"/>
              <w:autoSpaceDN w:val="0"/>
              <w:adjustRightInd w:val="0"/>
              <w:spacing w:line="340" w:lineRule="exact"/>
              <w:jc w:val="center"/>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eastAsia="zh-CN"/>
              </w:rPr>
              <w:t>编列内容</w:t>
            </w:r>
          </w:p>
        </w:tc>
      </w:tr>
      <w:tr w14:paraId="2A19B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gridSpan w:val="2"/>
            <w:noWrap w:val="0"/>
            <w:vAlign w:val="center"/>
          </w:tcPr>
          <w:p w14:paraId="2987C4F1">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1794" w:type="dxa"/>
            <w:gridSpan w:val="2"/>
            <w:noWrap w:val="0"/>
            <w:vAlign w:val="center"/>
          </w:tcPr>
          <w:p w14:paraId="299A7711">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71359FF8">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（总分100分）</w:t>
            </w:r>
          </w:p>
        </w:tc>
        <w:tc>
          <w:tcPr>
            <w:tcW w:w="7106" w:type="dxa"/>
            <w:gridSpan w:val="4"/>
            <w:noWrap w:val="0"/>
            <w:vAlign w:val="center"/>
          </w:tcPr>
          <w:p w14:paraId="36C4B9C3">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第一个信封（商务及技术文件）评分分值构成： </w:t>
            </w:r>
          </w:p>
          <w:p w14:paraId="0C223E1E">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施工组织设计：20分</w:t>
            </w:r>
          </w:p>
          <w:p w14:paraId="07B9E19A">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主要人员：10分</w:t>
            </w:r>
          </w:p>
          <w:p w14:paraId="128E1B09">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其他因素：20分</w:t>
            </w:r>
          </w:p>
          <w:p w14:paraId="76A97ABE">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第二个信封（报价文件）评分分值构成：</w:t>
            </w:r>
          </w:p>
          <w:p w14:paraId="0B7DB057">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评标价：50分</w:t>
            </w:r>
          </w:p>
        </w:tc>
      </w:tr>
      <w:tr w14:paraId="42D61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gridSpan w:val="2"/>
            <w:noWrap w:val="0"/>
            <w:vAlign w:val="center"/>
          </w:tcPr>
          <w:p w14:paraId="5C2405FD">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1794" w:type="dxa"/>
            <w:gridSpan w:val="2"/>
            <w:noWrap w:val="0"/>
            <w:vAlign w:val="center"/>
          </w:tcPr>
          <w:p w14:paraId="418ACCBC">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评标基准价</w:t>
            </w:r>
          </w:p>
          <w:p w14:paraId="581D7CB5">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计算方法</w:t>
            </w:r>
          </w:p>
        </w:tc>
        <w:tc>
          <w:tcPr>
            <w:tcW w:w="7106" w:type="dxa"/>
            <w:gridSpan w:val="4"/>
            <w:noWrap w:val="0"/>
            <w:vAlign w:val="center"/>
          </w:tcPr>
          <w:p w14:paraId="5ECA8F91">
            <w:pPr>
              <w:spacing w:line="400" w:lineRule="exact"/>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评标基准价的计算：</w:t>
            </w:r>
          </w:p>
          <w:p w14:paraId="1EF809A5">
            <w:pPr>
              <w:spacing w:line="400" w:lineRule="exact"/>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（1）评标价的确定：</w:t>
            </w:r>
          </w:p>
          <w:p w14:paraId="04E6E197">
            <w:pPr>
              <w:spacing w:line="400" w:lineRule="exact"/>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评标价＝投标函文字报价</w:t>
            </w:r>
          </w:p>
          <w:p w14:paraId="19C90A7B">
            <w:pPr>
              <w:spacing w:line="400" w:lineRule="exact"/>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（2）评标价平均值的计算：</w:t>
            </w:r>
          </w:p>
          <w:p w14:paraId="5A6689B0">
            <w:pPr>
              <w:spacing w:line="400" w:lineRule="exact"/>
              <w:ind w:firstLine="420" w:firstLineChars="20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除按第二章“投标人须知”第 5.2.2 项规定开标现场被宣布为不进入评标基准价计算的投标报价之外，所有投标人的评标价去掉一个最高值和一个最低值后的算术平均值即为评标价平均值（如果参与评标价平均值计算的有效投标人少于 5 家时（不含5家），则计算评标价平均值时不去掉最高值和最低值）。</w:t>
            </w:r>
          </w:p>
          <w:p w14:paraId="43E815CA">
            <w:pPr>
              <w:spacing w:line="340" w:lineRule="exact"/>
              <w:ind w:firstLine="210" w:firstLineChars="100"/>
              <w:jc w:val="left"/>
              <w:rPr>
                <w:rFonts w:hint="eastAsia" w:ascii="宋体" w:hAnsi="宋体" w:eastAsia="宋体" w:cs="宋体"/>
                <w:sz w:val="21"/>
                <w:szCs w:val="21"/>
                <w:highlight w:val="none"/>
              </w:rPr>
            </w:pPr>
            <w:r>
              <w:rPr>
                <w:rFonts w:hint="eastAsia" w:ascii="宋体" w:hAnsi="宋体" w:eastAsia="宋体" w:cs="宋体"/>
                <w:kern w:val="0"/>
                <w:sz w:val="21"/>
                <w:szCs w:val="21"/>
                <w:highlight w:val="none"/>
              </w:rPr>
              <w:t>（3）评标基准价的确定：将评标价平均值直接作为评标基准价。</w:t>
            </w:r>
          </w:p>
          <w:p w14:paraId="56EF0F4E">
            <w:pPr>
              <w:spacing w:line="40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kern w:val="0"/>
                <w:sz w:val="21"/>
                <w:szCs w:val="21"/>
                <w:highlight w:val="none"/>
              </w:rPr>
              <w:t>在评标过程中，评标委员会应对招标人计算的评标基准价进行复核，存在计算错误的应予以修正并在评标报告中作出说明。除此之外，评标基准价在整个评标期间保持不变，不随任何因素发生变化。</w:t>
            </w:r>
          </w:p>
        </w:tc>
      </w:tr>
      <w:tr w14:paraId="7F447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976" w:type="dxa"/>
            <w:gridSpan w:val="2"/>
            <w:noWrap w:val="0"/>
            <w:vAlign w:val="center"/>
          </w:tcPr>
          <w:p w14:paraId="134BB48C">
            <w:pPr>
              <w:pStyle w:val="41"/>
              <w:spacing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1794" w:type="dxa"/>
            <w:gridSpan w:val="2"/>
            <w:noWrap w:val="0"/>
            <w:vAlign w:val="center"/>
          </w:tcPr>
          <w:p w14:paraId="28242869">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评标价的偏差率计算公式</w:t>
            </w:r>
          </w:p>
        </w:tc>
        <w:tc>
          <w:tcPr>
            <w:tcW w:w="7106" w:type="dxa"/>
            <w:gridSpan w:val="4"/>
            <w:noWrap w:val="0"/>
            <w:vAlign w:val="center"/>
          </w:tcPr>
          <w:p w14:paraId="5FCD9A49">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偏差率=100%×（投标人评标价－评标基准价）/评标基准价</w:t>
            </w:r>
          </w:p>
          <w:p w14:paraId="0A2127DC">
            <w:pPr>
              <w:spacing w:line="40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偏差率保留</w:t>
            </w: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rPr>
              <w:t>位小数</w:t>
            </w:r>
          </w:p>
        </w:tc>
      </w:tr>
      <w:tr w14:paraId="3072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76" w:type="dxa"/>
            <w:gridSpan w:val="8"/>
            <w:noWrap w:val="0"/>
            <w:vAlign w:val="center"/>
          </w:tcPr>
          <w:p w14:paraId="203E8997">
            <w:pPr>
              <w:spacing w:line="400" w:lineRule="exact"/>
              <w:jc w:val="center"/>
              <w:rPr>
                <w:rFonts w:hint="eastAsia" w:ascii="宋体" w:hAnsi="宋体" w:eastAsia="宋体" w:cs="宋体"/>
                <w:color w:val="auto"/>
                <w:kern w:val="0"/>
                <w:sz w:val="21"/>
                <w:szCs w:val="21"/>
                <w:highlight w:val="none"/>
              </w:rPr>
            </w:pPr>
            <w:r>
              <w:rPr>
                <w:rFonts w:hint="eastAsia" w:ascii="宋体" w:hAnsi="宋体" w:eastAsia="宋体" w:cs="宋体"/>
                <w:b/>
                <w:kern w:val="0"/>
                <w:sz w:val="21"/>
                <w:szCs w:val="21"/>
              </w:rPr>
              <w:t>评分因素与权重分值</w:t>
            </w:r>
          </w:p>
        </w:tc>
      </w:tr>
      <w:tr w14:paraId="5CDA8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noWrap w:val="0"/>
            <w:vAlign w:val="center"/>
          </w:tcPr>
          <w:p w14:paraId="48B6A446">
            <w:pPr>
              <w:pStyle w:val="41"/>
              <w:spacing w:line="380" w:lineRule="exact"/>
              <w:jc w:val="center"/>
              <w:rPr>
                <w:rFonts w:hint="eastAsia" w:ascii="宋体" w:hAnsi="宋体" w:eastAsia="宋体" w:cs="宋体"/>
                <w:b/>
                <w:kern w:val="0"/>
                <w:sz w:val="21"/>
                <w:szCs w:val="21"/>
              </w:rPr>
            </w:pPr>
            <w:r>
              <w:rPr>
                <w:rFonts w:hint="eastAsia" w:ascii="宋体" w:hAnsi="宋体" w:eastAsia="宋体" w:cs="宋体"/>
                <w:b/>
                <w:bCs/>
                <w:sz w:val="21"/>
                <w:szCs w:val="21"/>
              </w:rPr>
              <w:t>条款号</w:t>
            </w:r>
          </w:p>
        </w:tc>
        <w:tc>
          <w:tcPr>
            <w:tcW w:w="1168" w:type="dxa"/>
            <w:gridSpan w:val="2"/>
            <w:noWrap w:val="0"/>
            <w:vAlign w:val="center"/>
          </w:tcPr>
          <w:p w14:paraId="56DE8CC0">
            <w:pPr>
              <w:pStyle w:val="41"/>
              <w:spacing w:line="380" w:lineRule="exact"/>
              <w:jc w:val="center"/>
              <w:rPr>
                <w:rFonts w:hint="eastAsia" w:ascii="宋体" w:hAnsi="宋体" w:eastAsia="宋体" w:cs="宋体"/>
                <w:b/>
                <w:kern w:val="0"/>
                <w:sz w:val="21"/>
                <w:szCs w:val="21"/>
              </w:rPr>
            </w:pPr>
            <w:r>
              <w:rPr>
                <w:rFonts w:hint="eastAsia" w:ascii="宋体" w:hAnsi="宋体" w:eastAsia="宋体" w:cs="宋体"/>
                <w:b/>
                <w:bCs/>
                <w:sz w:val="21"/>
                <w:szCs w:val="21"/>
              </w:rPr>
              <w:t>评分因素</w:t>
            </w:r>
          </w:p>
        </w:tc>
        <w:tc>
          <w:tcPr>
            <w:tcW w:w="1434" w:type="dxa"/>
            <w:gridSpan w:val="2"/>
            <w:noWrap w:val="0"/>
            <w:vAlign w:val="center"/>
          </w:tcPr>
          <w:p w14:paraId="03EF7FFC">
            <w:pPr>
              <w:spacing w:line="400" w:lineRule="exact"/>
              <w:jc w:val="center"/>
              <w:rPr>
                <w:rFonts w:hint="eastAsia" w:ascii="宋体" w:hAnsi="宋体" w:eastAsia="宋体" w:cs="宋体"/>
                <w:b/>
                <w:kern w:val="0"/>
                <w:sz w:val="21"/>
                <w:szCs w:val="21"/>
              </w:rPr>
            </w:pPr>
            <w:r>
              <w:rPr>
                <w:rFonts w:hint="eastAsia" w:ascii="宋体" w:hAnsi="宋体" w:eastAsia="宋体" w:cs="宋体"/>
                <w:b/>
                <w:bCs/>
                <w:kern w:val="0"/>
                <w:sz w:val="21"/>
                <w:szCs w:val="21"/>
              </w:rPr>
              <w:t>评分因素权重分值</w:t>
            </w:r>
          </w:p>
        </w:tc>
        <w:tc>
          <w:tcPr>
            <w:tcW w:w="5456" w:type="dxa"/>
            <w:gridSpan w:val="2"/>
            <w:noWrap w:val="0"/>
            <w:vAlign w:val="center"/>
          </w:tcPr>
          <w:p w14:paraId="6096D71A">
            <w:pPr>
              <w:spacing w:line="400" w:lineRule="exact"/>
              <w:jc w:val="center"/>
              <w:rPr>
                <w:rFonts w:hint="eastAsia" w:ascii="宋体" w:hAnsi="宋体" w:eastAsia="宋体" w:cs="宋体"/>
                <w:b/>
                <w:kern w:val="0"/>
                <w:sz w:val="21"/>
                <w:szCs w:val="21"/>
              </w:rPr>
            </w:pPr>
            <w:r>
              <w:rPr>
                <w:rFonts w:hint="eastAsia" w:ascii="宋体" w:hAnsi="宋体" w:eastAsia="宋体" w:cs="宋体"/>
                <w:b/>
                <w:bCs/>
                <w:kern w:val="0"/>
                <w:sz w:val="21"/>
                <w:szCs w:val="21"/>
              </w:rPr>
              <w:t>各评分因素细分项</w:t>
            </w:r>
          </w:p>
        </w:tc>
        <w:tc>
          <w:tcPr>
            <w:tcW w:w="988" w:type="dxa"/>
            <w:noWrap w:val="0"/>
            <w:vAlign w:val="center"/>
          </w:tcPr>
          <w:p w14:paraId="0EC30299">
            <w:pPr>
              <w:spacing w:line="400" w:lineRule="exact"/>
              <w:jc w:val="center"/>
              <w:rPr>
                <w:rFonts w:hint="eastAsia" w:ascii="宋体" w:hAnsi="宋体" w:eastAsia="宋体" w:cs="宋体"/>
                <w:b/>
                <w:kern w:val="0"/>
                <w:sz w:val="21"/>
                <w:szCs w:val="21"/>
                <w:lang w:eastAsia="zh-CN"/>
              </w:rPr>
            </w:pPr>
            <w:r>
              <w:rPr>
                <w:rFonts w:hint="eastAsia" w:ascii="宋体" w:hAnsi="宋体" w:eastAsia="宋体" w:cs="宋体"/>
                <w:b/>
                <w:kern w:val="0"/>
                <w:sz w:val="21"/>
                <w:szCs w:val="21"/>
                <w:lang w:eastAsia="zh-CN"/>
              </w:rPr>
              <w:t>分值</w:t>
            </w:r>
          </w:p>
        </w:tc>
      </w:tr>
      <w:tr w14:paraId="7C871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restart"/>
            <w:noWrap w:val="0"/>
            <w:vAlign w:val="center"/>
          </w:tcPr>
          <w:p w14:paraId="119862FB">
            <w:pPr>
              <w:pStyle w:val="41"/>
              <w:spacing w:line="380" w:lineRule="exact"/>
              <w:jc w:val="center"/>
              <w:rPr>
                <w:rFonts w:hint="eastAsia" w:ascii="宋体" w:hAnsi="宋体" w:eastAsia="宋体" w:cs="宋体"/>
                <w:b/>
                <w:kern w:val="0"/>
                <w:sz w:val="21"/>
                <w:szCs w:val="21"/>
              </w:rPr>
            </w:pPr>
            <w:r>
              <w:rPr>
                <w:rFonts w:hint="eastAsia" w:ascii="宋体" w:hAnsi="宋体" w:eastAsia="宋体" w:cs="宋体"/>
                <w:sz w:val="21"/>
                <w:szCs w:val="21"/>
              </w:rPr>
              <w:t>2.2.4（1）</w:t>
            </w:r>
          </w:p>
        </w:tc>
        <w:tc>
          <w:tcPr>
            <w:tcW w:w="1168" w:type="dxa"/>
            <w:gridSpan w:val="2"/>
            <w:vMerge w:val="restart"/>
            <w:noWrap w:val="0"/>
            <w:vAlign w:val="center"/>
          </w:tcPr>
          <w:p w14:paraId="43C9E904">
            <w:pPr>
              <w:pStyle w:val="41"/>
              <w:spacing w:line="380" w:lineRule="exact"/>
              <w:jc w:val="center"/>
              <w:rPr>
                <w:rFonts w:hint="eastAsia" w:ascii="宋体" w:hAnsi="宋体" w:eastAsia="宋体" w:cs="宋体"/>
                <w:b/>
                <w:kern w:val="0"/>
                <w:sz w:val="21"/>
                <w:szCs w:val="21"/>
              </w:rPr>
            </w:pPr>
            <w:r>
              <w:rPr>
                <w:rFonts w:hint="eastAsia" w:ascii="宋体" w:hAnsi="宋体" w:eastAsia="宋体" w:cs="宋体"/>
                <w:sz w:val="21"/>
                <w:szCs w:val="21"/>
              </w:rPr>
              <w:t>施工组织设计</w:t>
            </w:r>
          </w:p>
        </w:tc>
        <w:tc>
          <w:tcPr>
            <w:tcW w:w="1434" w:type="dxa"/>
            <w:gridSpan w:val="2"/>
            <w:vMerge w:val="restart"/>
            <w:noWrap w:val="0"/>
            <w:vAlign w:val="center"/>
          </w:tcPr>
          <w:p w14:paraId="25D319D0">
            <w:pPr>
              <w:spacing w:line="400" w:lineRule="exact"/>
              <w:jc w:val="center"/>
              <w:rPr>
                <w:rFonts w:hint="eastAsia" w:ascii="宋体" w:hAnsi="宋体" w:eastAsia="宋体" w:cs="宋体"/>
                <w:b/>
                <w:kern w:val="0"/>
                <w:sz w:val="21"/>
                <w:szCs w:val="21"/>
              </w:rPr>
            </w:pPr>
            <w:r>
              <w:rPr>
                <w:rFonts w:hint="eastAsia" w:ascii="宋体" w:hAnsi="宋体" w:eastAsia="宋体" w:cs="宋体"/>
                <w:sz w:val="21"/>
                <w:szCs w:val="21"/>
              </w:rPr>
              <w:t>20分</w:t>
            </w:r>
          </w:p>
        </w:tc>
        <w:tc>
          <w:tcPr>
            <w:tcW w:w="2018" w:type="dxa"/>
            <w:noWrap w:val="0"/>
            <w:vAlign w:val="center"/>
          </w:tcPr>
          <w:p w14:paraId="422F2073">
            <w:pPr>
              <w:pStyle w:val="38"/>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总体施工组织布置及规划</w:t>
            </w:r>
          </w:p>
        </w:tc>
        <w:tc>
          <w:tcPr>
            <w:tcW w:w="3438" w:type="dxa"/>
            <w:noWrap w:val="0"/>
            <w:vAlign w:val="center"/>
          </w:tcPr>
          <w:p w14:paraId="03EF711C">
            <w:pPr>
              <w:pStyle w:val="38"/>
              <w:ind w:left="21" w:leftChars="10" w:right="57" w:rightChars="0"/>
              <w:rPr>
                <w:rFonts w:hint="eastAsia" w:ascii="宋体" w:hAnsi="宋体" w:eastAsia="宋体" w:cs="宋体"/>
                <w:b/>
                <w:kern w:val="0"/>
                <w:sz w:val="21"/>
                <w:szCs w:val="21"/>
              </w:rPr>
            </w:pPr>
            <w:r>
              <w:rPr>
                <w:rFonts w:hint="eastAsia" w:ascii="宋体" w:hAnsi="宋体" w:eastAsia="宋体" w:cs="宋体"/>
                <w:sz w:val="21"/>
                <w:szCs w:val="21"/>
              </w:rPr>
              <w:t>根据编制内容的科学性、合理性、可行性进行打分。不提供不得分。</w:t>
            </w:r>
          </w:p>
        </w:tc>
        <w:tc>
          <w:tcPr>
            <w:tcW w:w="988" w:type="dxa"/>
            <w:noWrap w:val="0"/>
            <w:vAlign w:val="center"/>
          </w:tcPr>
          <w:p w14:paraId="6014560E">
            <w:pPr>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0-2分</w:t>
            </w:r>
          </w:p>
        </w:tc>
      </w:tr>
      <w:tr w14:paraId="00166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68D6A6B2">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5513F870">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3F0DC6C9">
            <w:pPr>
              <w:spacing w:line="400" w:lineRule="exact"/>
              <w:jc w:val="center"/>
              <w:rPr>
                <w:rFonts w:hint="eastAsia" w:ascii="宋体" w:hAnsi="宋体" w:eastAsia="宋体" w:cs="宋体"/>
                <w:b/>
                <w:kern w:val="0"/>
                <w:sz w:val="21"/>
                <w:szCs w:val="21"/>
              </w:rPr>
            </w:pPr>
          </w:p>
        </w:tc>
        <w:tc>
          <w:tcPr>
            <w:tcW w:w="2018" w:type="dxa"/>
            <w:noWrap w:val="0"/>
            <w:vAlign w:val="center"/>
          </w:tcPr>
          <w:p w14:paraId="4774A489">
            <w:pPr>
              <w:pStyle w:val="38"/>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主要工程项目的施工方案、方法与技术措施</w:t>
            </w:r>
          </w:p>
        </w:tc>
        <w:tc>
          <w:tcPr>
            <w:tcW w:w="3438" w:type="dxa"/>
            <w:noWrap w:val="0"/>
            <w:vAlign w:val="center"/>
          </w:tcPr>
          <w:p w14:paraId="7EC1479B">
            <w:pPr>
              <w:pStyle w:val="38"/>
              <w:spacing w:before="132"/>
              <w:ind w:right="57" w:rightChars="0"/>
              <w:rPr>
                <w:rFonts w:hint="eastAsia" w:ascii="宋体" w:hAnsi="宋体" w:eastAsia="宋体" w:cs="宋体"/>
                <w:b/>
                <w:kern w:val="0"/>
                <w:sz w:val="21"/>
                <w:szCs w:val="21"/>
              </w:rPr>
            </w:pPr>
            <w:r>
              <w:rPr>
                <w:rFonts w:hint="eastAsia" w:ascii="宋体" w:hAnsi="宋体" w:eastAsia="宋体" w:cs="宋体"/>
                <w:sz w:val="21"/>
                <w:szCs w:val="21"/>
              </w:rPr>
              <w:t>根据编制内容的科学性、合理性、可行性进行打分。不提供不得分。</w:t>
            </w:r>
          </w:p>
        </w:tc>
        <w:tc>
          <w:tcPr>
            <w:tcW w:w="988" w:type="dxa"/>
            <w:noWrap w:val="0"/>
            <w:vAlign w:val="center"/>
          </w:tcPr>
          <w:p w14:paraId="23054F62">
            <w:pPr>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0-3分</w:t>
            </w:r>
          </w:p>
        </w:tc>
      </w:tr>
      <w:tr w14:paraId="0F56C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63F6254A">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77B9D198">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6125543C">
            <w:pPr>
              <w:spacing w:line="400" w:lineRule="exact"/>
              <w:jc w:val="center"/>
              <w:rPr>
                <w:rFonts w:hint="eastAsia" w:ascii="宋体" w:hAnsi="宋体" w:eastAsia="宋体" w:cs="宋体"/>
                <w:b/>
                <w:kern w:val="0"/>
                <w:sz w:val="21"/>
                <w:szCs w:val="21"/>
              </w:rPr>
            </w:pPr>
          </w:p>
        </w:tc>
        <w:tc>
          <w:tcPr>
            <w:tcW w:w="2018" w:type="dxa"/>
            <w:noWrap w:val="0"/>
            <w:vAlign w:val="center"/>
          </w:tcPr>
          <w:p w14:paraId="169FC44A">
            <w:pPr>
              <w:pStyle w:val="38"/>
              <w:ind w:left="21" w:leftChars="10" w:right="57" w:rightChars="0"/>
              <w:jc w:val="center"/>
              <w:rPr>
                <w:rFonts w:hint="eastAsia" w:ascii="宋体" w:hAnsi="宋体" w:eastAsia="宋体" w:cs="宋体"/>
                <w:sz w:val="21"/>
                <w:szCs w:val="21"/>
              </w:rPr>
            </w:pPr>
            <w:r>
              <w:rPr>
                <w:rFonts w:hint="eastAsia" w:ascii="宋体" w:hAnsi="宋体" w:eastAsia="宋体" w:cs="宋体"/>
                <w:sz w:val="21"/>
                <w:szCs w:val="21"/>
              </w:rPr>
              <w:t>工期保证体系及保证措施</w:t>
            </w:r>
          </w:p>
        </w:tc>
        <w:tc>
          <w:tcPr>
            <w:tcW w:w="3438" w:type="dxa"/>
            <w:noWrap w:val="0"/>
            <w:vAlign w:val="center"/>
          </w:tcPr>
          <w:p w14:paraId="3949D959">
            <w:pPr>
              <w:pStyle w:val="38"/>
              <w:spacing w:before="132"/>
              <w:ind w:left="21" w:leftChars="10" w:right="57" w:rightChars="0"/>
              <w:rPr>
                <w:rFonts w:hint="eastAsia" w:ascii="宋体" w:hAnsi="宋体" w:eastAsia="宋体" w:cs="宋体"/>
                <w:b/>
                <w:kern w:val="0"/>
                <w:sz w:val="21"/>
                <w:szCs w:val="21"/>
              </w:rPr>
            </w:pPr>
            <w:r>
              <w:rPr>
                <w:rFonts w:hint="eastAsia" w:ascii="宋体" w:hAnsi="宋体" w:eastAsia="宋体" w:cs="宋体"/>
                <w:sz w:val="21"/>
                <w:szCs w:val="21"/>
              </w:rPr>
              <w:t>根据编制内容的科学性、合理性、可行性进行打分。不提供不得分。</w:t>
            </w:r>
          </w:p>
        </w:tc>
        <w:tc>
          <w:tcPr>
            <w:tcW w:w="988" w:type="dxa"/>
            <w:noWrap w:val="0"/>
            <w:vAlign w:val="center"/>
          </w:tcPr>
          <w:p w14:paraId="4914311D">
            <w:pPr>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0-3分</w:t>
            </w:r>
          </w:p>
        </w:tc>
      </w:tr>
      <w:tr w14:paraId="50960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6D32B349">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244E659F">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57090FEC">
            <w:pPr>
              <w:spacing w:line="400" w:lineRule="exact"/>
              <w:jc w:val="center"/>
              <w:rPr>
                <w:rFonts w:hint="eastAsia" w:ascii="宋体" w:hAnsi="宋体" w:eastAsia="宋体" w:cs="宋体"/>
                <w:b/>
                <w:kern w:val="0"/>
                <w:sz w:val="21"/>
                <w:szCs w:val="21"/>
              </w:rPr>
            </w:pPr>
          </w:p>
        </w:tc>
        <w:tc>
          <w:tcPr>
            <w:tcW w:w="2018" w:type="dxa"/>
            <w:noWrap w:val="0"/>
            <w:vAlign w:val="center"/>
          </w:tcPr>
          <w:p w14:paraId="4A10B60A">
            <w:pPr>
              <w:pStyle w:val="38"/>
              <w:ind w:left="21" w:leftChars="10" w:right="57" w:rightChars="0"/>
              <w:jc w:val="center"/>
              <w:rPr>
                <w:rFonts w:hint="eastAsia" w:ascii="宋体" w:hAnsi="宋体" w:eastAsia="宋体" w:cs="宋体"/>
                <w:sz w:val="21"/>
                <w:szCs w:val="21"/>
              </w:rPr>
            </w:pPr>
            <w:r>
              <w:rPr>
                <w:rFonts w:hint="eastAsia" w:ascii="宋体" w:hAnsi="宋体" w:eastAsia="宋体" w:cs="宋体"/>
                <w:sz w:val="21"/>
                <w:szCs w:val="21"/>
              </w:rPr>
              <w:t>工程质量管理体系及保证措施</w:t>
            </w:r>
          </w:p>
        </w:tc>
        <w:tc>
          <w:tcPr>
            <w:tcW w:w="3438" w:type="dxa"/>
            <w:noWrap w:val="0"/>
            <w:vAlign w:val="center"/>
          </w:tcPr>
          <w:p w14:paraId="052E3FC3">
            <w:pPr>
              <w:pStyle w:val="38"/>
              <w:spacing w:before="132"/>
              <w:ind w:left="21" w:leftChars="10" w:right="57" w:rightChars="0"/>
              <w:rPr>
                <w:rFonts w:hint="eastAsia" w:ascii="宋体" w:hAnsi="宋体" w:eastAsia="宋体" w:cs="宋体"/>
                <w:b/>
                <w:kern w:val="0"/>
                <w:sz w:val="21"/>
                <w:szCs w:val="21"/>
              </w:rPr>
            </w:pPr>
            <w:r>
              <w:rPr>
                <w:rFonts w:hint="eastAsia" w:ascii="宋体" w:hAnsi="宋体" w:eastAsia="宋体" w:cs="宋体"/>
                <w:sz w:val="21"/>
                <w:szCs w:val="21"/>
              </w:rPr>
              <w:t>根据编制内容的科学性、合理性、可行性进行打分。不提供不得分。</w:t>
            </w:r>
          </w:p>
        </w:tc>
        <w:tc>
          <w:tcPr>
            <w:tcW w:w="988" w:type="dxa"/>
            <w:noWrap w:val="0"/>
            <w:vAlign w:val="center"/>
          </w:tcPr>
          <w:p w14:paraId="3B2EAE02">
            <w:pPr>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0-3分</w:t>
            </w:r>
          </w:p>
        </w:tc>
      </w:tr>
      <w:tr w14:paraId="3654C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0335B90C">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4A97F498">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5A5776EB">
            <w:pPr>
              <w:spacing w:line="400" w:lineRule="exact"/>
              <w:jc w:val="center"/>
              <w:rPr>
                <w:rFonts w:hint="eastAsia" w:ascii="宋体" w:hAnsi="宋体" w:eastAsia="宋体" w:cs="宋体"/>
                <w:b/>
                <w:kern w:val="0"/>
                <w:sz w:val="21"/>
                <w:szCs w:val="21"/>
              </w:rPr>
            </w:pPr>
          </w:p>
        </w:tc>
        <w:tc>
          <w:tcPr>
            <w:tcW w:w="2018" w:type="dxa"/>
            <w:noWrap w:val="0"/>
            <w:vAlign w:val="center"/>
          </w:tcPr>
          <w:p w14:paraId="610C8A3B">
            <w:pPr>
              <w:pStyle w:val="38"/>
              <w:ind w:left="21" w:leftChars="10" w:right="57" w:rightChars="0"/>
              <w:jc w:val="center"/>
              <w:rPr>
                <w:rFonts w:hint="eastAsia" w:ascii="宋体" w:hAnsi="宋体" w:eastAsia="宋体" w:cs="宋体"/>
                <w:sz w:val="21"/>
                <w:szCs w:val="21"/>
              </w:rPr>
            </w:pPr>
            <w:r>
              <w:rPr>
                <w:rFonts w:hint="eastAsia" w:ascii="宋体" w:hAnsi="宋体" w:eastAsia="宋体" w:cs="宋体"/>
                <w:sz w:val="21"/>
                <w:szCs w:val="21"/>
              </w:rPr>
              <w:t>安全生产管理体系及保证措施</w:t>
            </w:r>
          </w:p>
        </w:tc>
        <w:tc>
          <w:tcPr>
            <w:tcW w:w="3438" w:type="dxa"/>
            <w:noWrap w:val="0"/>
            <w:vAlign w:val="center"/>
          </w:tcPr>
          <w:p w14:paraId="68A9CDBB">
            <w:pPr>
              <w:pStyle w:val="38"/>
              <w:spacing w:before="132"/>
              <w:ind w:left="21" w:leftChars="10" w:right="57" w:rightChars="0"/>
              <w:rPr>
                <w:rFonts w:hint="eastAsia" w:ascii="宋体" w:hAnsi="宋体" w:eastAsia="宋体" w:cs="宋体"/>
                <w:b/>
                <w:kern w:val="0"/>
                <w:sz w:val="21"/>
                <w:szCs w:val="21"/>
              </w:rPr>
            </w:pPr>
            <w:r>
              <w:rPr>
                <w:rFonts w:hint="eastAsia" w:ascii="宋体" w:hAnsi="宋体" w:eastAsia="宋体" w:cs="宋体"/>
                <w:sz w:val="21"/>
                <w:szCs w:val="21"/>
              </w:rPr>
              <w:t>根据编制内容的科学性、合理性、可行性进行打分。不提供不得分。</w:t>
            </w:r>
          </w:p>
        </w:tc>
        <w:tc>
          <w:tcPr>
            <w:tcW w:w="988" w:type="dxa"/>
            <w:noWrap w:val="0"/>
            <w:vAlign w:val="center"/>
          </w:tcPr>
          <w:p w14:paraId="582807F0">
            <w:pPr>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0-3分</w:t>
            </w:r>
          </w:p>
        </w:tc>
      </w:tr>
      <w:tr w14:paraId="248A7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5D02D485">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0FE5C917">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537157B1">
            <w:pPr>
              <w:spacing w:line="400" w:lineRule="exact"/>
              <w:jc w:val="center"/>
              <w:rPr>
                <w:rFonts w:hint="eastAsia" w:ascii="宋体" w:hAnsi="宋体" w:eastAsia="宋体" w:cs="宋体"/>
                <w:b/>
                <w:kern w:val="0"/>
                <w:sz w:val="21"/>
                <w:szCs w:val="21"/>
              </w:rPr>
            </w:pPr>
          </w:p>
        </w:tc>
        <w:tc>
          <w:tcPr>
            <w:tcW w:w="2018" w:type="dxa"/>
            <w:noWrap w:val="0"/>
            <w:vAlign w:val="center"/>
          </w:tcPr>
          <w:p w14:paraId="29CDDE7C">
            <w:pPr>
              <w:pStyle w:val="38"/>
              <w:ind w:left="21" w:leftChars="10" w:right="57" w:rightChars="0"/>
              <w:jc w:val="center"/>
              <w:rPr>
                <w:rFonts w:hint="eastAsia" w:ascii="宋体" w:hAnsi="宋体" w:eastAsia="宋体" w:cs="宋体"/>
                <w:sz w:val="21"/>
                <w:szCs w:val="21"/>
              </w:rPr>
            </w:pPr>
            <w:r>
              <w:rPr>
                <w:rFonts w:hint="eastAsia" w:ascii="宋体" w:hAnsi="宋体" w:eastAsia="宋体" w:cs="宋体"/>
                <w:sz w:val="21"/>
                <w:szCs w:val="21"/>
              </w:rPr>
              <w:t>环境保护、水土保持保证体系及保证措施</w:t>
            </w:r>
          </w:p>
        </w:tc>
        <w:tc>
          <w:tcPr>
            <w:tcW w:w="3438" w:type="dxa"/>
            <w:noWrap w:val="0"/>
            <w:vAlign w:val="center"/>
          </w:tcPr>
          <w:p w14:paraId="39B0C6C8">
            <w:pPr>
              <w:pStyle w:val="38"/>
              <w:spacing w:before="132"/>
              <w:ind w:left="21" w:leftChars="10" w:right="57" w:rightChars="0"/>
              <w:rPr>
                <w:rFonts w:hint="eastAsia" w:ascii="宋体" w:hAnsi="宋体" w:eastAsia="宋体" w:cs="宋体"/>
                <w:b/>
                <w:kern w:val="0"/>
                <w:sz w:val="21"/>
                <w:szCs w:val="21"/>
              </w:rPr>
            </w:pPr>
            <w:r>
              <w:rPr>
                <w:rFonts w:hint="eastAsia" w:ascii="宋体" w:hAnsi="宋体" w:eastAsia="宋体" w:cs="宋体"/>
                <w:sz w:val="21"/>
                <w:szCs w:val="21"/>
              </w:rPr>
              <w:t>根据编制内容的科学性、合理性、可行性进行打分。不提供不得分。</w:t>
            </w:r>
          </w:p>
        </w:tc>
        <w:tc>
          <w:tcPr>
            <w:tcW w:w="988" w:type="dxa"/>
            <w:noWrap w:val="0"/>
            <w:vAlign w:val="center"/>
          </w:tcPr>
          <w:p w14:paraId="07F70B0D">
            <w:pPr>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0-2分</w:t>
            </w:r>
          </w:p>
        </w:tc>
      </w:tr>
      <w:tr w14:paraId="0E9C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3ED13D85">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07D28C48">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77773BFF">
            <w:pPr>
              <w:spacing w:line="400" w:lineRule="exact"/>
              <w:jc w:val="center"/>
              <w:rPr>
                <w:rFonts w:hint="eastAsia" w:ascii="宋体" w:hAnsi="宋体" w:eastAsia="宋体" w:cs="宋体"/>
                <w:b/>
                <w:kern w:val="0"/>
                <w:sz w:val="21"/>
                <w:szCs w:val="21"/>
              </w:rPr>
            </w:pPr>
          </w:p>
        </w:tc>
        <w:tc>
          <w:tcPr>
            <w:tcW w:w="2018" w:type="dxa"/>
            <w:noWrap w:val="0"/>
            <w:vAlign w:val="center"/>
          </w:tcPr>
          <w:p w14:paraId="1F0CCA8B">
            <w:pPr>
              <w:pStyle w:val="38"/>
              <w:ind w:left="21" w:leftChars="10" w:right="57" w:rightChars="0"/>
              <w:jc w:val="center"/>
              <w:rPr>
                <w:rFonts w:hint="eastAsia" w:ascii="宋体" w:hAnsi="宋体" w:eastAsia="宋体" w:cs="宋体"/>
                <w:sz w:val="21"/>
                <w:szCs w:val="21"/>
              </w:rPr>
            </w:pPr>
            <w:r>
              <w:rPr>
                <w:rFonts w:hint="eastAsia" w:ascii="宋体" w:hAnsi="宋体" w:eastAsia="宋体" w:cs="宋体"/>
                <w:sz w:val="21"/>
                <w:szCs w:val="21"/>
              </w:rPr>
              <w:t>文明施工、文物保护保证体系及保证措施</w:t>
            </w:r>
          </w:p>
        </w:tc>
        <w:tc>
          <w:tcPr>
            <w:tcW w:w="3438" w:type="dxa"/>
            <w:noWrap w:val="0"/>
            <w:vAlign w:val="center"/>
          </w:tcPr>
          <w:p w14:paraId="74A668C2">
            <w:pPr>
              <w:pStyle w:val="38"/>
              <w:spacing w:before="132"/>
              <w:ind w:left="21" w:leftChars="10" w:right="57" w:rightChars="0"/>
              <w:rPr>
                <w:rFonts w:hint="eastAsia" w:ascii="宋体" w:hAnsi="宋体" w:eastAsia="宋体" w:cs="宋体"/>
                <w:b/>
                <w:kern w:val="0"/>
                <w:sz w:val="21"/>
                <w:szCs w:val="21"/>
              </w:rPr>
            </w:pPr>
            <w:r>
              <w:rPr>
                <w:rFonts w:hint="eastAsia" w:ascii="宋体" w:hAnsi="宋体" w:eastAsia="宋体" w:cs="宋体"/>
                <w:sz w:val="21"/>
                <w:szCs w:val="21"/>
              </w:rPr>
              <w:t>根据编制内容的科学性、合理性、可行性进行打分。不提供不得分。</w:t>
            </w:r>
          </w:p>
        </w:tc>
        <w:tc>
          <w:tcPr>
            <w:tcW w:w="988" w:type="dxa"/>
            <w:noWrap w:val="0"/>
            <w:vAlign w:val="center"/>
          </w:tcPr>
          <w:p w14:paraId="47980927">
            <w:pPr>
              <w:pStyle w:val="38"/>
              <w:tabs>
                <w:tab w:val="left" w:pos="451"/>
              </w:tabs>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0-2分</w:t>
            </w:r>
          </w:p>
        </w:tc>
      </w:tr>
      <w:tr w14:paraId="1443D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830" w:type="dxa"/>
            <w:vMerge w:val="continue"/>
            <w:noWrap w:val="0"/>
            <w:vAlign w:val="center"/>
          </w:tcPr>
          <w:p w14:paraId="0E082FDF">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498454F1">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1D9444FA">
            <w:pPr>
              <w:spacing w:line="400" w:lineRule="exact"/>
              <w:jc w:val="center"/>
              <w:rPr>
                <w:rFonts w:hint="eastAsia" w:ascii="宋体" w:hAnsi="宋体" w:eastAsia="宋体" w:cs="宋体"/>
                <w:b/>
                <w:kern w:val="0"/>
                <w:sz w:val="21"/>
                <w:szCs w:val="21"/>
              </w:rPr>
            </w:pPr>
          </w:p>
        </w:tc>
        <w:tc>
          <w:tcPr>
            <w:tcW w:w="2018" w:type="dxa"/>
            <w:noWrap w:val="0"/>
            <w:vAlign w:val="center"/>
          </w:tcPr>
          <w:p w14:paraId="4319CFA4">
            <w:pPr>
              <w:pStyle w:val="38"/>
              <w:ind w:left="21" w:leftChars="10" w:right="57" w:rightChars="0"/>
              <w:jc w:val="center"/>
              <w:rPr>
                <w:rFonts w:hint="eastAsia" w:ascii="宋体" w:hAnsi="宋体" w:eastAsia="宋体" w:cs="宋体"/>
                <w:sz w:val="21"/>
                <w:szCs w:val="21"/>
              </w:rPr>
            </w:pPr>
            <w:r>
              <w:rPr>
                <w:rFonts w:hint="eastAsia" w:ascii="宋体" w:hAnsi="宋体" w:eastAsia="宋体" w:cs="宋体"/>
                <w:sz w:val="21"/>
                <w:szCs w:val="21"/>
              </w:rPr>
              <w:t>项目风险预测与防范，事故应急预案</w:t>
            </w:r>
          </w:p>
        </w:tc>
        <w:tc>
          <w:tcPr>
            <w:tcW w:w="3438" w:type="dxa"/>
            <w:noWrap w:val="0"/>
            <w:vAlign w:val="center"/>
          </w:tcPr>
          <w:p w14:paraId="1650F132">
            <w:pPr>
              <w:pStyle w:val="38"/>
              <w:spacing w:before="132"/>
              <w:ind w:left="21" w:leftChars="10" w:right="57" w:rightChars="0"/>
              <w:rPr>
                <w:rFonts w:hint="eastAsia" w:ascii="宋体" w:hAnsi="宋体" w:eastAsia="宋体" w:cs="宋体"/>
                <w:b/>
                <w:kern w:val="0"/>
                <w:sz w:val="21"/>
                <w:szCs w:val="21"/>
              </w:rPr>
            </w:pPr>
            <w:r>
              <w:rPr>
                <w:rFonts w:hint="eastAsia" w:ascii="宋体" w:hAnsi="宋体" w:eastAsia="宋体" w:cs="宋体"/>
                <w:sz w:val="21"/>
                <w:szCs w:val="21"/>
              </w:rPr>
              <w:t>根据编制内容的科学性、合理性、可行性进行打分。不提供不得分。</w:t>
            </w:r>
          </w:p>
        </w:tc>
        <w:tc>
          <w:tcPr>
            <w:tcW w:w="988" w:type="dxa"/>
            <w:noWrap w:val="0"/>
            <w:vAlign w:val="center"/>
          </w:tcPr>
          <w:p w14:paraId="413686E7">
            <w:pPr>
              <w:ind w:left="21" w:leftChars="10" w:right="57" w:rightChars="0"/>
              <w:jc w:val="center"/>
              <w:rPr>
                <w:rFonts w:hint="eastAsia" w:ascii="宋体" w:hAnsi="宋体" w:eastAsia="宋体" w:cs="宋体"/>
                <w:b/>
                <w:kern w:val="0"/>
                <w:sz w:val="21"/>
                <w:szCs w:val="21"/>
              </w:rPr>
            </w:pPr>
            <w:r>
              <w:rPr>
                <w:rFonts w:hint="eastAsia" w:ascii="宋体" w:hAnsi="宋体" w:eastAsia="宋体" w:cs="宋体"/>
                <w:sz w:val="21"/>
                <w:szCs w:val="21"/>
              </w:rPr>
              <w:t>0-2分</w:t>
            </w:r>
          </w:p>
        </w:tc>
      </w:tr>
      <w:tr w14:paraId="4FCD3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0" w:hRule="atLeast"/>
          <w:jc w:val="center"/>
        </w:trPr>
        <w:tc>
          <w:tcPr>
            <w:tcW w:w="830" w:type="dxa"/>
            <w:noWrap w:val="0"/>
            <w:vAlign w:val="center"/>
          </w:tcPr>
          <w:p w14:paraId="509C740D">
            <w:pPr>
              <w:pStyle w:val="41"/>
              <w:spacing w:line="380" w:lineRule="exact"/>
              <w:jc w:val="center"/>
              <w:rPr>
                <w:rFonts w:hint="eastAsia" w:ascii="宋体" w:hAnsi="宋体" w:eastAsia="宋体" w:cs="宋体"/>
                <w:b/>
                <w:color w:val="auto"/>
                <w:kern w:val="0"/>
                <w:sz w:val="21"/>
                <w:szCs w:val="21"/>
              </w:rPr>
            </w:pPr>
            <w:r>
              <w:rPr>
                <w:rFonts w:hint="eastAsia" w:ascii="宋体" w:hAnsi="宋体" w:eastAsia="宋体" w:cs="宋体"/>
                <w:color w:val="auto"/>
                <w:sz w:val="21"/>
                <w:szCs w:val="21"/>
              </w:rPr>
              <w:t>2.2.4（2）</w:t>
            </w:r>
          </w:p>
        </w:tc>
        <w:tc>
          <w:tcPr>
            <w:tcW w:w="1168" w:type="dxa"/>
            <w:gridSpan w:val="2"/>
            <w:noWrap w:val="0"/>
            <w:vAlign w:val="center"/>
          </w:tcPr>
          <w:p w14:paraId="155758ED">
            <w:pPr>
              <w:pStyle w:val="41"/>
              <w:spacing w:line="380" w:lineRule="exact"/>
              <w:jc w:val="center"/>
              <w:rPr>
                <w:rFonts w:hint="eastAsia" w:ascii="宋体" w:hAnsi="宋体" w:eastAsia="宋体" w:cs="宋体"/>
                <w:b/>
                <w:color w:val="auto"/>
                <w:kern w:val="0"/>
                <w:sz w:val="21"/>
                <w:szCs w:val="21"/>
              </w:rPr>
            </w:pPr>
            <w:r>
              <w:rPr>
                <w:rFonts w:hint="eastAsia" w:ascii="宋体" w:hAnsi="宋体" w:eastAsia="宋体" w:cs="宋体"/>
                <w:color w:val="auto"/>
                <w:sz w:val="21"/>
                <w:szCs w:val="21"/>
              </w:rPr>
              <w:t>主要人员</w:t>
            </w:r>
          </w:p>
        </w:tc>
        <w:tc>
          <w:tcPr>
            <w:tcW w:w="1434" w:type="dxa"/>
            <w:gridSpan w:val="2"/>
            <w:noWrap w:val="0"/>
            <w:vAlign w:val="center"/>
          </w:tcPr>
          <w:p w14:paraId="127B6B97">
            <w:pPr>
              <w:spacing w:line="400" w:lineRule="exact"/>
              <w:jc w:val="center"/>
              <w:rPr>
                <w:rFonts w:hint="eastAsia" w:ascii="宋体" w:hAnsi="宋体" w:eastAsia="宋体" w:cs="宋体"/>
                <w:b/>
                <w:color w:val="auto"/>
                <w:kern w:val="0"/>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分</w:t>
            </w:r>
          </w:p>
        </w:tc>
        <w:tc>
          <w:tcPr>
            <w:tcW w:w="2018" w:type="dxa"/>
            <w:noWrap w:val="0"/>
            <w:vAlign w:val="center"/>
          </w:tcPr>
          <w:p w14:paraId="5164D223">
            <w:pPr>
              <w:pStyle w:val="38"/>
              <w:spacing w:before="132"/>
              <w:ind w:left="21" w:leftChars="10" w:right="57" w:rightChars="0"/>
              <w:jc w:val="center"/>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主要人员业绩</w:t>
            </w:r>
          </w:p>
        </w:tc>
        <w:tc>
          <w:tcPr>
            <w:tcW w:w="3438" w:type="dxa"/>
            <w:noWrap w:val="0"/>
            <w:vAlign w:val="center"/>
          </w:tcPr>
          <w:p w14:paraId="5D73E7D5">
            <w:pPr>
              <w:pStyle w:val="38"/>
              <w:spacing w:before="132"/>
              <w:ind w:left="21" w:leftChars="10" w:right="57" w:righ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1.拟派项目经理2023年1月1日以来承担过</w:t>
            </w:r>
            <w:r>
              <w:rPr>
                <w:rFonts w:hint="eastAsia" w:ascii="宋体" w:hAnsi="宋体" w:cs="宋体"/>
                <w:color w:val="auto"/>
                <w:sz w:val="21"/>
                <w:szCs w:val="21"/>
                <w:lang w:val="en-US" w:eastAsia="zh-CN"/>
              </w:rPr>
              <w:t>1项</w:t>
            </w:r>
            <w:r>
              <w:rPr>
                <w:rFonts w:hint="eastAsia" w:ascii="宋体" w:hAnsi="宋体" w:eastAsia="宋体" w:cs="宋体"/>
                <w:color w:val="auto"/>
                <w:sz w:val="21"/>
                <w:szCs w:val="21"/>
                <w:lang w:val="en-US" w:eastAsia="zh-CN"/>
              </w:rPr>
              <w:t>公路工程项目施工业绩得5分，没有不得分。</w:t>
            </w:r>
          </w:p>
          <w:p w14:paraId="134FE3A7">
            <w:pPr>
              <w:pStyle w:val="38"/>
              <w:spacing w:before="132"/>
              <w:ind w:left="21" w:leftChars="10" w:right="57" w:right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2.拟派项目总工2023年1月1日以来承担过1项公路工程项目施工业绩得5分，没有不得分。</w:t>
            </w:r>
          </w:p>
          <w:p w14:paraId="383683BE">
            <w:pPr>
              <w:pStyle w:val="38"/>
              <w:spacing w:before="132"/>
              <w:ind w:left="21" w:leftChars="10" w:right="57" w:rightChars="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注：业绩须提供施工合同、中标通知书原件扫描件及中标公示网页截图，以合同签订时间为准</w:t>
            </w:r>
            <w:r>
              <w:rPr>
                <w:rFonts w:hint="eastAsia" w:ascii="宋体" w:hAnsi="宋体" w:cs="宋体"/>
                <w:color w:val="auto"/>
                <w:sz w:val="21"/>
                <w:szCs w:val="21"/>
                <w:lang w:val="en-US" w:eastAsia="zh-CN"/>
              </w:rPr>
              <w:t>，项目经理、项目总工业绩和公司业绩可为同一业绩重复使用</w:t>
            </w:r>
            <w:r>
              <w:rPr>
                <w:rFonts w:hint="eastAsia" w:ascii="宋体" w:hAnsi="宋体" w:eastAsia="宋体" w:cs="宋体"/>
                <w:color w:val="auto"/>
                <w:sz w:val="21"/>
                <w:szCs w:val="21"/>
                <w:highlight w:val="none"/>
                <w:shd w:val="clear"/>
                <w:lang w:val="en-US" w:eastAsia="zh-CN"/>
              </w:rPr>
              <w:t>。</w:t>
            </w:r>
          </w:p>
        </w:tc>
        <w:tc>
          <w:tcPr>
            <w:tcW w:w="988" w:type="dxa"/>
            <w:noWrap w:val="0"/>
            <w:vAlign w:val="center"/>
          </w:tcPr>
          <w:p w14:paraId="2BC1885C">
            <w:pPr>
              <w:pStyle w:val="38"/>
              <w:spacing w:before="132"/>
              <w:ind w:left="21" w:leftChars="10" w:right="57" w:rightChars="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0-10分</w:t>
            </w:r>
          </w:p>
        </w:tc>
      </w:tr>
      <w:tr w14:paraId="267BC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noWrap w:val="0"/>
            <w:vAlign w:val="center"/>
          </w:tcPr>
          <w:p w14:paraId="4F917CF4">
            <w:pPr>
              <w:pStyle w:val="41"/>
              <w:spacing w:line="380" w:lineRule="exact"/>
              <w:jc w:val="center"/>
              <w:rPr>
                <w:rFonts w:hint="eastAsia" w:ascii="宋体" w:hAnsi="宋体" w:eastAsia="宋体" w:cs="宋体"/>
                <w:b/>
                <w:kern w:val="0"/>
                <w:sz w:val="21"/>
                <w:szCs w:val="21"/>
              </w:rPr>
            </w:pPr>
            <w:r>
              <w:rPr>
                <w:rFonts w:hint="eastAsia" w:ascii="宋体" w:hAnsi="宋体" w:eastAsia="宋体" w:cs="宋体"/>
                <w:sz w:val="21"/>
                <w:szCs w:val="21"/>
              </w:rPr>
              <w:t>2.2.4（3）</w:t>
            </w:r>
          </w:p>
        </w:tc>
        <w:tc>
          <w:tcPr>
            <w:tcW w:w="1168" w:type="dxa"/>
            <w:gridSpan w:val="2"/>
            <w:noWrap w:val="0"/>
            <w:vAlign w:val="center"/>
          </w:tcPr>
          <w:p w14:paraId="6E72CF66">
            <w:pPr>
              <w:pStyle w:val="41"/>
              <w:spacing w:line="380" w:lineRule="exact"/>
              <w:jc w:val="center"/>
              <w:rPr>
                <w:rFonts w:hint="eastAsia" w:ascii="宋体" w:hAnsi="宋体" w:eastAsia="宋体" w:cs="宋体"/>
                <w:b/>
                <w:kern w:val="0"/>
                <w:sz w:val="21"/>
                <w:szCs w:val="21"/>
              </w:rPr>
            </w:pPr>
            <w:r>
              <w:rPr>
                <w:rFonts w:hint="eastAsia" w:ascii="宋体" w:hAnsi="宋体" w:eastAsia="宋体" w:cs="宋体"/>
                <w:sz w:val="21"/>
                <w:szCs w:val="21"/>
              </w:rPr>
              <w:t>评标价</w:t>
            </w:r>
          </w:p>
        </w:tc>
        <w:tc>
          <w:tcPr>
            <w:tcW w:w="1434" w:type="dxa"/>
            <w:gridSpan w:val="2"/>
            <w:noWrap w:val="0"/>
            <w:vAlign w:val="center"/>
          </w:tcPr>
          <w:p w14:paraId="0854AC3F">
            <w:pPr>
              <w:adjustRightInd w:val="0"/>
              <w:snapToGrid w:val="0"/>
              <w:spacing w:line="360" w:lineRule="auto"/>
              <w:jc w:val="center"/>
              <w:rPr>
                <w:rFonts w:hint="eastAsia" w:ascii="宋体" w:hAnsi="宋体" w:eastAsia="宋体" w:cs="宋体"/>
                <w:b/>
                <w:kern w:val="0"/>
                <w:sz w:val="21"/>
                <w:szCs w:val="21"/>
              </w:rPr>
            </w:pPr>
            <w:r>
              <w:rPr>
                <w:rFonts w:hint="eastAsia" w:ascii="宋体" w:hAnsi="宋体" w:eastAsia="宋体" w:cs="宋体"/>
                <w:sz w:val="21"/>
                <w:szCs w:val="21"/>
              </w:rPr>
              <w:t>50分</w:t>
            </w:r>
          </w:p>
        </w:tc>
        <w:tc>
          <w:tcPr>
            <w:tcW w:w="6444" w:type="dxa"/>
            <w:gridSpan w:val="3"/>
            <w:noWrap w:val="0"/>
            <w:vAlign w:val="center"/>
          </w:tcPr>
          <w:p w14:paraId="5CD08C52">
            <w:pPr>
              <w:pStyle w:val="41"/>
              <w:spacing w:line="380" w:lineRule="exact"/>
              <w:rPr>
                <w:rFonts w:hint="eastAsia" w:ascii="宋体" w:hAnsi="宋体" w:eastAsia="宋体" w:cs="宋体"/>
                <w:sz w:val="21"/>
                <w:szCs w:val="21"/>
              </w:rPr>
            </w:pPr>
            <w:r>
              <w:rPr>
                <w:rFonts w:hint="eastAsia" w:ascii="宋体" w:hAnsi="宋体" w:eastAsia="宋体" w:cs="宋体"/>
                <w:sz w:val="21"/>
                <w:szCs w:val="21"/>
              </w:rPr>
              <w:t>评标价得分计算公式：</w:t>
            </w:r>
          </w:p>
          <w:p w14:paraId="6F81B52E">
            <w:pPr>
              <w:pStyle w:val="41"/>
              <w:spacing w:line="380" w:lineRule="exact"/>
              <w:rPr>
                <w:rFonts w:hint="eastAsia" w:ascii="宋体" w:hAnsi="宋体" w:eastAsia="宋体" w:cs="宋体"/>
                <w:sz w:val="21"/>
                <w:szCs w:val="21"/>
              </w:rPr>
            </w:pPr>
            <w:r>
              <w:rPr>
                <w:rFonts w:hint="eastAsia" w:ascii="宋体" w:hAnsi="宋体" w:eastAsia="宋体" w:cs="宋体"/>
                <w:sz w:val="21"/>
                <w:szCs w:val="21"/>
              </w:rPr>
              <w:t>（1）如果投标人的评标价＞评标基准价，则评标价得分=50-偏差率×100×E1；</w:t>
            </w:r>
          </w:p>
          <w:p w14:paraId="2830BBD6">
            <w:pPr>
              <w:pStyle w:val="41"/>
              <w:spacing w:line="380" w:lineRule="exact"/>
              <w:rPr>
                <w:rFonts w:hint="eastAsia" w:ascii="宋体" w:hAnsi="宋体" w:eastAsia="宋体" w:cs="宋体"/>
                <w:sz w:val="21"/>
                <w:szCs w:val="21"/>
              </w:rPr>
            </w:pPr>
            <w:r>
              <w:rPr>
                <w:rFonts w:hint="eastAsia" w:ascii="宋体" w:hAnsi="宋体" w:eastAsia="宋体" w:cs="宋体"/>
                <w:sz w:val="21"/>
                <w:szCs w:val="21"/>
              </w:rPr>
              <w:t>（2）如果投标人的评标价≤评标基准价，则评标价得分=50+偏差率×100×E2。</w:t>
            </w:r>
          </w:p>
          <w:p w14:paraId="4F47355F">
            <w:pPr>
              <w:spacing w:line="400" w:lineRule="exact"/>
              <w:jc w:val="center"/>
              <w:rPr>
                <w:rFonts w:hint="eastAsia" w:ascii="宋体" w:hAnsi="宋体" w:eastAsia="宋体" w:cs="宋体"/>
                <w:b/>
                <w:kern w:val="0"/>
                <w:sz w:val="21"/>
                <w:szCs w:val="21"/>
              </w:rPr>
            </w:pPr>
            <w:r>
              <w:rPr>
                <w:rFonts w:hint="eastAsia" w:ascii="宋体" w:hAnsi="宋体" w:eastAsia="宋体" w:cs="宋体"/>
                <w:sz w:val="21"/>
                <w:szCs w:val="21"/>
              </w:rPr>
              <w:t>其中：E1 是评标价每高于评标基准价一个百分点的扣分值(1分)；E2 是评标价每低于评标基准价一个百分点的扣分值（0.5 分）。</w:t>
            </w:r>
          </w:p>
        </w:tc>
      </w:tr>
      <w:tr w14:paraId="6138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restart"/>
            <w:noWrap w:val="0"/>
            <w:vAlign w:val="center"/>
          </w:tcPr>
          <w:p w14:paraId="42440F5B">
            <w:pPr>
              <w:pStyle w:val="41"/>
              <w:spacing w:line="380" w:lineRule="exact"/>
              <w:jc w:val="center"/>
              <w:rPr>
                <w:rFonts w:hint="eastAsia" w:ascii="宋体" w:hAnsi="宋体" w:eastAsia="宋体" w:cs="宋体"/>
                <w:b/>
                <w:kern w:val="0"/>
                <w:sz w:val="21"/>
                <w:szCs w:val="21"/>
              </w:rPr>
            </w:pPr>
            <w:r>
              <w:rPr>
                <w:rFonts w:hint="eastAsia" w:ascii="宋体" w:hAnsi="宋体" w:eastAsia="宋体" w:cs="宋体"/>
                <w:sz w:val="21"/>
                <w:szCs w:val="21"/>
              </w:rPr>
              <w:t>2.2.4（4）</w:t>
            </w:r>
          </w:p>
        </w:tc>
        <w:tc>
          <w:tcPr>
            <w:tcW w:w="1168" w:type="dxa"/>
            <w:gridSpan w:val="2"/>
            <w:vMerge w:val="restart"/>
            <w:noWrap w:val="0"/>
            <w:vAlign w:val="center"/>
          </w:tcPr>
          <w:p w14:paraId="088B1598">
            <w:pPr>
              <w:pStyle w:val="41"/>
              <w:spacing w:line="380" w:lineRule="exact"/>
              <w:jc w:val="center"/>
              <w:rPr>
                <w:rFonts w:hint="eastAsia" w:ascii="宋体" w:hAnsi="宋体" w:eastAsia="宋体" w:cs="宋体"/>
                <w:b/>
                <w:kern w:val="0"/>
                <w:sz w:val="21"/>
                <w:szCs w:val="21"/>
              </w:rPr>
            </w:pPr>
            <w:r>
              <w:rPr>
                <w:rFonts w:hint="eastAsia" w:ascii="宋体" w:hAnsi="宋体" w:eastAsia="宋体" w:cs="宋体"/>
                <w:sz w:val="21"/>
                <w:szCs w:val="21"/>
              </w:rPr>
              <w:t>其他因素</w:t>
            </w:r>
          </w:p>
        </w:tc>
        <w:tc>
          <w:tcPr>
            <w:tcW w:w="1434" w:type="dxa"/>
            <w:gridSpan w:val="2"/>
            <w:vMerge w:val="restart"/>
            <w:noWrap w:val="0"/>
            <w:vAlign w:val="center"/>
          </w:tcPr>
          <w:p w14:paraId="68523242">
            <w:pPr>
              <w:spacing w:line="400" w:lineRule="exact"/>
              <w:jc w:val="center"/>
              <w:rPr>
                <w:rFonts w:hint="eastAsia" w:ascii="宋体" w:hAnsi="宋体" w:eastAsia="宋体" w:cs="宋体"/>
                <w:b/>
                <w:kern w:val="0"/>
                <w:sz w:val="21"/>
                <w:szCs w:val="21"/>
              </w:rPr>
            </w:pPr>
            <w:r>
              <w:rPr>
                <w:rFonts w:hint="eastAsia" w:ascii="宋体" w:hAnsi="宋体" w:eastAsia="宋体" w:cs="宋体"/>
                <w:sz w:val="21"/>
                <w:szCs w:val="21"/>
              </w:rPr>
              <w:t>20分</w:t>
            </w:r>
          </w:p>
        </w:tc>
        <w:tc>
          <w:tcPr>
            <w:tcW w:w="2018" w:type="dxa"/>
            <w:noWrap w:val="0"/>
            <w:vAlign w:val="center"/>
          </w:tcPr>
          <w:p w14:paraId="16A6F134">
            <w:pPr>
              <w:spacing w:line="400" w:lineRule="exact"/>
              <w:jc w:val="center"/>
              <w:rPr>
                <w:rFonts w:hint="default" w:ascii="宋体" w:hAnsi="宋体" w:eastAsia="宋体" w:cs="宋体"/>
                <w:b w:val="0"/>
                <w:bCs w:val="0"/>
                <w:kern w:val="0"/>
                <w:sz w:val="21"/>
                <w:szCs w:val="21"/>
                <w:lang w:val="en-US" w:eastAsia="zh-CN"/>
              </w:rPr>
            </w:pPr>
            <w:r>
              <w:rPr>
                <w:rFonts w:hint="eastAsia" w:ascii="宋体" w:hAnsi="宋体" w:eastAsia="宋体" w:cs="宋体"/>
                <w:b w:val="0"/>
                <w:bCs w:val="0"/>
                <w:sz w:val="21"/>
                <w:szCs w:val="21"/>
              </w:rPr>
              <w:t>履约尽责</w:t>
            </w:r>
          </w:p>
        </w:tc>
        <w:tc>
          <w:tcPr>
            <w:tcW w:w="3438" w:type="dxa"/>
            <w:noWrap w:val="0"/>
            <w:vAlign w:val="center"/>
          </w:tcPr>
          <w:p w14:paraId="2F446A1A">
            <w:pPr>
              <w:pStyle w:val="28"/>
              <w:spacing w:line="240" w:lineRule="auto"/>
              <w:ind w:firstLine="0" w:firstLineChars="0"/>
              <w:jc w:val="both"/>
              <w:rPr>
                <w:rFonts w:hint="eastAsia" w:ascii="宋体" w:hAnsi="宋体" w:eastAsia="宋体" w:cs="宋体"/>
                <w:b/>
                <w:kern w:val="0"/>
                <w:sz w:val="21"/>
                <w:szCs w:val="21"/>
              </w:rPr>
            </w:pPr>
            <w:r>
              <w:rPr>
                <w:rFonts w:hint="eastAsia" w:ascii="宋体" w:hAnsi="宋体" w:eastAsia="宋体" w:cs="宋体"/>
                <w:b w:val="0"/>
                <w:bCs/>
                <w:sz w:val="21"/>
                <w:szCs w:val="21"/>
              </w:rPr>
              <w:t>编制内容具有全面、详实、可行、合法有效的书面保证技术措施落实到位的承诺和落实不到位的处理承诺，其中包括各关键岗位人员的在岗、更换等履职尽责承诺，提供承包商履约保证。评标委员会根据投标文件表述的具体内容酌情打分。不提供不得分。</w:t>
            </w:r>
          </w:p>
        </w:tc>
        <w:tc>
          <w:tcPr>
            <w:tcW w:w="988" w:type="dxa"/>
            <w:noWrap w:val="0"/>
            <w:vAlign w:val="center"/>
          </w:tcPr>
          <w:p w14:paraId="7B5EE663">
            <w:pPr>
              <w:spacing w:line="400" w:lineRule="exact"/>
              <w:jc w:val="center"/>
              <w:rPr>
                <w:rFonts w:hint="eastAsia" w:ascii="宋体" w:hAnsi="宋体" w:eastAsia="宋体" w:cs="宋体"/>
                <w:b/>
                <w:kern w:val="0"/>
                <w:sz w:val="21"/>
                <w:szCs w:val="21"/>
              </w:rPr>
            </w:pPr>
            <w:r>
              <w:rPr>
                <w:rFonts w:hint="eastAsia" w:ascii="宋体" w:hAnsi="宋体" w:eastAsia="宋体" w:cs="宋体"/>
                <w:kern w:val="0"/>
                <w:sz w:val="21"/>
                <w:szCs w:val="21"/>
                <w:lang w:val="en-US" w:eastAsia="zh-CN"/>
              </w:rPr>
              <w:t>0</w:t>
            </w:r>
            <w:r>
              <w:rPr>
                <w:rFonts w:hint="eastAsia" w:ascii="宋体" w:hAnsi="宋体" w:eastAsia="宋体" w:cs="宋体"/>
                <w:kern w:val="0"/>
                <w:sz w:val="21"/>
                <w:szCs w:val="21"/>
              </w:rPr>
              <w:t>-</w:t>
            </w:r>
            <w:r>
              <w:rPr>
                <w:rFonts w:hint="eastAsia" w:ascii="宋体" w:hAnsi="宋体" w:cs="宋体"/>
                <w:kern w:val="0"/>
                <w:sz w:val="21"/>
                <w:szCs w:val="21"/>
                <w:lang w:val="en-US" w:eastAsia="zh-CN"/>
              </w:rPr>
              <w:t>5</w:t>
            </w:r>
            <w:r>
              <w:rPr>
                <w:rFonts w:hint="eastAsia" w:ascii="宋体" w:hAnsi="宋体" w:eastAsia="宋体" w:cs="宋体"/>
                <w:kern w:val="0"/>
                <w:sz w:val="21"/>
                <w:szCs w:val="21"/>
              </w:rPr>
              <w:t>分</w:t>
            </w:r>
          </w:p>
        </w:tc>
      </w:tr>
      <w:tr w14:paraId="27519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18A53192">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24895D3A">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6B3B4F1B">
            <w:pPr>
              <w:spacing w:line="400" w:lineRule="exact"/>
              <w:jc w:val="center"/>
              <w:rPr>
                <w:rFonts w:hint="eastAsia" w:ascii="宋体" w:hAnsi="宋体" w:eastAsia="宋体" w:cs="宋体"/>
                <w:b/>
                <w:kern w:val="0"/>
                <w:sz w:val="21"/>
                <w:szCs w:val="21"/>
              </w:rPr>
            </w:pPr>
          </w:p>
        </w:tc>
        <w:tc>
          <w:tcPr>
            <w:tcW w:w="2018" w:type="dxa"/>
            <w:noWrap w:val="0"/>
            <w:vAlign w:val="center"/>
          </w:tcPr>
          <w:p w14:paraId="0827C584">
            <w:pPr>
              <w:spacing w:line="400" w:lineRule="exact"/>
              <w:jc w:val="center"/>
              <w:rPr>
                <w:rFonts w:hint="eastAsia" w:ascii="宋体" w:hAnsi="宋体" w:eastAsia="宋体" w:cs="宋体"/>
                <w:b w:val="0"/>
                <w:bCs w:val="0"/>
                <w:kern w:val="0"/>
                <w:sz w:val="21"/>
                <w:szCs w:val="21"/>
              </w:rPr>
            </w:pPr>
            <w:r>
              <w:rPr>
                <w:rFonts w:hint="eastAsia" w:ascii="宋体" w:hAnsi="宋体" w:eastAsia="宋体" w:cs="宋体"/>
                <w:b w:val="0"/>
                <w:bCs w:val="0"/>
                <w:sz w:val="21"/>
                <w:szCs w:val="21"/>
              </w:rPr>
              <w:t>优惠承诺</w:t>
            </w:r>
          </w:p>
        </w:tc>
        <w:tc>
          <w:tcPr>
            <w:tcW w:w="3438" w:type="dxa"/>
            <w:noWrap w:val="0"/>
            <w:vAlign w:val="center"/>
          </w:tcPr>
          <w:p w14:paraId="32BFED39">
            <w:pPr>
              <w:pStyle w:val="28"/>
              <w:spacing w:line="240" w:lineRule="auto"/>
              <w:ind w:firstLine="0" w:firstLineChars="0"/>
              <w:jc w:val="both"/>
              <w:rPr>
                <w:rFonts w:hint="eastAsia" w:ascii="宋体" w:hAnsi="宋体" w:eastAsia="宋体" w:cs="宋体"/>
                <w:b/>
                <w:kern w:val="0"/>
                <w:sz w:val="21"/>
                <w:szCs w:val="21"/>
              </w:rPr>
            </w:pPr>
            <w:r>
              <w:rPr>
                <w:rFonts w:hint="eastAsia" w:ascii="宋体" w:hAnsi="宋体" w:eastAsia="宋体" w:cs="宋体"/>
                <w:b w:val="0"/>
                <w:bCs/>
                <w:sz w:val="21"/>
                <w:szCs w:val="21"/>
              </w:rPr>
              <w:t>投标人针对招标项目的特点和要求，结合自身条件和潜力做出优惠和服务承诺。由评标委员会根据投标文件表述的具体内容酌情打分。不提供不得分。</w:t>
            </w:r>
          </w:p>
        </w:tc>
        <w:tc>
          <w:tcPr>
            <w:tcW w:w="988" w:type="dxa"/>
            <w:noWrap w:val="0"/>
            <w:vAlign w:val="center"/>
          </w:tcPr>
          <w:p w14:paraId="20323E29">
            <w:pPr>
              <w:spacing w:line="400" w:lineRule="exact"/>
              <w:jc w:val="center"/>
              <w:rPr>
                <w:rFonts w:hint="eastAsia" w:ascii="宋体" w:hAnsi="宋体" w:eastAsia="宋体" w:cs="宋体"/>
                <w:b/>
                <w:kern w:val="0"/>
                <w:sz w:val="21"/>
                <w:szCs w:val="21"/>
              </w:rPr>
            </w:pPr>
            <w:r>
              <w:rPr>
                <w:rFonts w:hint="eastAsia" w:ascii="宋体" w:hAnsi="宋体" w:eastAsia="宋体" w:cs="宋体"/>
                <w:kern w:val="0"/>
                <w:sz w:val="21"/>
                <w:szCs w:val="21"/>
              </w:rPr>
              <w:t>0-</w:t>
            </w:r>
            <w:r>
              <w:rPr>
                <w:rFonts w:hint="eastAsia" w:ascii="宋体" w:hAnsi="宋体" w:cs="宋体"/>
                <w:kern w:val="0"/>
                <w:sz w:val="21"/>
                <w:szCs w:val="21"/>
                <w:lang w:val="en-US" w:eastAsia="zh-CN"/>
              </w:rPr>
              <w:t>5</w:t>
            </w:r>
            <w:r>
              <w:rPr>
                <w:rFonts w:hint="eastAsia" w:ascii="宋体" w:hAnsi="宋体" w:eastAsia="宋体" w:cs="宋体"/>
                <w:kern w:val="0"/>
                <w:sz w:val="21"/>
                <w:szCs w:val="21"/>
              </w:rPr>
              <w:t>分</w:t>
            </w:r>
          </w:p>
        </w:tc>
      </w:tr>
      <w:tr w14:paraId="68CB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7B0D7A63">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5C2E4E24">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658454CB">
            <w:pPr>
              <w:spacing w:line="400" w:lineRule="exact"/>
              <w:jc w:val="center"/>
              <w:rPr>
                <w:rFonts w:hint="eastAsia" w:ascii="宋体" w:hAnsi="宋体" w:eastAsia="宋体" w:cs="宋体"/>
                <w:b/>
                <w:kern w:val="0"/>
                <w:sz w:val="21"/>
                <w:szCs w:val="21"/>
              </w:rPr>
            </w:pPr>
          </w:p>
        </w:tc>
        <w:tc>
          <w:tcPr>
            <w:tcW w:w="2018" w:type="dxa"/>
            <w:noWrap w:val="0"/>
            <w:vAlign w:val="center"/>
          </w:tcPr>
          <w:p w14:paraId="3794A4CF">
            <w:pPr>
              <w:spacing w:line="400" w:lineRule="exact"/>
              <w:jc w:val="center"/>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技术能力</w:t>
            </w:r>
          </w:p>
        </w:tc>
        <w:tc>
          <w:tcPr>
            <w:tcW w:w="3438" w:type="dxa"/>
            <w:noWrap w:val="0"/>
            <w:vAlign w:val="center"/>
          </w:tcPr>
          <w:p w14:paraId="4AED9684">
            <w:pPr>
              <w:spacing w:line="400" w:lineRule="exact"/>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拟投入的施工机械型号、数量完全覆盖工程所有关键工序需求，设备配置科学合理；同时提供的技术方案整体完善且具有前瞻性，采用先进工艺并包含创新技术的，得5分；</w:t>
            </w:r>
          </w:p>
          <w:p w14:paraId="24E09EDC">
            <w:pPr>
              <w:spacing w:line="400" w:lineRule="exact"/>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拟投入施工机械基本满足施工需求，设备型号及数量可支撑工程实施；技术方案可行，采用行业规范工艺，得3分；</w:t>
            </w:r>
          </w:p>
          <w:p w14:paraId="6AC8858F">
            <w:pPr>
              <w:spacing w:line="400" w:lineRule="exact"/>
              <w:jc w:val="lef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存在关键施工机械缺失，无法满足工序要求的情况得0分</w:t>
            </w:r>
            <w:r>
              <w:rPr>
                <w:rFonts w:hint="eastAsia" w:ascii="宋体" w:hAnsi="宋体" w:eastAsia="宋体" w:cs="宋体"/>
                <w:b w:val="0"/>
                <w:bCs w:val="0"/>
                <w:sz w:val="21"/>
                <w:szCs w:val="21"/>
              </w:rPr>
              <w:t>。</w:t>
            </w:r>
          </w:p>
        </w:tc>
        <w:tc>
          <w:tcPr>
            <w:tcW w:w="988" w:type="dxa"/>
            <w:noWrap w:val="0"/>
            <w:vAlign w:val="center"/>
          </w:tcPr>
          <w:p w14:paraId="6D67ED09">
            <w:pPr>
              <w:spacing w:line="40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0-</w:t>
            </w:r>
            <w:r>
              <w:rPr>
                <w:rFonts w:hint="eastAsia" w:ascii="宋体" w:hAnsi="宋体" w:cs="宋体"/>
                <w:kern w:val="0"/>
                <w:sz w:val="21"/>
                <w:szCs w:val="21"/>
                <w:lang w:val="en-US" w:eastAsia="zh-CN"/>
              </w:rPr>
              <w:t>5</w:t>
            </w:r>
            <w:r>
              <w:rPr>
                <w:rFonts w:hint="eastAsia" w:ascii="宋体" w:hAnsi="宋体" w:eastAsia="宋体" w:cs="宋体"/>
                <w:kern w:val="0"/>
                <w:sz w:val="21"/>
                <w:szCs w:val="21"/>
              </w:rPr>
              <w:t>分</w:t>
            </w:r>
          </w:p>
        </w:tc>
      </w:tr>
      <w:tr w14:paraId="73E5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0" w:type="dxa"/>
            <w:vMerge w:val="continue"/>
            <w:noWrap w:val="0"/>
            <w:vAlign w:val="center"/>
          </w:tcPr>
          <w:p w14:paraId="0834DC31">
            <w:pPr>
              <w:spacing w:line="400" w:lineRule="exact"/>
              <w:jc w:val="center"/>
              <w:rPr>
                <w:rFonts w:hint="eastAsia" w:ascii="宋体" w:hAnsi="宋体" w:eastAsia="宋体" w:cs="宋体"/>
                <w:b/>
                <w:kern w:val="0"/>
                <w:sz w:val="21"/>
                <w:szCs w:val="21"/>
              </w:rPr>
            </w:pPr>
          </w:p>
        </w:tc>
        <w:tc>
          <w:tcPr>
            <w:tcW w:w="1168" w:type="dxa"/>
            <w:gridSpan w:val="2"/>
            <w:vMerge w:val="continue"/>
            <w:noWrap w:val="0"/>
            <w:vAlign w:val="center"/>
          </w:tcPr>
          <w:p w14:paraId="5E7E7D04">
            <w:pPr>
              <w:spacing w:line="400" w:lineRule="exact"/>
              <w:jc w:val="center"/>
              <w:rPr>
                <w:rFonts w:hint="eastAsia" w:ascii="宋体" w:hAnsi="宋体" w:eastAsia="宋体" w:cs="宋体"/>
                <w:b/>
                <w:kern w:val="0"/>
                <w:sz w:val="21"/>
                <w:szCs w:val="21"/>
              </w:rPr>
            </w:pPr>
          </w:p>
        </w:tc>
        <w:tc>
          <w:tcPr>
            <w:tcW w:w="1434" w:type="dxa"/>
            <w:gridSpan w:val="2"/>
            <w:vMerge w:val="continue"/>
            <w:noWrap w:val="0"/>
            <w:vAlign w:val="center"/>
          </w:tcPr>
          <w:p w14:paraId="644BE30E">
            <w:pPr>
              <w:spacing w:line="400" w:lineRule="exact"/>
              <w:jc w:val="center"/>
              <w:rPr>
                <w:rFonts w:hint="eastAsia" w:ascii="宋体" w:hAnsi="宋体" w:eastAsia="宋体" w:cs="宋体"/>
                <w:b/>
                <w:kern w:val="0"/>
                <w:sz w:val="21"/>
                <w:szCs w:val="21"/>
              </w:rPr>
            </w:pPr>
          </w:p>
        </w:tc>
        <w:tc>
          <w:tcPr>
            <w:tcW w:w="2018" w:type="dxa"/>
            <w:noWrap w:val="0"/>
            <w:vAlign w:val="center"/>
          </w:tcPr>
          <w:p w14:paraId="0F5F5242">
            <w:pPr>
              <w:spacing w:line="400" w:lineRule="exact"/>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color w:val="auto"/>
                <w:sz w:val="21"/>
                <w:szCs w:val="21"/>
                <w:lang w:eastAsia="zh-CN"/>
              </w:rPr>
              <w:t>企业</w:t>
            </w:r>
            <w:r>
              <w:rPr>
                <w:rFonts w:hint="eastAsia" w:ascii="宋体" w:hAnsi="宋体" w:eastAsia="宋体" w:cs="宋体"/>
                <w:b w:val="0"/>
                <w:bCs w:val="0"/>
                <w:color w:val="auto"/>
                <w:sz w:val="21"/>
                <w:szCs w:val="21"/>
              </w:rPr>
              <w:t>业绩</w:t>
            </w:r>
          </w:p>
        </w:tc>
        <w:tc>
          <w:tcPr>
            <w:tcW w:w="3438" w:type="dxa"/>
            <w:noWrap w:val="0"/>
            <w:vAlign w:val="center"/>
          </w:tcPr>
          <w:p w14:paraId="347C5EAF">
            <w:pPr>
              <w:pStyle w:val="38"/>
              <w:spacing w:before="132"/>
              <w:ind w:left="21" w:leftChars="10" w:right="57" w:rightChars="0"/>
              <w:rPr>
                <w:rFonts w:hint="eastAsia" w:ascii="宋体" w:hAnsi="宋体" w:cs="宋体"/>
                <w:color w:val="auto"/>
                <w:sz w:val="21"/>
                <w:szCs w:val="21"/>
                <w:lang w:val="en-US" w:eastAsia="zh-CN"/>
              </w:rPr>
            </w:pPr>
            <w:r>
              <w:rPr>
                <w:rFonts w:hint="eastAsia" w:ascii="宋体" w:hAnsi="宋体" w:eastAsia="宋体" w:cs="宋体"/>
                <w:color w:val="auto"/>
                <w:sz w:val="21"/>
                <w:szCs w:val="21"/>
              </w:rPr>
              <w:t>投标人202</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年1月1日以来承担过</w:t>
            </w:r>
            <w:r>
              <w:rPr>
                <w:rFonts w:hint="eastAsia" w:ascii="宋体" w:hAnsi="宋体" w:cs="宋体"/>
                <w:color w:val="auto"/>
                <w:sz w:val="21"/>
                <w:szCs w:val="21"/>
                <w:lang w:val="en-US" w:eastAsia="zh-CN"/>
              </w:rPr>
              <w:t>1项</w:t>
            </w:r>
            <w:r>
              <w:rPr>
                <w:rFonts w:hint="eastAsia" w:ascii="宋体" w:hAnsi="宋体" w:cs="宋体"/>
                <w:color w:val="auto"/>
                <w:sz w:val="21"/>
                <w:szCs w:val="21"/>
                <w:highlight w:val="none"/>
                <w:lang w:val="en-US" w:eastAsia="zh-CN"/>
              </w:rPr>
              <w:t>公路工程项目施工</w:t>
            </w:r>
            <w:r>
              <w:rPr>
                <w:rFonts w:hint="eastAsia" w:ascii="宋体" w:hAnsi="宋体" w:eastAsia="宋体" w:cs="宋体"/>
                <w:color w:val="auto"/>
                <w:sz w:val="21"/>
                <w:szCs w:val="21"/>
              </w:rPr>
              <w:t>业绩</w:t>
            </w:r>
            <w:r>
              <w:rPr>
                <w:rFonts w:hint="eastAsia" w:ascii="宋体" w:hAnsi="宋体" w:eastAsia="宋体" w:cs="宋体"/>
                <w:color w:val="auto"/>
                <w:sz w:val="21"/>
                <w:szCs w:val="21"/>
                <w:lang w:val="en-US" w:eastAsia="zh-CN"/>
              </w:rPr>
              <w:t>得5分，没有不得分</w:t>
            </w:r>
            <w:r>
              <w:rPr>
                <w:rFonts w:hint="eastAsia" w:ascii="宋体" w:hAnsi="宋体" w:cs="宋体"/>
                <w:color w:val="auto"/>
                <w:sz w:val="21"/>
                <w:szCs w:val="21"/>
                <w:lang w:val="en-US" w:eastAsia="zh-CN"/>
              </w:rPr>
              <w:t>。</w:t>
            </w:r>
          </w:p>
          <w:p w14:paraId="592B934B">
            <w:pPr>
              <w:pStyle w:val="38"/>
              <w:spacing w:before="132"/>
              <w:ind w:left="21" w:leftChars="10" w:right="57" w:rightChars="0"/>
              <w:rPr>
                <w:rFonts w:hint="eastAsia" w:ascii="宋体" w:hAnsi="宋体" w:eastAsia="宋体" w:cs="宋体"/>
                <w:b/>
                <w:color w:val="auto"/>
                <w:kern w:val="0"/>
                <w:sz w:val="21"/>
                <w:szCs w:val="21"/>
                <w:lang w:eastAsia="zh-CN"/>
              </w:rPr>
            </w:pPr>
            <w:r>
              <w:rPr>
                <w:rFonts w:hint="eastAsia" w:ascii="宋体" w:hAnsi="宋体" w:cs="宋体"/>
                <w:color w:val="auto"/>
                <w:sz w:val="21"/>
                <w:szCs w:val="21"/>
                <w:lang w:val="en-US" w:eastAsia="zh-CN"/>
              </w:rPr>
              <w:t>注：业绩须</w:t>
            </w:r>
            <w:r>
              <w:rPr>
                <w:rFonts w:hint="eastAsia" w:ascii="宋体" w:hAnsi="宋体" w:eastAsia="宋体" w:cs="宋体"/>
                <w:color w:val="auto"/>
                <w:sz w:val="21"/>
                <w:szCs w:val="21"/>
              </w:rPr>
              <w:t>提供施工合同</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中标通知书原件扫描件</w:t>
            </w:r>
            <w:r>
              <w:rPr>
                <w:rFonts w:hint="eastAsia" w:ascii="宋体" w:hAnsi="宋体"/>
                <w:color w:val="auto"/>
                <w:sz w:val="21"/>
                <w:szCs w:val="21"/>
                <w:highlight w:val="none"/>
                <w:lang w:eastAsia="zh-CN"/>
              </w:rPr>
              <w:t>及中标公示网页截图</w:t>
            </w:r>
            <w:r>
              <w:rPr>
                <w:rFonts w:hint="eastAsia" w:ascii="宋体" w:hAnsi="宋体" w:cs="宋体"/>
                <w:color w:val="auto"/>
                <w:sz w:val="21"/>
                <w:szCs w:val="21"/>
                <w:lang w:val="en-US" w:eastAsia="zh-CN"/>
              </w:rPr>
              <w:t>，</w:t>
            </w:r>
            <w:r>
              <w:rPr>
                <w:rFonts w:hint="eastAsia" w:ascii="宋体" w:hAnsi="宋体" w:eastAsia="宋体" w:cs="宋体"/>
                <w:color w:val="auto"/>
                <w:sz w:val="21"/>
                <w:szCs w:val="21"/>
              </w:rPr>
              <w:t>以合同签订时间为准</w:t>
            </w:r>
            <w:r>
              <w:rPr>
                <w:rFonts w:hint="eastAsia" w:ascii="宋体" w:hAnsi="宋体" w:eastAsia="宋体" w:cs="宋体"/>
                <w:color w:val="auto"/>
                <w:sz w:val="21"/>
                <w:szCs w:val="21"/>
                <w:lang w:val="en-US" w:eastAsia="zh-CN"/>
              </w:rPr>
              <w:t>，项目经理、项目总工业绩和公司业绩可为同一业绩重复使用</w:t>
            </w:r>
            <w:r>
              <w:rPr>
                <w:rFonts w:hint="eastAsia" w:ascii="宋体" w:hAnsi="宋体" w:cs="宋体"/>
                <w:color w:val="auto"/>
                <w:sz w:val="21"/>
                <w:szCs w:val="21"/>
                <w:lang w:eastAsia="zh-CN"/>
              </w:rPr>
              <w:t>。</w:t>
            </w:r>
          </w:p>
        </w:tc>
        <w:tc>
          <w:tcPr>
            <w:tcW w:w="988" w:type="dxa"/>
            <w:noWrap w:val="0"/>
            <w:vAlign w:val="center"/>
          </w:tcPr>
          <w:p w14:paraId="5867A782">
            <w:pPr>
              <w:spacing w:line="400" w:lineRule="exact"/>
              <w:jc w:val="center"/>
              <w:rPr>
                <w:rFonts w:hint="eastAsia" w:ascii="宋体" w:hAnsi="宋体" w:eastAsia="宋体" w:cs="宋体"/>
                <w:b/>
                <w:color w:val="auto"/>
                <w:kern w:val="0"/>
                <w:sz w:val="21"/>
                <w:szCs w:val="21"/>
              </w:rPr>
            </w:pPr>
            <w:r>
              <w:rPr>
                <w:rFonts w:hint="eastAsia" w:ascii="宋体" w:hAnsi="宋体" w:eastAsia="宋体" w:cs="宋体"/>
                <w:color w:val="auto"/>
                <w:kern w:val="0"/>
                <w:sz w:val="21"/>
                <w:szCs w:val="21"/>
              </w:rPr>
              <w:t>0-</w:t>
            </w:r>
            <w:r>
              <w:rPr>
                <w:rFonts w:hint="eastAsia" w:ascii="宋体" w:hAnsi="宋体" w:cs="宋体"/>
                <w:color w:val="auto"/>
                <w:kern w:val="0"/>
                <w:sz w:val="21"/>
                <w:szCs w:val="21"/>
                <w:lang w:val="en-US" w:eastAsia="zh-CN"/>
              </w:rPr>
              <w:t>5</w:t>
            </w:r>
            <w:r>
              <w:rPr>
                <w:rFonts w:hint="eastAsia" w:ascii="宋体" w:hAnsi="宋体" w:eastAsia="宋体" w:cs="宋体"/>
                <w:color w:val="auto"/>
                <w:kern w:val="0"/>
                <w:sz w:val="21"/>
                <w:szCs w:val="21"/>
              </w:rPr>
              <w:t>分</w:t>
            </w:r>
          </w:p>
        </w:tc>
      </w:tr>
    </w:tbl>
    <w:p w14:paraId="79FE8521">
      <w:pPr>
        <w:spacing w:line="400" w:lineRule="exact"/>
        <w:outlineLvl w:val="0"/>
        <w:rPr>
          <w:rFonts w:hint="eastAsia" w:ascii="宋体" w:hAnsi="宋体" w:eastAsia="宋体" w:cs="宋体"/>
          <w:bCs/>
          <w:color w:val="auto"/>
          <w:sz w:val="21"/>
          <w:szCs w:val="21"/>
          <w:highlight w:val="none"/>
        </w:rPr>
      </w:pPr>
      <w:bookmarkStart w:id="455" w:name="_Toc2776"/>
      <w:r>
        <w:rPr>
          <w:rFonts w:hint="eastAsia" w:ascii="宋体" w:hAnsi="宋体" w:eastAsia="宋体" w:cs="宋体"/>
          <w:b/>
          <w:bCs/>
          <w:color w:val="auto"/>
          <w:sz w:val="21"/>
          <w:szCs w:val="21"/>
          <w:highlight w:val="none"/>
        </w:rPr>
        <w:t>1．评标方法</w:t>
      </w:r>
      <w:bookmarkEnd w:id="455"/>
    </w:p>
    <w:p w14:paraId="5AFDEFFD">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本次评标采用综合评分法。评标委员会对满足招标文件实质性要求的投标文件，按照本章第2.2 款规定的评分标准进行打分，并按得分由高到低顺序推荐中标候选人（中标候选人不排序），但投标报价低于其成本的除外。推荐中标候选人的人数见投标人须知前附表。综合评分相等时，评标委员会应按照评标办法前附表规定的优先次序推荐中标候选人。</w:t>
      </w:r>
    </w:p>
    <w:p w14:paraId="72DF3471">
      <w:pPr>
        <w:spacing w:line="400" w:lineRule="exact"/>
        <w:outlineLvl w:val="0"/>
        <w:rPr>
          <w:rFonts w:hint="eastAsia" w:ascii="宋体" w:hAnsi="宋体" w:eastAsia="宋体" w:cs="宋体"/>
          <w:b/>
          <w:bCs/>
          <w:color w:val="auto"/>
          <w:sz w:val="21"/>
          <w:szCs w:val="21"/>
          <w:highlight w:val="none"/>
        </w:rPr>
      </w:pPr>
      <w:bookmarkStart w:id="456" w:name="_Toc20669"/>
      <w:r>
        <w:rPr>
          <w:rFonts w:hint="eastAsia" w:ascii="宋体" w:hAnsi="宋体" w:eastAsia="宋体" w:cs="宋体"/>
          <w:b/>
          <w:bCs/>
          <w:color w:val="auto"/>
          <w:sz w:val="21"/>
          <w:szCs w:val="21"/>
          <w:highlight w:val="none"/>
        </w:rPr>
        <w:t>2．评审标准</w:t>
      </w:r>
      <w:bookmarkEnd w:id="456"/>
    </w:p>
    <w:p w14:paraId="058A52CF">
      <w:pPr>
        <w:spacing w:line="400" w:lineRule="exact"/>
        <w:outlineLvl w:val="1"/>
        <w:rPr>
          <w:rFonts w:hint="eastAsia" w:ascii="宋体" w:hAnsi="宋体" w:eastAsia="宋体" w:cs="宋体"/>
          <w:b/>
          <w:bCs/>
          <w:color w:val="auto"/>
          <w:sz w:val="21"/>
          <w:szCs w:val="21"/>
          <w:highlight w:val="none"/>
        </w:rPr>
      </w:pPr>
      <w:bookmarkStart w:id="457" w:name="_Toc11113"/>
      <w:bookmarkStart w:id="458" w:name="_Toc3177"/>
      <w:bookmarkStart w:id="459" w:name="_Toc82772068"/>
      <w:bookmarkStart w:id="460" w:name="_Toc16778800"/>
      <w:bookmarkStart w:id="461" w:name="_Toc28830"/>
      <w:r>
        <w:rPr>
          <w:rFonts w:hint="eastAsia" w:ascii="宋体" w:hAnsi="宋体" w:eastAsia="宋体" w:cs="宋体"/>
          <w:b/>
          <w:bCs/>
          <w:color w:val="auto"/>
          <w:sz w:val="21"/>
          <w:szCs w:val="21"/>
          <w:highlight w:val="none"/>
        </w:rPr>
        <w:t>2.1 初步评审标准</w:t>
      </w:r>
      <w:bookmarkEnd w:id="457"/>
      <w:bookmarkEnd w:id="458"/>
      <w:bookmarkEnd w:id="459"/>
      <w:bookmarkEnd w:id="460"/>
      <w:bookmarkEnd w:id="461"/>
    </w:p>
    <w:p w14:paraId="03FF007D">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2.1.1形式评审标准：见评标办法前附表。</w:t>
      </w:r>
    </w:p>
    <w:p w14:paraId="2150916F">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2.1.2资格评审标准：见评标办法前附表。</w:t>
      </w:r>
    </w:p>
    <w:p w14:paraId="1A9A34CA">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2.1.3响应性评审标准：见评标办法前附表。</w:t>
      </w:r>
    </w:p>
    <w:p w14:paraId="4A73D059">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2.1.4技术评审标准：见评标办法前附表。</w:t>
      </w:r>
    </w:p>
    <w:p w14:paraId="0C96EDAA">
      <w:pPr>
        <w:spacing w:line="400" w:lineRule="exact"/>
        <w:outlineLvl w:val="1"/>
        <w:rPr>
          <w:rFonts w:hint="eastAsia" w:ascii="宋体" w:hAnsi="宋体" w:eastAsia="宋体" w:cs="宋体"/>
          <w:b/>
          <w:bCs/>
          <w:color w:val="auto"/>
          <w:sz w:val="21"/>
          <w:szCs w:val="21"/>
          <w:highlight w:val="none"/>
        </w:rPr>
      </w:pPr>
      <w:bookmarkStart w:id="462" w:name="_Toc18431"/>
      <w:bookmarkStart w:id="463" w:name="_Toc82772069"/>
      <w:bookmarkStart w:id="464" w:name="_Toc16778801"/>
      <w:r>
        <w:rPr>
          <w:rFonts w:hint="eastAsia" w:ascii="宋体" w:hAnsi="宋体" w:eastAsia="宋体" w:cs="宋体"/>
          <w:b/>
          <w:bCs/>
          <w:color w:val="auto"/>
          <w:sz w:val="21"/>
          <w:szCs w:val="21"/>
          <w:highlight w:val="none"/>
        </w:rPr>
        <w:t>2.2 分值构成与评分标准</w:t>
      </w:r>
      <w:bookmarkEnd w:id="462"/>
      <w:bookmarkEnd w:id="463"/>
      <w:bookmarkEnd w:id="464"/>
    </w:p>
    <w:p w14:paraId="276FBBF1">
      <w:pPr>
        <w:spacing w:line="400" w:lineRule="exact"/>
        <w:ind w:firstLine="422" w:firstLineChars="200"/>
        <w:outlineLvl w:val="2"/>
        <w:rPr>
          <w:rFonts w:hint="eastAsia" w:ascii="宋体" w:hAnsi="宋体" w:eastAsia="宋体" w:cs="宋体"/>
          <w:b/>
          <w:bCs/>
          <w:color w:val="auto"/>
          <w:sz w:val="21"/>
          <w:szCs w:val="21"/>
          <w:highlight w:val="none"/>
        </w:rPr>
      </w:pPr>
      <w:bookmarkStart w:id="465" w:name="_Toc14788"/>
      <w:r>
        <w:rPr>
          <w:rFonts w:hint="eastAsia" w:ascii="宋体" w:hAnsi="宋体" w:eastAsia="宋体" w:cs="宋体"/>
          <w:b/>
          <w:bCs/>
          <w:color w:val="auto"/>
          <w:sz w:val="21"/>
          <w:szCs w:val="21"/>
          <w:highlight w:val="none"/>
        </w:rPr>
        <w:t>2.2.1 分值构成</w:t>
      </w:r>
      <w:bookmarkEnd w:id="465"/>
    </w:p>
    <w:p w14:paraId="7880A05C">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（1）施工组织设计：见评标办法前附表；</w:t>
      </w:r>
    </w:p>
    <w:p w14:paraId="07AC46E2">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（2）主要人员：见评标办法前附表；</w:t>
      </w:r>
    </w:p>
    <w:p w14:paraId="6FD8EC31">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（3）评标价：见评标办法前附表；</w:t>
      </w:r>
    </w:p>
    <w:p w14:paraId="1F1BF95F">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（4）其他因素：见评标办法前附表。</w:t>
      </w:r>
    </w:p>
    <w:p w14:paraId="74618C2D">
      <w:pPr>
        <w:spacing w:line="400" w:lineRule="exact"/>
        <w:ind w:firstLine="422" w:firstLineChars="200"/>
        <w:outlineLvl w:val="2"/>
        <w:rPr>
          <w:rFonts w:hint="eastAsia" w:ascii="宋体" w:hAnsi="宋体" w:eastAsia="宋体" w:cs="宋体"/>
          <w:b/>
          <w:bCs/>
          <w:color w:val="auto"/>
          <w:sz w:val="21"/>
          <w:szCs w:val="21"/>
          <w:highlight w:val="none"/>
        </w:rPr>
      </w:pPr>
      <w:bookmarkStart w:id="466" w:name="_Toc26089"/>
      <w:r>
        <w:rPr>
          <w:rFonts w:hint="eastAsia" w:ascii="宋体" w:hAnsi="宋体" w:eastAsia="宋体" w:cs="宋体"/>
          <w:b/>
          <w:bCs/>
          <w:color w:val="auto"/>
          <w:sz w:val="21"/>
          <w:szCs w:val="21"/>
          <w:highlight w:val="none"/>
        </w:rPr>
        <w:t>2.2.2 评标基准价计算</w:t>
      </w:r>
      <w:bookmarkEnd w:id="466"/>
    </w:p>
    <w:p w14:paraId="3E26FD72">
      <w:pPr>
        <w:pStyle w:val="10"/>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w:t>
      </w:r>
      <w:r>
        <w:rPr>
          <w:rFonts w:hint="eastAsia" w:ascii="宋体" w:hAnsi="宋体" w:eastAsia="宋体" w:cs="宋体"/>
          <w:bCs/>
          <w:color w:val="auto"/>
          <w:sz w:val="21"/>
          <w:szCs w:val="21"/>
          <w:highlight w:val="none"/>
        </w:rPr>
        <w:t xml:space="preserve">  </w:t>
      </w:r>
      <w:r>
        <w:rPr>
          <w:rFonts w:hint="eastAsia" w:asci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评标基准价计算方法：见评标办法前附表。</w:t>
      </w:r>
    </w:p>
    <w:p w14:paraId="48FA8DC4">
      <w:pPr>
        <w:spacing w:line="400" w:lineRule="exact"/>
        <w:ind w:firstLine="422" w:firstLineChars="200"/>
        <w:outlineLvl w:val="2"/>
        <w:rPr>
          <w:rFonts w:hint="eastAsia" w:ascii="宋体" w:hAnsi="宋体" w:eastAsia="宋体" w:cs="宋体"/>
          <w:b/>
          <w:bCs/>
          <w:color w:val="auto"/>
          <w:sz w:val="21"/>
          <w:szCs w:val="21"/>
          <w:highlight w:val="none"/>
        </w:rPr>
      </w:pPr>
      <w:bookmarkStart w:id="467" w:name="_Toc24968"/>
      <w:r>
        <w:rPr>
          <w:rFonts w:hint="eastAsia" w:ascii="宋体" w:hAnsi="宋体" w:eastAsia="宋体" w:cs="宋体"/>
          <w:b/>
          <w:bCs/>
          <w:color w:val="auto"/>
          <w:sz w:val="21"/>
          <w:szCs w:val="21"/>
          <w:highlight w:val="none"/>
        </w:rPr>
        <w:t>2.2.3 评标价的偏差率计算</w:t>
      </w:r>
      <w:bookmarkEnd w:id="467"/>
    </w:p>
    <w:p w14:paraId="36544285">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评标价的偏差率计算公式：见评标办法前附表。</w:t>
      </w:r>
    </w:p>
    <w:p w14:paraId="5F3C402F">
      <w:pPr>
        <w:spacing w:line="400" w:lineRule="exact"/>
        <w:ind w:firstLine="422" w:firstLineChars="200"/>
        <w:outlineLvl w:val="2"/>
        <w:rPr>
          <w:rFonts w:hint="eastAsia" w:ascii="宋体" w:hAnsi="宋体" w:eastAsia="宋体" w:cs="宋体"/>
          <w:b/>
          <w:bCs/>
          <w:color w:val="auto"/>
          <w:sz w:val="21"/>
          <w:szCs w:val="21"/>
          <w:highlight w:val="none"/>
        </w:rPr>
      </w:pPr>
      <w:bookmarkStart w:id="468" w:name="_Toc8502"/>
      <w:r>
        <w:rPr>
          <w:rFonts w:hint="eastAsia" w:ascii="宋体" w:hAnsi="宋体" w:eastAsia="宋体" w:cs="宋体"/>
          <w:b/>
          <w:bCs/>
          <w:color w:val="auto"/>
          <w:sz w:val="21"/>
          <w:szCs w:val="21"/>
          <w:highlight w:val="none"/>
        </w:rPr>
        <w:t>2.2.4 评分标准</w:t>
      </w:r>
      <w:bookmarkEnd w:id="468"/>
    </w:p>
    <w:p w14:paraId="4AF432A5">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（1）施工组织设计评分标准：见评标办法前附表；</w:t>
      </w:r>
    </w:p>
    <w:p w14:paraId="2A11637F">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（2）主要人员评分标准：见评标办法前附表；</w:t>
      </w:r>
    </w:p>
    <w:p w14:paraId="2943B431">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（3）评标价评分标准：见评标办法前附表；</w:t>
      </w:r>
    </w:p>
    <w:p w14:paraId="2EBC5478">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（4）其他因素评分标准：见评标办法前附表。</w:t>
      </w:r>
    </w:p>
    <w:p w14:paraId="2349D4B6">
      <w:pPr>
        <w:spacing w:line="400" w:lineRule="exact"/>
        <w:outlineLvl w:val="0"/>
        <w:rPr>
          <w:rFonts w:hint="eastAsia" w:ascii="宋体" w:hAnsi="宋体" w:eastAsia="宋体" w:cs="宋体"/>
          <w:b/>
          <w:bCs/>
          <w:color w:val="auto"/>
          <w:sz w:val="21"/>
          <w:szCs w:val="21"/>
          <w:highlight w:val="none"/>
        </w:rPr>
      </w:pPr>
      <w:bookmarkStart w:id="469" w:name="_Toc29311"/>
      <w:r>
        <w:rPr>
          <w:rFonts w:hint="eastAsia" w:ascii="宋体" w:hAnsi="宋体" w:eastAsia="宋体" w:cs="宋体"/>
          <w:b/>
          <w:bCs/>
          <w:color w:val="auto"/>
          <w:sz w:val="21"/>
          <w:szCs w:val="21"/>
          <w:highlight w:val="none"/>
        </w:rPr>
        <w:t>3．评标程序</w:t>
      </w:r>
      <w:bookmarkEnd w:id="469"/>
    </w:p>
    <w:p w14:paraId="11A0EAF7">
      <w:pPr>
        <w:spacing w:line="400" w:lineRule="exact"/>
        <w:ind w:firstLine="422" w:firstLineChars="200"/>
        <w:outlineLvl w:val="1"/>
        <w:rPr>
          <w:rFonts w:hint="eastAsia" w:ascii="宋体" w:hAnsi="宋体" w:eastAsia="宋体" w:cs="宋体"/>
          <w:bCs/>
          <w:color w:val="auto"/>
          <w:sz w:val="21"/>
          <w:szCs w:val="21"/>
          <w:highlight w:val="none"/>
        </w:rPr>
      </w:pPr>
      <w:bookmarkStart w:id="470" w:name="_Toc5592"/>
      <w:bookmarkStart w:id="471" w:name="_Toc16778803"/>
      <w:bookmarkStart w:id="472" w:name="_Toc82772071"/>
      <w:r>
        <w:rPr>
          <w:rFonts w:hint="eastAsia" w:ascii="宋体" w:hAnsi="宋体" w:eastAsia="宋体" w:cs="宋体"/>
          <w:b/>
          <w:bCs w:val="0"/>
          <w:color w:val="auto"/>
          <w:sz w:val="21"/>
          <w:szCs w:val="21"/>
          <w:highlight w:val="none"/>
          <w:lang w:val="en-US" w:eastAsia="zh-CN"/>
        </w:rPr>
        <w:t>3.1 第一个信封初步评审</w:t>
      </w:r>
      <w:bookmarkEnd w:id="470"/>
      <w:r>
        <w:rPr>
          <w:rFonts w:hint="eastAsia" w:ascii="宋体" w:hAnsi="宋体" w:eastAsia="宋体" w:cs="宋体"/>
          <w:bCs/>
          <w:color w:val="auto"/>
          <w:sz w:val="21"/>
          <w:szCs w:val="21"/>
          <w:highlight w:val="none"/>
          <w:lang w:val="en-US" w:eastAsia="zh-CN"/>
        </w:rPr>
        <w:t xml:space="preserve"> </w:t>
      </w:r>
    </w:p>
    <w:p w14:paraId="047BD950">
      <w:pPr>
        <w:spacing w:line="400" w:lineRule="exact"/>
        <w:ind w:firstLine="630" w:firstLineChars="3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3.1.1 评标委员会依据本章第 2.1 款规定的标准对投标文件第一个信封（商务及技术文件）进行初步评审。有一项不符合评审标准的，评标委员会应否决其投标。 </w:t>
      </w:r>
    </w:p>
    <w:p w14:paraId="69860103">
      <w:pPr>
        <w:spacing w:line="400" w:lineRule="exact"/>
        <w:ind w:firstLine="422" w:firstLineChars="200"/>
        <w:outlineLvl w:val="1"/>
        <w:rPr>
          <w:rFonts w:hint="eastAsia" w:ascii="宋体" w:hAnsi="宋体" w:eastAsia="宋体" w:cs="宋体"/>
          <w:b/>
          <w:bCs w:val="0"/>
          <w:color w:val="auto"/>
          <w:sz w:val="21"/>
          <w:szCs w:val="21"/>
          <w:highlight w:val="none"/>
          <w:lang w:val="en-US" w:eastAsia="zh-CN"/>
        </w:rPr>
      </w:pPr>
      <w:bookmarkStart w:id="473" w:name="_Toc31366"/>
      <w:bookmarkStart w:id="474" w:name="_Toc19875"/>
      <w:bookmarkStart w:id="475" w:name="_Toc14687"/>
      <w:r>
        <w:rPr>
          <w:rFonts w:hint="eastAsia" w:ascii="宋体" w:hAnsi="宋体" w:eastAsia="宋体" w:cs="宋体"/>
          <w:b/>
          <w:bCs w:val="0"/>
          <w:color w:val="auto"/>
          <w:sz w:val="21"/>
          <w:szCs w:val="21"/>
          <w:highlight w:val="none"/>
          <w:lang w:val="en-US" w:eastAsia="zh-CN"/>
        </w:rPr>
        <w:t>3.2 第一个信封详细评审</w:t>
      </w:r>
      <w:bookmarkEnd w:id="473"/>
      <w:bookmarkEnd w:id="474"/>
      <w:bookmarkEnd w:id="475"/>
      <w:r>
        <w:rPr>
          <w:rFonts w:hint="eastAsia" w:ascii="宋体" w:hAnsi="宋体" w:eastAsia="宋体" w:cs="宋体"/>
          <w:b/>
          <w:bCs w:val="0"/>
          <w:color w:val="auto"/>
          <w:sz w:val="21"/>
          <w:szCs w:val="21"/>
          <w:highlight w:val="none"/>
          <w:lang w:val="en-US" w:eastAsia="zh-CN"/>
        </w:rPr>
        <w:t xml:space="preserve"> </w:t>
      </w:r>
    </w:p>
    <w:p w14:paraId="4357F790">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3.2.1 评标委员会按本章第 2.2 款规定的量化因素和分值进行打分，并计算出各投标人的商务和技术得分。 </w:t>
      </w:r>
    </w:p>
    <w:p w14:paraId="04B01857">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（1）按本章第2.2.4项（1）目规定的评审因素和分值对施工组织设计部分计算出得分A；</w:t>
      </w:r>
    </w:p>
    <w:p w14:paraId="072FFCAE">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（2）按本章第2.2.4项（2）目规定的评审因素和分值对主要人员部分计算出得分B；</w:t>
      </w:r>
    </w:p>
    <w:p w14:paraId="3F42E6FC">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（3）按本章第2.2.4项（4）目规定的评审因素和分值对其他部分计算出得分D。</w:t>
      </w:r>
    </w:p>
    <w:p w14:paraId="4E0AFC91">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3.2.2 投标人的商务和技术得分分值计算保留小数点后两位，小数点后第三位 “四舍五入” 。</w:t>
      </w:r>
    </w:p>
    <w:p w14:paraId="1771981B">
      <w:pPr>
        <w:spacing w:line="400" w:lineRule="exact"/>
        <w:ind w:firstLine="630" w:firstLineChars="300"/>
        <w:rPr>
          <w:rFonts w:hint="eastAsia" w:ascii="宋体" w:hAnsi="宋体" w:eastAsia="宋体" w:cs="宋体"/>
          <w:b/>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3.2.3 投标人的商务和技术得分=A+B+D。</w:t>
      </w:r>
    </w:p>
    <w:p w14:paraId="614AB142">
      <w:pPr>
        <w:spacing w:line="400" w:lineRule="exact"/>
        <w:ind w:firstLine="422" w:firstLineChars="200"/>
        <w:outlineLvl w:val="1"/>
        <w:rPr>
          <w:rFonts w:hint="eastAsia" w:ascii="宋体" w:hAnsi="宋体" w:eastAsia="宋体" w:cs="宋体"/>
          <w:b/>
          <w:bCs w:val="0"/>
          <w:color w:val="auto"/>
          <w:sz w:val="21"/>
          <w:szCs w:val="21"/>
          <w:highlight w:val="none"/>
        </w:rPr>
      </w:pPr>
      <w:bookmarkStart w:id="476" w:name="_Toc19054"/>
      <w:r>
        <w:rPr>
          <w:rFonts w:hint="eastAsia" w:ascii="宋体" w:hAnsi="宋体" w:eastAsia="宋体" w:cs="宋体"/>
          <w:b/>
          <w:bCs w:val="0"/>
          <w:color w:val="auto"/>
          <w:sz w:val="21"/>
          <w:szCs w:val="21"/>
          <w:highlight w:val="none"/>
          <w:lang w:val="en-US" w:eastAsia="zh-CN"/>
        </w:rPr>
        <w:t>3.3 第二个信封开标</w:t>
      </w:r>
      <w:bookmarkEnd w:id="476"/>
      <w:r>
        <w:rPr>
          <w:rFonts w:hint="eastAsia" w:ascii="宋体" w:hAnsi="宋体" w:eastAsia="宋体" w:cs="宋体"/>
          <w:b/>
          <w:bCs w:val="0"/>
          <w:color w:val="auto"/>
          <w:sz w:val="21"/>
          <w:szCs w:val="21"/>
          <w:highlight w:val="none"/>
          <w:lang w:val="en-US" w:eastAsia="zh-CN"/>
        </w:rPr>
        <w:t xml:space="preserve"> </w:t>
      </w:r>
    </w:p>
    <w:p w14:paraId="3695A9FB">
      <w:pPr>
        <w:spacing w:line="400" w:lineRule="exact"/>
        <w:ind w:firstLine="630" w:firstLineChars="3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第一个信封（商务及技术文件）评审结束后，招标人将按照第二章“投标人须知”第 5.1 款规定的时间和地点对通过投标文件第一个信封（商务及技术文件）评审的投标文件第二个信封（报价文件）进行开标。 </w:t>
      </w:r>
    </w:p>
    <w:p w14:paraId="02942191">
      <w:pPr>
        <w:spacing w:line="400" w:lineRule="exact"/>
        <w:ind w:firstLine="422" w:firstLineChars="200"/>
        <w:outlineLvl w:val="1"/>
        <w:rPr>
          <w:rFonts w:hint="eastAsia" w:ascii="宋体" w:hAnsi="宋体" w:eastAsia="宋体" w:cs="宋体"/>
          <w:b/>
          <w:bCs w:val="0"/>
          <w:color w:val="auto"/>
          <w:sz w:val="21"/>
          <w:szCs w:val="21"/>
          <w:highlight w:val="none"/>
        </w:rPr>
      </w:pPr>
      <w:bookmarkStart w:id="477" w:name="_Toc2679"/>
      <w:r>
        <w:rPr>
          <w:rFonts w:hint="eastAsia" w:ascii="宋体" w:hAnsi="宋体" w:eastAsia="宋体" w:cs="宋体"/>
          <w:b/>
          <w:bCs w:val="0"/>
          <w:color w:val="auto"/>
          <w:sz w:val="21"/>
          <w:szCs w:val="21"/>
          <w:highlight w:val="none"/>
          <w:lang w:val="en-US" w:eastAsia="zh-CN"/>
        </w:rPr>
        <w:t>3.4第二个信封初步评审</w:t>
      </w:r>
      <w:bookmarkEnd w:id="477"/>
      <w:r>
        <w:rPr>
          <w:rFonts w:hint="eastAsia" w:ascii="宋体" w:hAnsi="宋体" w:eastAsia="宋体" w:cs="宋体"/>
          <w:b/>
          <w:bCs w:val="0"/>
          <w:color w:val="auto"/>
          <w:sz w:val="21"/>
          <w:szCs w:val="21"/>
          <w:highlight w:val="none"/>
          <w:lang w:val="en-US" w:eastAsia="zh-CN"/>
        </w:rPr>
        <w:t xml:space="preserve"> </w:t>
      </w:r>
    </w:p>
    <w:p w14:paraId="6AF486E7">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3.4.1 评标委员会依据本章第2.1.1 项、第 2.1.3 项规定的评审标准对投标文件第二个信封 （报价文件）进行初步评审。有一项不符合评审标准的，评标委员会应否决其投标。 </w:t>
      </w:r>
    </w:p>
    <w:p w14:paraId="3B11C531">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3.4.2 投标报价有算术错误的，评标委员会按以下原则对投标报价进行修正，修正的价格经投标人确认后具有约束力。投标人不接受修正价格的，评标委员会应否决其投标。 </w:t>
      </w:r>
    </w:p>
    <w:p w14:paraId="349B9786">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（1）投标文件中的大写金额与小写金额不一致的，以大写金额为准； </w:t>
      </w:r>
    </w:p>
    <w:p w14:paraId="10FB0F0C">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（2）总价金额与依据单价计算出的结果不一致的，以单价金额为准修正总价，但单价金额小数点有明显错误的除外</w:t>
      </w:r>
      <w:r>
        <w:rPr>
          <w:rFonts w:hint="eastAsia" w:ascii="宋体" w:hAnsi="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 xml:space="preserve"> </w:t>
      </w:r>
    </w:p>
    <w:p w14:paraId="1B7FB549">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（3）当单价与数量相乘不等于合价时，以单价计算为准，如果单价有明显的小数点位置差错，应以标出的合价为准，同时对单价予以修正； </w:t>
      </w:r>
    </w:p>
    <w:p w14:paraId="273BFB0B">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（4）当各子目的合价累计不等于总价时，应以各子目合价累计数为准，修正总价。 </w:t>
      </w:r>
    </w:p>
    <w:p w14:paraId="4A7B1E35">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3.4.3 修正后的最终投标报价若超过最高投标限价（如有），评标委员会应否决其投标。 </w:t>
      </w:r>
    </w:p>
    <w:p w14:paraId="499B079D">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3.4.4 修正后的最终投标报价仅作为签订合同的一个依据，不参与评标价得分的计算。  </w:t>
      </w:r>
    </w:p>
    <w:p w14:paraId="46298536">
      <w:pPr>
        <w:spacing w:line="400" w:lineRule="exact"/>
        <w:ind w:firstLine="422" w:firstLineChars="200"/>
        <w:outlineLvl w:val="1"/>
        <w:rPr>
          <w:rFonts w:hint="eastAsia" w:ascii="宋体" w:hAnsi="宋体" w:eastAsia="宋体" w:cs="宋体"/>
          <w:b/>
          <w:bCs w:val="0"/>
          <w:color w:val="auto"/>
          <w:sz w:val="21"/>
          <w:szCs w:val="21"/>
          <w:highlight w:val="none"/>
        </w:rPr>
      </w:pPr>
      <w:bookmarkStart w:id="478" w:name="_Toc32328"/>
      <w:r>
        <w:rPr>
          <w:rFonts w:hint="eastAsia" w:ascii="宋体" w:hAnsi="宋体" w:eastAsia="宋体" w:cs="宋体"/>
          <w:b/>
          <w:bCs w:val="0"/>
          <w:color w:val="auto"/>
          <w:sz w:val="21"/>
          <w:szCs w:val="21"/>
          <w:highlight w:val="none"/>
          <w:lang w:val="en-US" w:eastAsia="zh-CN"/>
        </w:rPr>
        <w:t>3.5 第二个信封详细评审</w:t>
      </w:r>
      <w:bookmarkEnd w:id="478"/>
      <w:r>
        <w:rPr>
          <w:rFonts w:hint="eastAsia" w:ascii="宋体" w:hAnsi="宋体" w:eastAsia="宋体" w:cs="宋体"/>
          <w:b/>
          <w:bCs w:val="0"/>
          <w:color w:val="auto"/>
          <w:sz w:val="21"/>
          <w:szCs w:val="21"/>
          <w:highlight w:val="none"/>
          <w:lang w:val="en-US" w:eastAsia="zh-CN"/>
        </w:rPr>
        <w:t xml:space="preserve"> </w:t>
      </w:r>
    </w:p>
    <w:p w14:paraId="079BCD8F">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3.5.1 评标委员会按本章第 2.2.4（3）目规定的评审因素和分值对评标价计算出得分C。评标价得分分值计算保留小数点后两位，小数点后第三位“四舍五入”。 </w:t>
      </w:r>
    </w:p>
    <w:p w14:paraId="7A3175BE">
      <w:pPr>
        <w:spacing w:line="400" w:lineRule="exact"/>
        <w:ind w:firstLine="630" w:firstLineChars="3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3.5.2 投标人综合得分=投标人的商务和技术得分+C。</w:t>
      </w:r>
    </w:p>
    <w:p w14:paraId="249B5F71">
      <w:pPr>
        <w:spacing w:line="400" w:lineRule="exact"/>
        <w:ind w:firstLine="630" w:firstLineChars="3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3.5.3 评标委员会发现投标人的报价明显低于其他投标报价，使得其投标报价可能低于其个别成本的，应要求该投标人作出说明并提供相应的证明材料。投标人不能合理说明或不能提供相应证明材料的，评标委员会应认定该投标人以低于成本报价竞标，并否决其投标。 </w:t>
      </w:r>
    </w:p>
    <w:p w14:paraId="10CBDE8D">
      <w:pPr>
        <w:spacing w:line="400" w:lineRule="exact"/>
        <w:ind w:firstLine="422" w:firstLineChars="200"/>
        <w:outlineLvl w:val="1"/>
        <w:rPr>
          <w:rFonts w:hint="eastAsia" w:ascii="宋体" w:hAnsi="宋体" w:eastAsia="宋体" w:cs="宋体"/>
          <w:b/>
          <w:bCs w:val="0"/>
          <w:color w:val="auto"/>
          <w:sz w:val="21"/>
          <w:szCs w:val="21"/>
          <w:highlight w:val="none"/>
        </w:rPr>
      </w:pPr>
      <w:bookmarkStart w:id="479" w:name="_Toc16770"/>
      <w:r>
        <w:rPr>
          <w:rFonts w:hint="eastAsia" w:ascii="宋体" w:hAnsi="宋体" w:eastAsia="宋体" w:cs="宋体"/>
          <w:b/>
          <w:bCs w:val="0"/>
          <w:color w:val="auto"/>
          <w:sz w:val="21"/>
          <w:szCs w:val="21"/>
          <w:highlight w:val="none"/>
          <w:lang w:val="en-US" w:eastAsia="zh-CN"/>
        </w:rPr>
        <w:t>3.6 投标文件相关信息的核查</w:t>
      </w:r>
      <w:bookmarkEnd w:id="479"/>
      <w:r>
        <w:rPr>
          <w:rFonts w:hint="eastAsia" w:ascii="宋体" w:hAnsi="宋体" w:eastAsia="宋体" w:cs="宋体"/>
          <w:b/>
          <w:bCs w:val="0"/>
          <w:color w:val="auto"/>
          <w:sz w:val="21"/>
          <w:szCs w:val="21"/>
          <w:highlight w:val="none"/>
          <w:lang w:val="en-US" w:eastAsia="zh-CN"/>
        </w:rPr>
        <w:t xml:space="preserve"> </w:t>
      </w:r>
    </w:p>
    <w:p w14:paraId="214A6116">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3.6.1 评标委员会应对在评标过程中发现的投标人与投标人之间、投标人与招标人之间存在的串通投标的情形进行评审和认定。投标人存在串通投标、弄虚作假、行贿等违法行为的，评标委员会应否决其投标。 </w:t>
      </w:r>
    </w:p>
    <w:p w14:paraId="63C777B4">
      <w:pPr>
        <w:spacing w:line="400" w:lineRule="exact"/>
        <w:outlineLvl w:val="2"/>
        <w:rPr>
          <w:rFonts w:hint="eastAsia" w:ascii="宋体" w:hAnsi="宋体" w:eastAsia="宋体" w:cs="宋体"/>
          <w:bCs/>
          <w:color w:val="auto"/>
          <w:sz w:val="21"/>
          <w:szCs w:val="21"/>
          <w:highlight w:val="none"/>
        </w:rPr>
      </w:pPr>
      <w:bookmarkStart w:id="480" w:name="_Toc11393"/>
      <w:r>
        <w:rPr>
          <w:rFonts w:hint="eastAsia" w:ascii="宋体" w:hAnsi="宋体" w:eastAsia="宋体" w:cs="宋体"/>
          <w:bCs/>
          <w:color w:val="auto"/>
          <w:sz w:val="21"/>
          <w:szCs w:val="21"/>
          <w:highlight w:val="none"/>
          <w:lang w:val="en-US" w:eastAsia="zh-CN"/>
        </w:rPr>
        <w:t>（1）有下列情形之一的，属于投标人相互串通投标：</w:t>
      </w:r>
      <w:bookmarkEnd w:id="480"/>
      <w:r>
        <w:rPr>
          <w:rFonts w:hint="eastAsia" w:ascii="宋体" w:hAnsi="宋体" w:eastAsia="宋体" w:cs="宋体"/>
          <w:bCs/>
          <w:color w:val="auto"/>
          <w:sz w:val="21"/>
          <w:szCs w:val="21"/>
          <w:highlight w:val="none"/>
          <w:lang w:val="en-US" w:eastAsia="zh-CN"/>
        </w:rPr>
        <w:t xml:space="preserve"> </w:t>
      </w:r>
    </w:p>
    <w:p w14:paraId="2E1FD528">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a.投标人之间协商投标报价等投标文件的实质性内容； </w:t>
      </w:r>
    </w:p>
    <w:p w14:paraId="0D5786EA">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b.投标人之间约定中标人； </w:t>
      </w:r>
    </w:p>
    <w:p w14:paraId="537A9DFC">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c.投标人之间约定部分投标人放弃投标或中标； </w:t>
      </w:r>
    </w:p>
    <w:p w14:paraId="6BE2EA2B">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d.属于同一集团、协会、商会等组织成员的投标人按照该组织要求协同投标； </w:t>
      </w:r>
    </w:p>
    <w:p w14:paraId="007B1137">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e.投标人之间为谋取中标或排斥特定投标人而采取的其他联合行动。 </w:t>
      </w:r>
    </w:p>
    <w:p w14:paraId="6EDE689A">
      <w:pPr>
        <w:spacing w:line="400" w:lineRule="exact"/>
        <w:outlineLvl w:val="2"/>
        <w:rPr>
          <w:rFonts w:hint="eastAsia" w:ascii="宋体" w:hAnsi="宋体" w:eastAsia="宋体" w:cs="宋体"/>
          <w:bCs/>
          <w:color w:val="auto"/>
          <w:sz w:val="21"/>
          <w:szCs w:val="21"/>
          <w:highlight w:val="none"/>
        </w:rPr>
      </w:pPr>
      <w:bookmarkStart w:id="481" w:name="_Toc23412"/>
      <w:r>
        <w:rPr>
          <w:rFonts w:hint="eastAsia" w:ascii="宋体" w:hAnsi="宋体" w:eastAsia="宋体" w:cs="宋体"/>
          <w:bCs/>
          <w:color w:val="auto"/>
          <w:sz w:val="21"/>
          <w:szCs w:val="21"/>
          <w:highlight w:val="none"/>
          <w:lang w:val="en-US" w:eastAsia="zh-CN"/>
        </w:rPr>
        <w:t>（2）有下列情形之一的，视为投标人相互串通投标：</w:t>
      </w:r>
      <w:bookmarkEnd w:id="481"/>
    </w:p>
    <w:p w14:paraId="7A1244CF">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a.不同投标人的投标文件由同一单位或个人编制； </w:t>
      </w:r>
    </w:p>
    <w:p w14:paraId="7ECC71F5">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b.不同投标人委托同一单位或个人办理投标事宜； </w:t>
      </w:r>
    </w:p>
    <w:p w14:paraId="10CEE90D">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c.不同投标人的投标文件载明的项目管理成员为同一人； </w:t>
      </w:r>
    </w:p>
    <w:p w14:paraId="27C7E19B">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d.不同投标人的投标文件异常一致或投标报价呈规律性差异； </w:t>
      </w:r>
    </w:p>
    <w:p w14:paraId="04E216AE">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e.不同投标人的投标文件相互混装； </w:t>
      </w:r>
    </w:p>
    <w:p w14:paraId="1A5F611C">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f.不同投标人的投标保证金从同一单位或个人的账户转出。 </w:t>
      </w:r>
    </w:p>
    <w:p w14:paraId="20D29B62">
      <w:pPr>
        <w:spacing w:line="400" w:lineRule="exact"/>
        <w:outlineLvl w:val="2"/>
        <w:rPr>
          <w:rFonts w:hint="eastAsia" w:ascii="宋体" w:hAnsi="宋体" w:eastAsia="宋体" w:cs="宋体"/>
          <w:bCs/>
          <w:color w:val="auto"/>
          <w:sz w:val="21"/>
          <w:szCs w:val="21"/>
          <w:highlight w:val="none"/>
          <w:lang w:val="en-US" w:eastAsia="zh-CN"/>
        </w:rPr>
      </w:pPr>
      <w:bookmarkStart w:id="482" w:name="_Toc5370"/>
      <w:r>
        <w:rPr>
          <w:rFonts w:hint="eastAsia" w:ascii="宋体" w:hAnsi="宋体" w:eastAsia="宋体" w:cs="宋体"/>
          <w:bCs/>
          <w:color w:val="auto"/>
          <w:sz w:val="21"/>
          <w:szCs w:val="21"/>
          <w:highlight w:val="none"/>
          <w:lang w:val="en-US" w:eastAsia="zh-CN"/>
        </w:rPr>
        <w:t>（3）有下列情形之一的，属于招标人与投标人串通投标：</w:t>
      </w:r>
      <w:bookmarkEnd w:id="482"/>
      <w:r>
        <w:rPr>
          <w:rFonts w:hint="eastAsia" w:ascii="宋体" w:hAnsi="宋体" w:eastAsia="宋体" w:cs="宋体"/>
          <w:bCs/>
          <w:color w:val="auto"/>
          <w:sz w:val="21"/>
          <w:szCs w:val="21"/>
          <w:highlight w:val="none"/>
          <w:lang w:val="en-US" w:eastAsia="zh-CN"/>
        </w:rPr>
        <w:t xml:space="preserve"> </w:t>
      </w:r>
    </w:p>
    <w:p w14:paraId="20444396">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a.招标人在开标前开启投标文件并将有关信息泄露给其他投标人; </w:t>
      </w:r>
    </w:p>
    <w:p w14:paraId="6C408919">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b.招标人直接或间接向投标人泄露标底、评标委员会成员等信息； </w:t>
      </w:r>
    </w:p>
    <w:p w14:paraId="023ABE8F">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c.招标人明示或暗示投标人压低或抬高投标报价； </w:t>
      </w:r>
    </w:p>
    <w:p w14:paraId="3315683A">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d.招标人授意投标人撤换、修改投标文件； </w:t>
      </w:r>
    </w:p>
    <w:p w14:paraId="682496C2">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e.招标人明示或暗示投标人为特定投标人中标提供方便； </w:t>
      </w:r>
    </w:p>
    <w:p w14:paraId="2B321EF1">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f.招标人与投标人为谋求特定投标人中标而采取的其他串通行为。 </w:t>
      </w:r>
    </w:p>
    <w:p w14:paraId="4582718C">
      <w:pPr>
        <w:spacing w:line="400" w:lineRule="exact"/>
        <w:outlineLvl w:val="2"/>
        <w:rPr>
          <w:rFonts w:hint="eastAsia" w:ascii="宋体" w:hAnsi="宋体" w:eastAsia="宋体" w:cs="宋体"/>
          <w:bCs/>
          <w:color w:val="auto"/>
          <w:sz w:val="21"/>
          <w:szCs w:val="21"/>
          <w:highlight w:val="none"/>
          <w:lang w:val="en-US" w:eastAsia="zh-CN"/>
        </w:rPr>
      </w:pPr>
      <w:bookmarkStart w:id="483" w:name="_Toc4790"/>
      <w:r>
        <w:rPr>
          <w:rFonts w:hint="eastAsia" w:ascii="宋体" w:hAnsi="宋体" w:eastAsia="宋体" w:cs="宋体"/>
          <w:bCs/>
          <w:color w:val="auto"/>
          <w:sz w:val="21"/>
          <w:szCs w:val="21"/>
          <w:highlight w:val="none"/>
          <w:lang w:val="en-US" w:eastAsia="zh-CN"/>
        </w:rPr>
        <w:t>（4）投标人有下列情形之一的，属于弄虚作假的行为：</w:t>
      </w:r>
      <w:bookmarkEnd w:id="483"/>
      <w:r>
        <w:rPr>
          <w:rFonts w:hint="eastAsia" w:ascii="宋体" w:hAnsi="宋体" w:eastAsia="宋体" w:cs="宋体"/>
          <w:bCs/>
          <w:color w:val="auto"/>
          <w:sz w:val="21"/>
          <w:szCs w:val="21"/>
          <w:highlight w:val="none"/>
          <w:lang w:val="en-US" w:eastAsia="zh-CN"/>
        </w:rPr>
        <w:t xml:space="preserve"> </w:t>
      </w:r>
    </w:p>
    <w:p w14:paraId="5BA94320">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a.使用通过受让或租借等方式获取的资格、资质证书投标； </w:t>
      </w:r>
    </w:p>
    <w:p w14:paraId="49B48E92">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b.使用伪造、变造的许可证件； </w:t>
      </w:r>
    </w:p>
    <w:p w14:paraId="2F80DB7D">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c.提供虚假的财务状况或业绩； </w:t>
      </w:r>
    </w:p>
    <w:p w14:paraId="1CF6D0BA">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d.提供虚假的项目负责人或主要技术人员简历、劳动关系证明； </w:t>
      </w:r>
    </w:p>
    <w:p w14:paraId="4CED0BBF">
      <w:pPr>
        <w:spacing w:line="400" w:lineRule="exact"/>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e.提供虚假的信用状况； </w:t>
      </w:r>
    </w:p>
    <w:p w14:paraId="14FBD05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f.其他弄虚作假的行为</w:t>
      </w:r>
      <w:bookmarkEnd w:id="471"/>
      <w:bookmarkEnd w:id="472"/>
      <w:r>
        <w:rPr>
          <w:rFonts w:hint="eastAsia" w:ascii="宋体" w:hAnsi="宋体" w:eastAsia="宋体" w:cs="宋体"/>
          <w:color w:val="auto"/>
          <w:sz w:val="21"/>
          <w:szCs w:val="21"/>
          <w:highlight w:val="none"/>
        </w:rPr>
        <w:t>。</w:t>
      </w:r>
      <w:bookmarkStart w:id="484" w:name="_Toc16778824"/>
      <w:bookmarkStart w:id="485" w:name="_Toc82772082"/>
    </w:p>
    <w:p w14:paraId="6401D2FC">
      <w:pPr>
        <w:spacing w:line="400" w:lineRule="exact"/>
        <w:outlineLvl w:val="1"/>
        <w:rPr>
          <w:rFonts w:hint="eastAsia" w:ascii="宋体" w:hAnsi="宋体" w:eastAsia="宋体" w:cs="宋体"/>
          <w:b/>
          <w:bCs/>
          <w:color w:val="auto"/>
          <w:sz w:val="21"/>
          <w:szCs w:val="21"/>
          <w:highlight w:val="none"/>
        </w:rPr>
      </w:pPr>
      <w:bookmarkStart w:id="486" w:name="_Toc25159"/>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投标文件的澄清和说明</w:t>
      </w:r>
      <w:bookmarkEnd w:id="484"/>
      <w:bookmarkEnd w:id="485"/>
      <w:bookmarkEnd w:id="486"/>
    </w:p>
    <w:p w14:paraId="20C1CE9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3.7.1 在评标过程中，评标委员会可以书面形式要求投标人对投标文件中含义不明确的内容、 明显文字或计算错误进行书面澄清或说明。评标委员会不接受投标人主动提出的澄清、说明。投标人不按评标委员会要求澄清或说明的，评标委员会应否决其投标。 </w:t>
      </w:r>
    </w:p>
    <w:p w14:paraId="33CE846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3.7.2 澄清和说明不得超出投标文件的范围或改变投标文件的实质性内容（算术性错误的修正除外）。投标人的书面澄清、说明属于投标文件的组成部分。 </w:t>
      </w:r>
    </w:p>
    <w:p w14:paraId="20B668E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3.7.3 评标委员会不得暗示或诱导投标人作出澄清、说明，对投标人提交的澄清、说明有疑问的，可以要求投标人进一步澄清或说明，直至满足评标委员会的要求。 </w:t>
      </w:r>
    </w:p>
    <w:p w14:paraId="0F686AD1">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3.7.4 凡超出招标文件规定的或给发包人带来未曾要求的利益的变化、偏差或其他因素在评标时不予考虑。</w:t>
      </w:r>
    </w:p>
    <w:p w14:paraId="33C0133B">
      <w:pPr>
        <w:spacing w:line="400" w:lineRule="exact"/>
        <w:outlineLvl w:val="1"/>
        <w:rPr>
          <w:rFonts w:hint="eastAsia" w:ascii="宋体" w:hAnsi="宋体" w:eastAsia="宋体" w:cs="宋体"/>
          <w:b/>
          <w:bCs/>
          <w:color w:val="auto"/>
          <w:sz w:val="21"/>
          <w:szCs w:val="21"/>
          <w:highlight w:val="none"/>
        </w:rPr>
      </w:pPr>
      <w:bookmarkStart w:id="487" w:name="_Toc16778825"/>
      <w:bookmarkStart w:id="488" w:name="_Toc563"/>
      <w:bookmarkStart w:id="489" w:name="_Toc82772083"/>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不得否决投标的情形</w:t>
      </w:r>
      <w:bookmarkEnd w:id="487"/>
      <w:bookmarkEnd w:id="488"/>
      <w:bookmarkEnd w:id="489"/>
    </w:p>
    <w:p w14:paraId="11FFE77D">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投标文件存在第二章“投标人须知”第1.12.3 项所列情形的，均视为细微偏差，评标委员会不得否决投标人的投标，应按照第二章“投标人须知”第 1.12.4 项规定的原则处理。</w:t>
      </w:r>
    </w:p>
    <w:p w14:paraId="08D3A680">
      <w:pPr>
        <w:spacing w:line="400" w:lineRule="exact"/>
        <w:outlineLvl w:val="1"/>
        <w:rPr>
          <w:rFonts w:hint="eastAsia" w:ascii="宋体" w:hAnsi="宋体" w:eastAsia="宋体" w:cs="宋体"/>
          <w:b/>
          <w:bCs/>
          <w:color w:val="auto"/>
          <w:sz w:val="21"/>
          <w:szCs w:val="21"/>
          <w:highlight w:val="none"/>
        </w:rPr>
      </w:pPr>
      <w:bookmarkStart w:id="490" w:name="_Toc16778826"/>
      <w:bookmarkStart w:id="491" w:name="_Toc31681"/>
      <w:bookmarkStart w:id="492" w:name="_Toc82772084"/>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评标结果</w:t>
      </w:r>
      <w:bookmarkEnd w:id="490"/>
      <w:bookmarkEnd w:id="491"/>
      <w:bookmarkEnd w:id="492"/>
    </w:p>
    <w:p w14:paraId="7FB03E9C">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评标委员会完成评标后，应向招标人提交书面评标报告。评标报告应当由全体评标委员会成员签字。评标报告应当包括以下内容：</w:t>
      </w:r>
    </w:p>
    <w:p w14:paraId="5DA4EAED">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（1）基本情况和数据表；</w:t>
      </w:r>
    </w:p>
    <w:p w14:paraId="6CC4A2ED">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（2）评标委员会成员名单；</w:t>
      </w:r>
    </w:p>
    <w:p w14:paraId="4BE1F4F5">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（3）开标记录；</w:t>
      </w:r>
    </w:p>
    <w:p w14:paraId="3DA1A243">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（4）符合要求的投标一览表；</w:t>
      </w:r>
    </w:p>
    <w:p w14:paraId="710BBD17">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（5）废标情况说明；</w:t>
      </w:r>
    </w:p>
    <w:p w14:paraId="362A71CC">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（6）评标标准、评标方法或者评标因素一览表；</w:t>
      </w:r>
    </w:p>
    <w:p w14:paraId="6172AD80">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（7）经评审的价格一览表（包括评标委员会在评标过程中所形成的所有记载评标结果、结论的表格、说明、记录等文件）；</w:t>
      </w:r>
    </w:p>
    <w:p w14:paraId="46565600">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（8）推荐的</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标候选人名单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评标报告应当载明每个中标候选人的特点、优势、缺点、风险等评审情况和推荐理由,并对技术、质量、安全、工期的控制能力等提供技术咨询建议,供定标委员会参考</w:t>
      </w:r>
      <w:r>
        <w:rPr>
          <w:rFonts w:hint="eastAsia" w:ascii="宋体" w:hAnsi="宋体" w:eastAsia="宋体" w:cs="宋体"/>
          <w:color w:val="auto"/>
          <w:sz w:val="21"/>
          <w:szCs w:val="21"/>
          <w:highlight w:val="none"/>
          <w:lang w:eastAsia="zh-CN"/>
        </w:rPr>
        <w:t>；</w:t>
      </w:r>
    </w:p>
    <w:p w14:paraId="07F33D8D">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（9）澄清、说明或补正事项纪要</w:t>
      </w:r>
      <w:r>
        <w:rPr>
          <w:rFonts w:hint="eastAsia" w:ascii="宋体" w:hAnsi="宋体" w:eastAsia="宋体" w:cs="宋体"/>
          <w:color w:val="auto"/>
          <w:sz w:val="21"/>
          <w:szCs w:val="21"/>
          <w:highlight w:val="none"/>
          <w:lang w:eastAsia="zh-CN"/>
        </w:rPr>
        <w:t>；</w:t>
      </w:r>
    </w:p>
    <w:p w14:paraId="13497AC0">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评标委员会需在评标报告中载明投标文件是否存在围标、串标的情况</w:t>
      </w:r>
      <w:r>
        <w:rPr>
          <w:rFonts w:hint="eastAsia" w:ascii="宋体" w:hAnsi="宋体" w:eastAsia="宋体" w:cs="宋体"/>
          <w:color w:val="auto"/>
          <w:sz w:val="21"/>
          <w:szCs w:val="21"/>
          <w:highlight w:val="none"/>
        </w:rPr>
        <w:t>。</w:t>
      </w:r>
    </w:p>
    <w:p w14:paraId="12B90138">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3.9.2 招标人对评标结果有异议的，应当在中标候选人公示前依照法定程序组织原评标委员会进行复审，并形成复审报告，确实存在问题的，依照法定程序予以纠正。</w:t>
      </w:r>
    </w:p>
    <w:p w14:paraId="3273F0A1">
      <w:pPr>
        <w:keepNext w:val="0"/>
        <w:keepLines w:val="0"/>
        <w:pageBreakBefore w:val="0"/>
        <w:widowControl w:val="0"/>
        <w:kinsoku/>
        <w:wordWrap/>
        <w:overflowPunct/>
        <w:topLinePunct w:val="0"/>
        <w:autoSpaceDE/>
        <w:autoSpaceDN/>
        <w:bidi w:val="0"/>
        <w:adjustRightInd/>
        <w:snapToGrid/>
        <w:spacing w:line="390" w:lineRule="exact"/>
        <w:ind w:firstLine="420" w:firstLineChars="200"/>
        <w:textAlignment w:val="auto"/>
        <w:rPr>
          <w:rFonts w:hint="eastAsia" w:ascii="宋体" w:hAnsi="宋体" w:eastAsia="宋体" w:cs="宋体"/>
          <w:color w:val="auto"/>
          <w:sz w:val="21"/>
          <w:szCs w:val="21"/>
          <w:highlight w:val="none"/>
          <w:lang w:val="en-US" w:eastAsia="zh-CN"/>
        </w:rPr>
      </w:pPr>
      <w:bookmarkStart w:id="493" w:name="_Toc323"/>
      <w:bookmarkStart w:id="494" w:name="_Toc13205"/>
    </w:p>
    <w:p w14:paraId="20369566">
      <w:pPr>
        <w:rPr>
          <w:rFonts w:hint="eastAsia"/>
          <w:lang w:val="en-US" w:eastAsia="zh-CN"/>
        </w:rPr>
      </w:pPr>
    </w:p>
    <w:p w14:paraId="56994EA6">
      <w:pPr>
        <w:rPr>
          <w:rFonts w:hint="eastAsia"/>
          <w:lang w:val="en-US" w:eastAsia="zh-CN"/>
        </w:rPr>
      </w:pPr>
    </w:p>
    <w:p w14:paraId="537E9DD8">
      <w:pPr>
        <w:rPr>
          <w:rFonts w:hint="eastAsia"/>
          <w:lang w:val="en-US" w:eastAsia="zh-CN"/>
        </w:rPr>
      </w:pPr>
    </w:p>
    <w:p w14:paraId="5F05C9A0">
      <w:pPr>
        <w:rPr>
          <w:rFonts w:hint="eastAsia"/>
          <w:lang w:val="en-US" w:eastAsia="zh-CN"/>
        </w:rPr>
      </w:pPr>
    </w:p>
    <w:p w14:paraId="51A256A4">
      <w:pPr>
        <w:rPr>
          <w:rFonts w:hint="eastAsia"/>
          <w:lang w:val="en-US" w:eastAsia="zh-CN"/>
        </w:rPr>
      </w:pPr>
    </w:p>
    <w:p w14:paraId="1827BE68">
      <w:pPr>
        <w:rPr>
          <w:rFonts w:hint="eastAsia"/>
          <w:lang w:val="en-US" w:eastAsia="zh-CN"/>
        </w:rPr>
      </w:pPr>
    </w:p>
    <w:p w14:paraId="7FA2256E">
      <w:pPr>
        <w:rPr>
          <w:rFonts w:hint="eastAsia"/>
          <w:lang w:val="en-US" w:eastAsia="zh-CN"/>
        </w:rPr>
      </w:pPr>
    </w:p>
    <w:p w14:paraId="24629E04">
      <w:pPr>
        <w:rPr>
          <w:rFonts w:hint="eastAsia"/>
          <w:lang w:val="en-US" w:eastAsia="zh-CN"/>
        </w:rPr>
      </w:pPr>
    </w:p>
    <w:p w14:paraId="4EE5F05F">
      <w:pPr>
        <w:rPr>
          <w:rFonts w:hint="eastAsia"/>
          <w:lang w:val="en-US" w:eastAsia="zh-CN"/>
        </w:rPr>
      </w:pPr>
    </w:p>
    <w:p w14:paraId="36D0CBDD">
      <w:pPr>
        <w:rPr>
          <w:rFonts w:hint="eastAsia"/>
          <w:lang w:val="en-US" w:eastAsia="zh-CN"/>
        </w:rPr>
      </w:pPr>
    </w:p>
    <w:p w14:paraId="5CA69BD4">
      <w:pPr>
        <w:rPr>
          <w:rFonts w:hint="eastAsia"/>
          <w:lang w:val="en-US" w:eastAsia="zh-CN"/>
        </w:rPr>
      </w:pPr>
    </w:p>
    <w:p w14:paraId="30B3C931">
      <w:pPr>
        <w:rPr>
          <w:rFonts w:hint="eastAsia"/>
          <w:lang w:val="en-US" w:eastAsia="zh-CN"/>
        </w:rPr>
      </w:pPr>
    </w:p>
    <w:p w14:paraId="237D6ED9">
      <w:pPr>
        <w:rPr>
          <w:rFonts w:hint="eastAsia"/>
          <w:lang w:val="en-US" w:eastAsia="zh-CN"/>
        </w:rPr>
      </w:pPr>
    </w:p>
    <w:p w14:paraId="611675A3">
      <w:pPr>
        <w:rPr>
          <w:rFonts w:hint="eastAsia"/>
          <w:lang w:val="en-US" w:eastAsia="zh-CN"/>
        </w:rPr>
      </w:pPr>
    </w:p>
    <w:p w14:paraId="78F00D8D">
      <w:pPr>
        <w:rPr>
          <w:rFonts w:hint="eastAsia"/>
          <w:lang w:val="en-US" w:eastAsia="zh-CN"/>
        </w:rPr>
      </w:pPr>
    </w:p>
    <w:p w14:paraId="42B10138">
      <w:pPr>
        <w:rPr>
          <w:rFonts w:hint="eastAsia"/>
          <w:lang w:val="en-US" w:eastAsia="zh-CN"/>
        </w:rPr>
      </w:pPr>
    </w:p>
    <w:p w14:paraId="079D59DB">
      <w:pPr>
        <w:rPr>
          <w:rFonts w:hint="eastAsia"/>
          <w:lang w:val="en-US" w:eastAsia="zh-CN"/>
        </w:rPr>
      </w:pPr>
    </w:p>
    <w:p w14:paraId="7F8DA8E3">
      <w:pPr>
        <w:rPr>
          <w:rFonts w:hint="eastAsia"/>
          <w:lang w:val="en-US" w:eastAsia="zh-CN"/>
        </w:rPr>
      </w:pPr>
    </w:p>
    <w:p w14:paraId="7B41B059">
      <w:pPr>
        <w:rPr>
          <w:rFonts w:hint="eastAsia"/>
          <w:lang w:val="en-US" w:eastAsia="zh-CN"/>
        </w:rPr>
      </w:pPr>
    </w:p>
    <w:p w14:paraId="6BBFD912">
      <w:pPr>
        <w:rPr>
          <w:rFonts w:hint="eastAsia"/>
          <w:lang w:val="en-US" w:eastAsia="zh-CN"/>
        </w:rPr>
      </w:pPr>
    </w:p>
    <w:p w14:paraId="4B71C5E9">
      <w:pPr>
        <w:rPr>
          <w:rFonts w:hint="eastAsia"/>
          <w:lang w:val="en-US" w:eastAsia="zh-CN"/>
        </w:rPr>
      </w:pPr>
    </w:p>
    <w:p w14:paraId="2D604246">
      <w:pPr>
        <w:rPr>
          <w:rFonts w:hint="eastAsia"/>
          <w:lang w:val="en-US" w:eastAsia="zh-CN"/>
        </w:rPr>
      </w:pPr>
    </w:p>
    <w:p w14:paraId="1CBEF18F">
      <w:pPr>
        <w:rPr>
          <w:rFonts w:hint="eastAsia"/>
          <w:lang w:val="en-US" w:eastAsia="zh-CN"/>
        </w:rPr>
      </w:pPr>
    </w:p>
    <w:p w14:paraId="67DD90B8">
      <w:pPr>
        <w:rPr>
          <w:rFonts w:hint="eastAsia"/>
          <w:lang w:val="en-US" w:eastAsia="zh-CN"/>
        </w:rPr>
      </w:pPr>
    </w:p>
    <w:p w14:paraId="7C854781">
      <w:pPr>
        <w:rPr>
          <w:rFonts w:hint="eastAsia"/>
          <w:lang w:val="en-US" w:eastAsia="zh-CN"/>
        </w:rPr>
      </w:pPr>
    </w:p>
    <w:p w14:paraId="6CF818C9">
      <w:pPr>
        <w:rPr>
          <w:rFonts w:hint="eastAsia"/>
          <w:lang w:val="en-US" w:eastAsia="zh-CN"/>
        </w:rPr>
      </w:pPr>
    </w:p>
    <w:p w14:paraId="783403DF">
      <w:pPr>
        <w:rPr>
          <w:rFonts w:hint="eastAsia"/>
          <w:lang w:val="en-US" w:eastAsia="zh-CN"/>
        </w:rPr>
      </w:pPr>
    </w:p>
    <w:p w14:paraId="5E99A306">
      <w:pPr>
        <w:rPr>
          <w:rFonts w:hint="eastAsia"/>
          <w:lang w:val="en-US" w:eastAsia="zh-CN"/>
        </w:rPr>
      </w:pPr>
    </w:p>
    <w:p w14:paraId="37CCCF2D">
      <w:pPr>
        <w:jc w:val="center"/>
        <w:rPr>
          <w:rFonts w:hint="eastAsia" w:ascii="宋体" w:hAnsi="宋体" w:eastAsia="宋体" w:cs="Times New Roman"/>
          <w:b/>
          <w:bCs/>
          <w:color w:val="auto"/>
          <w:kern w:val="44"/>
          <w:sz w:val="32"/>
          <w:szCs w:val="32"/>
          <w:highlight w:val="none"/>
          <w:lang w:val="en-US" w:eastAsia="zh-CN" w:bidi="ar-SA"/>
        </w:rPr>
      </w:pPr>
      <w:r>
        <w:rPr>
          <w:rFonts w:hint="eastAsia"/>
          <w:b/>
          <w:bCs/>
          <w:sz w:val="32"/>
          <w:szCs w:val="32"/>
          <w:lang w:val="en-US" w:eastAsia="zh-CN"/>
        </w:rPr>
        <w:t>第四章 定标办法（核查随机法）</w:t>
      </w:r>
      <w:bookmarkEnd w:id="493"/>
      <w:bookmarkEnd w:id="494"/>
    </w:p>
    <w:p w14:paraId="28FA2DA9">
      <w:pPr>
        <w:wordWrap w:val="0"/>
        <w:spacing w:before="156" w:beforeLines="50" w:after="156" w:afterLines="50" w:line="240" w:lineRule="auto"/>
        <w:outlineLvl w:val="0"/>
        <w:rPr>
          <w:rFonts w:hint="eastAsia" w:ascii="宋体" w:hAnsi="宋体" w:cs="宋体"/>
          <w:b/>
          <w:bCs/>
          <w:color w:val="auto"/>
          <w:sz w:val="21"/>
          <w:szCs w:val="21"/>
          <w:highlight w:val="none"/>
        </w:rPr>
      </w:pPr>
      <w:bookmarkStart w:id="495" w:name="_Toc12050"/>
      <w:bookmarkStart w:id="496" w:name="_Toc19796"/>
      <w:bookmarkStart w:id="497" w:name="_Toc4448"/>
      <w:r>
        <w:rPr>
          <w:rFonts w:hint="eastAsia" w:ascii="宋体" w:hAnsi="宋体" w:cs="宋体"/>
          <w:b/>
          <w:bCs/>
          <w:color w:val="auto"/>
          <w:sz w:val="21"/>
          <w:szCs w:val="21"/>
          <w:highlight w:val="none"/>
        </w:rPr>
        <w:t>一、定标依据</w:t>
      </w:r>
      <w:bookmarkEnd w:id="495"/>
      <w:bookmarkEnd w:id="496"/>
      <w:bookmarkEnd w:id="497"/>
    </w:p>
    <w:p w14:paraId="6297BB41">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bookmarkStart w:id="498" w:name="OLE_LINK41"/>
      <w:r>
        <w:rPr>
          <w:rFonts w:hint="eastAsia" w:ascii="宋体" w:hAnsi="宋体" w:cs="宋体"/>
          <w:color w:val="auto"/>
          <w:sz w:val="21"/>
          <w:szCs w:val="21"/>
          <w:highlight w:val="none"/>
        </w:rPr>
        <w:t>本次定标办法的制定依据下列文件进行：</w:t>
      </w:r>
    </w:p>
    <w:p w14:paraId="1F62A0B6">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1、本项目招标文件；</w:t>
      </w:r>
    </w:p>
    <w:p w14:paraId="4860EED0">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lang w:val="en-US" w:eastAsia="zh-CN"/>
        </w:rPr>
        <w:t>本项目评标报告；</w:t>
      </w:r>
    </w:p>
    <w:p w14:paraId="729F467D">
      <w:pPr>
        <w:wordWrap w:val="0"/>
        <w:autoSpaceDE w:val="0"/>
        <w:autoSpaceDN w:val="0"/>
        <w:adjustRightInd w:val="0"/>
        <w:spacing w:line="420" w:lineRule="exact"/>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3、招标投标全过程资料；</w:t>
      </w:r>
    </w:p>
    <w:p w14:paraId="5E2361F7">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河南省交通运输厅关于印发河南省政府投资公路水运工程建设项目招标投标“评定分离办法的通知》（豫交规〔2026〕2号）</w:t>
      </w:r>
      <w:r>
        <w:rPr>
          <w:rFonts w:hint="eastAsia" w:ascii="宋体" w:hAnsi="宋体" w:cs="宋体"/>
          <w:color w:val="auto"/>
          <w:sz w:val="21"/>
          <w:szCs w:val="21"/>
          <w:highlight w:val="none"/>
        </w:rPr>
        <w:t>；</w:t>
      </w:r>
    </w:p>
    <w:p w14:paraId="5255A795">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、河南省发展和改革委员会关于印发《河南省政府投资工程建设项目招标投标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评定分离</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管理办法（试行）》的通知（豫发改公管规〔2025〕559号）；</w:t>
      </w:r>
    </w:p>
    <w:p w14:paraId="6D54F9CA">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、其他有关法律法规和相关制度。</w:t>
      </w:r>
    </w:p>
    <w:bookmarkEnd w:id="498"/>
    <w:p w14:paraId="4B74CE9A">
      <w:pPr>
        <w:wordWrap w:val="0"/>
        <w:spacing w:before="156" w:beforeLines="50" w:after="156" w:afterLines="50" w:line="420" w:lineRule="exact"/>
        <w:outlineLvl w:val="0"/>
        <w:rPr>
          <w:rFonts w:hint="eastAsia" w:ascii="宋体" w:hAnsi="宋体" w:cs="宋体"/>
          <w:b/>
          <w:bCs/>
          <w:color w:val="auto"/>
          <w:sz w:val="21"/>
          <w:szCs w:val="21"/>
          <w:highlight w:val="none"/>
        </w:rPr>
      </w:pPr>
      <w:bookmarkStart w:id="499" w:name="_Toc28603"/>
      <w:bookmarkStart w:id="500" w:name="_Toc22184"/>
      <w:bookmarkStart w:id="501" w:name="_Toc28753"/>
      <w:r>
        <w:rPr>
          <w:rFonts w:hint="eastAsia" w:ascii="宋体" w:hAnsi="宋体" w:cs="宋体"/>
          <w:b/>
          <w:bCs/>
          <w:color w:val="auto"/>
          <w:sz w:val="21"/>
          <w:szCs w:val="21"/>
          <w:highlight w:val="none"/>
        </w:rPr>
        <w:t>二、定标原则</w:t>
      </w:r>
      <w:bookmarkEnd w:id="499"/>
      <w:bookmarkEnd w:id="500"/>
      <w:bookmarkEnd w:id="501"/>
    </w:p>
    <w:p w14:paraId="4D1F3165">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bookmarkStart w:id="502" w:name="OLE_LINK42"/>
      <w:r>
        <w:rPr>
          <w:rFonts w:hint="eastAsia" w:ascii="宋体" w:hAnsi="宋体" w:cs="宋体"/>
          <w:color w:val="auto"/>
          <w:sz w:val="21"/>
          <w:szCs w:val="21"/>
          <w:highlight w:val="none"/>
        </w:rPr>
        <w:t>遵循公开透明、竞争择优、科学规范、廉洁高效的原则。</w:t>
      </w:r>
      <w:bookmarkEnd w:id="502"/>
      <w:bookmarkStart w:id="503" w:name="_Toc31048"/>
    </w:p>
    <w:p w14:paraId="4D74D8C7">
      <w:pPr>
        <w:wordWrap w:val="0"/>
        <w:spacing w:before="156" w:beforeLines="50" w:after="156" w:afterLines="50" w:line="420" w:lineRule="exact"/>
        <w:outlineLvl w:val="0"/>
        <w:rPr>
          <w:rFonts w:hint="default" w:ascii="宋体" w:hAnsi="宋体" w:eastAsia="宋体" w:cs="宋体"/>
          <w:b/>
          <w:bCs/>
          <w:color w:val="auto"/>
          <w:sz w:val="21"/>
          <w:szCs w:val="21"/>
          <w:highlight w:val="none"/>
          <w:lang w:val="en-US" w:eastAsia="zh-CN"/>
        </w:rPr>
      </w:pPr>
      <w:bookmarkStart w:id="504" w:name="_Toc23256"/>
      <w:bookmarkStart w:id="505" w:name="_Toc16772"/>
      <w:r>
        <w:rPr>
          <w:rFonts w:hint="eastAsia" w:ascii="宋体" w:hAnsi="宋体" w:cs="宋体"/>
          <w:b/>
          <w:bCs/>
          <w:color w:val="auto"/>
          <w:sz w:val="21"/>
          <w:szCs w:val="21"/>
          <w:highlight w:val="none"/>
        </w:rPr>
        <w:t>三、定标方法</w:t>
      </w:r>
      <w:bookmarkEnd w:id="503"/>
      <w:bookmarkEnd w:id="504"/>
      <w:bookmarkEnd w:id="505"/>
    </w:p>
    <w:p w14:paraId="043CB064">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bookmarkStart w:id="506" w:name="OLE_LINK43"/>
      <w:r>
        <w:rPr>
          <w:rFonts w:hint="eastAsia" w:ascii="宋体" w:hAnsi="宋体" w:cs="宋体"/>
          <w:color w:val="auto"/>
          <w:sz w:val="21"/>
          <w:szCs w:val="21"/>
          <w:highlight w:val="none"/>
        </w:rPr>
        <w:t>本项目定标方法采用核查随机法确定中标人。</w:t>
      </w:r>
    </w:p>
    <w:p w14:paraId="6ED31735">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核查随机法:定标委员会在通过核查的中标候选人中按照随机选取方式确定中标人。</w:t>
      </w:r>
    </w:p>
    <w:bookmarkEnd w:id="506"/>
    <w:p w14:paraId="24C6C700">
      <w:pPr>
        <w:wordWrap w:val="0"/>
        <w:spacing w:before="156" w:beforeLines="50" w:after="156" w:afterLines="50" w:line="420" w:lineRule="exact"/>
        <w:outlineLvl w:val="0"/>
        <w:rPr>
          <w:rFonts w:hint="eastAsia" w:ascii="宋体" w:hAnsi="宋体" w:cs="宋体"/>
          <w:b/>
          <w:bCs/>
          <w:color w:val="auto"/>
          <w:sz w:val="21"/>
          <w:szCs w:val="21"/>
          <w:highlight w:val="none"/>
        </w:rPr>
      </w:pPr>
      <w:bookmarkStart w:id="507" w:name="_Toc31431"/>
      <w:bookmarkStart w:id="508" w:name="_Toc29754"/>
      <w:bookmarkStart w:id="509" w:name="_Toc18476"/>
      <w:r>
        <w:rPr>
          <w:rFonts w:hint="eastAsia" w:ascii="宋体" w:hAnsi="宋体" w:cs="宋体"/>
          <w:b/>
          <w:bCs/>
          <w:color w:val="auto"/>
          <w:sz w:val="21"/>
          <w:szCs w:val="21"/>
          <w:highlight w:val="none"/>
        </w:rPr>
        <w:t>四、定标委员会的组建</w:t>
      </w:r>
      <w:bookmarkEnd w:id="507"/>
      <w:bookmarkEnd w:id="508"/>
      <w:bookmarkEnd w:id="509"/>
    </w:p>
    <w:p w14:paraId="19C5E035">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招标人应当组建定标委员会，定标委员会成员数量为5人及以上单数，招标人单位成员不得低于成员总数的三分之二。定标委员会设组长，组长原则由招标人的法定代表人、主要负责人或分管负责人担任，其他成员可由招标人自行选定</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定标委员会成员与中标候选人有利害关系的，应当主动申请回避。定标委员会名单在中标结果确定前应当保密。</w:t>
      </w:r>
    </w:p>
    <w:p w14:paraId="330E6FAA">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定标委员会成员应当对定标过程保密，对所提出的定标意见承担个人责任，不得私下与投标人或者其他利害关系人接触。</w:t>
      </w:r>
    </w:p>
    <w:p w14:paraId="36B60116">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有下列情况之一的，不得担任定标委员会成员：</w:t>
      </w:r>
    </w:p>
    <w:p w14:paraId="192E87B9">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1.与中标候选人或中标候选人主要负责人有近亲属关系或有经济利益关系的，可能影响定标公正的；</w:t>
      </w:r>
    </w:p>
    <w:p w14:paraId="421D4963">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2.曾因在招标投标有关活动中从事违法行为而受过行政处罚或刑事处罚的；</w:t>
      </w:r>
    </w:p>
    <w:p w14:paraId="595EF649">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3.中标候选人的在职人员或招标项目代理机构的在职人员。</w:t>
      </w:r>
    </w:p>
    <w:p w14:paraId="33641751">
      <w:pPr>
        <w:wordWrap w:val="0"/>
        <w:spacing w:before="156" w:beforeLines="50" w:after="156" w:afterLines="50" w:line="420" w:lineRule="exact"/>
        <w:outlineLvl w:val="0"/>
        <w:rPr>
          <w:rFonts w:hint="eastAsia" w:ascii="宋体" w:hAnsi="宋体" w:cs="宋体"/>
          <w:b/>
          <w:bCs/>
          <w:color w:val="auto"/>
          <w:sz w:val="21"/>
          <w:szCs w:val="21"/>
          <w:highlight w:val="none"/>
        </w:rPr>
      </w:pPr>
      <w:bookmarkStart w:id="510" w:name="_Toc28259"/>
      <w:bookmarkStart w:id="511" w:name="_Toc25315"/>
      <w:bookmarkStart w:id="512" w:name="_Toc9111"/>
      <w:r>
        <w:rPr>
          <w:rFonts w:hint="eastAsia" w:ascii="宋体" w:hAnsi="宋体" w:cs="宋体"/>
          <w:b/>
          <w:bCs/>
          <w:color w:val="auto"/>
          <w:sz w:val="21"/>
          <w:szCs w:val="21"/>
          <w:highlight w:val="none"/>
        </w:rPr>
        <w:t>五、定标核查</w:t>
      </w:r>
      <w:bookmarkEnd w:id="510"/>
      <w:bookmarkEnd w:id="511"/>
      <w:bookmarkEnd w:id="512"/>
    </w:p>
    <w:p w14:paraId="2602CA75">
      <w:pPr>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5.1定标委员会将对中标候选人进行定标核查。</w:t>
      </w:r>
    </w:p>
    <w:p w14:paraId="353291F0">
      <w:pPr>
        <w:spacing w:line="420" w:lineRule="exact"/>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核查内容包括：</w:t>
      </w:r>
    </w:p>
    <w:p w14:paraId="3035EF21">
      <w:pPr>
        <w:numPr>
          <w:ilvl w:val="0"/>
          <w:numId w:val="0"/>
        </w:num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（1）营业执照、资质证书、安全生产许可证；</w:t>
      </w:r>
    </w:p>
    <w:p w14:paraId="3CE1B555">
      <w:pPr>
        <w:numPr>
          <w:ilvl w:val="0"/>
          <w:numId w:val="0"/>
        </w:num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（2）项目经理注册证书及安全生产考核合格证项目、总工职称证、项目组人员相关从业资格证书； </w:t>
      </w:r>
    </w:p>
    <w:p w14:paraId="304870E6">
      <w:pPr>
        <w:numPr>
          <w:ilvl w:val="0"/>
          <w:numId w:val="0"/>
        </w:num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（3）中标候选人及其法定代表人和拟派项目经理不得存在以下情形之一：①被列入国家企业信用信息公示系统“</w:t>
      </w:r>
      <w:r>
        <w:rPr>
          <w:rFonts w:hint="eastAsia" w:ascii="宋体" w:hAnsi="宋体" w:cs="宋体"/>
          <w:color w:val="auto"/>
          <w:sz w:val="21"/>
          <w:szCs w:val="21"/>
          <w:highlight w:val="none"/>
          <w:lang w:val="en-US" w:eastAsia="zh-CN"/>
        </w:rPr>
        <w:t>严重违法</w:t>
      </w:r>
      <w:r>
        <w:rPr>
          <w:rFonts w:hint="eastAsia" w:ascii="宋体" w:hAnsi="宋体" w:eastAsia="宋体" w:cs="宋体"/>
          <w:color w:val="auto"/>
          <w:sz w:val="21"/>
          <w:szCs w:val="21"/>
          <w:highlight w:val="none"/>
          <w:lang w:val="en-US" w:eastAsia="zh-CN"/>
        </w:rPr>
        <w:t>失信名单”的；②被列入“信用中国”（www.creditchina.gov.cn）或“中国执行信息公开网”（zxgk.court.gov.cn）的“失信被执行人名单”、“重大税收违法失信主体名单”</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；③被列入“中国政府采购网</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（www.ccgp.gov.cn）</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政府采购严重违法失信行为名单”的；④被列入全国或省级建筑市场监管公共服务平台“黑名单”的；⑤投标所用资质项在全国或省级建筑市场监管公共服务平台资质状况被标注资质异常状态的；</w:t>
      </w:r>
    </w:p>
    <w:p w14:paraId="78169B5E">
      <w:pPr>
        <w:numPr>
          <w:ilvl w:val="0"/>
          <w:numId w:val="0"/>
        </w:num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定标委员会通过全国建筑市场监管公共服务平台、国家企业信用信息公示系统、“信用中国”网站、省级建筑市场监管公共服务平台等渠道进行查询并留档，查询信息的时间为核查当日时间。若存在一个及以上记录的，其中标候选人资格应予以否决。</w:t>
      </w:r>
    </w:p>
    <w:p w14:paraId="4E1C92FB">
      <w:pPr>
        <w:numPr>
          <w:ilvl w:val="0"/>
          <w:numId w:val="0"/>
        </w:num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（4）社保证明：项目负责人、项目总工、项目组成人员、委托代理人等社保证明；</w:t>
      </w:r>
    </w:p>
    <w:p w14:paraId="66E6E543">
      <w:pPr>
        <w:numPr>
          <w:ilvl w:val="0"/>
          <w:numId w:val="0"/>
        </w:numPr>
        <w:spacing w:line="42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（5）施工方案:重点、关键和难点工程的施工方案、工期保证措施、关键工程质量保证措施、安全保证措施、环境保护、水土保持、文明施工、文物保护保证措施等</w:t>
      </w:r>
      <w:r>
        <w:rPr>
          <w:rFonts w:hint="eastAsia" w:ascii="宋体" w:hAnsi="宋体" w:cs="宋体"/>
          <w:color w:val="auto"/>
          <w:sz w:val="21"/>
          <w:szCs w:val="21"/>
          <w:highlight w:val="none"/>
          <w:lang w:val="en-US" w:eastAsia="zh-CN"/>
        </w:rPr>
        <w:t>；</w:t>
      </w:r>
    </w:p>
    <w:p w14:paraId="795B9273">
      <w:pPr>
        <w:numPr>
          <w:ilvl w:val="0"/>
          <w:numId w:val="0"/>
        </w:num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（6）企业实力:主要包括企业规模、资质等级、专业技术人员规模、近三年财务状况、业绩、拟派团队人员的实力等； </w:t>
      </w:r>
    </w:p>
    <w:p w14:paraId="6C8D0617">
      <w:pPr>
        <w:numPr>
          <w:ilvl w:val="0"/>
          <w:numId w:val="0"/>
        </w:num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（7）中标候选人生产经营情况及履约能力等；</w:t>
      </w:r>
    </w:p>
    <w:p w14:paraId="77E7CF5B">
      <w:pPr>
        <w:numPr>
          <w:ilvl w:val="0"/>
          <w:numId w:val="0"/>
        </w:num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（8）招标人认为需考量的其他要素。</w:t>
      </w:r>
    </w:p>
    <w:p w14:paraId="560F30D8">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5.2 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p>
    <w:p w14:paraId="6FB5FB43">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5.3 核查内容不得设置不合理限制和隐性壁垒。招标文件中没有规定的核查标准和方法不得作为定标核查的依据，不得在定标过程中新增定标条件和要求。</w:t>
      </w:r>
    </w:p>
    <w:p w14:paraId="1C44DAA8">
      <w:pPr>
        <w:wordWrap w:val="0"/>
        <w:autoSpaceDE w:val="0"/>
        <w:autoSpaceDN w:val="0"/>
        <w:adjustRightInd w:val="0"/>
        <w:spacing w:line="420" w:lineRule="exact"/>
        <w:ind w:firstLine="420" w:firstLineChars="200"/>
        <w:rPr>
          <w:rFonts w:hint="eastAsia" w:ascii="宋体" w:hAnsi="宋体" w:cs="宋体"/>
          <w:color w:val="auto"/>
          <w:kern w:val="0"/>
          <w:sz w:val="21"/>
          <w:szCs w:val="21"/>
          <w:highlight w:val="none"/>
        </w:rPr>
      </w:pPr>
      <w:r>
        <w:rPr>
          <w:rFonts w:hint="eastAsia" w:ascii="宋体" w:hAnsi="宋体" w:cs="宋体"/>
          <w:color w:val="auto"/>
          <w:sz w:val="21"/>
          <w:szCs w:val="21"/>
          <w:highlight w:val="none"/>
        </w:rPr>
        <w:t>5.4 定标委员会经核查发现中标候选人确有弄虚作假、串通投标等情形的，应当否决相应中标候选人的中标资格，并及</w:t>
      </w:r>
      <w:r>
        <w:rPr>
          <w:rFonts w:hint="eastAsia" w:ascii="宋体" w:hAnsi="宋体" w:cs="宋体"/>
          <w:color w:val="000000" w:themeColor="text1"/>
          <w:sz w:val="21"/>
          <w:szCs w:val="21"/>
          <w:highlight w:val="none"/>
          <w14:textFill>
            <w14:solidFill>
              <w14:schemeClr w14:val="tx1"/>
            </w14:solidFill>
          </w14:textFill>
        </w:rPr>
        <w:t>时向行政监督部门报告</w:t>
      </w:r>
      <w:r>
        <w:rPr>
          <w:rFonts w:hint="eastAsia" w:ascii="宋体" w:hAnsi="宋体" w:cs="宋体"/>
          <w:color w:val="auto"/>
          <w:sz w:val="21"/>
          <w:szCs w:val="21"/>
          <w:highlight w:val="none"/>
          <w:lang w:eastAsia="zh-CN"/>
        </w:rPr>
        <w:t>。</w:t>
      </w:r>
    </w:p>
    <w:p w14:paraId="4CC60D38">
      <w:pPr>
        <w:wordWrap w:val="0"/>
        <w:spacing w:before="156" w:beforeLines="50" w:after="156" w:afterLines="50" w:line="420" w:lineRule="exact"/>
        <w:outlineLvl w:val="0"/>
        <w:rPr>
          <w:rFonts w:hint="eastAsia" w:ascii="宋体" w:hAnsi="宋体" w:cs="宋体"/>
          <w:b/>
          <w:bCs/>
          <w:color w:val="auto"/>
          <w:sz w:val="21"/>
          <w:szCs w:val="21"/>
          <w:highlight w:val="none"/>
        </w:rPr>
      </w:pPr>
      <w:bookmarkStart w:id="513" w:name="_Toc11203"/>
      <w:bookmarkStart w:id="514" w:name="_Toc18959"/>
      <w:bookmarkStart w:id="515" w:name="_Toc23939"/>
      <w:bookmarkStart w:id="516" w:name="_Toc21868"/>
      <w:r>
        <w:rPr>
          <w:rFonts w:hint="eastAsia" w:ascii="宋体" w:hAnsi="宋体" w:cs="宋体"/>
          <w:b/>
          <w:bCs/>
          <w:color w:val="auto"/>
          <w:sz w:val="21"/>
          <w:szCs w:val="21"/>
          <w:highlight w:val="none"/>
        </w:rPr>
        <w:t>六、定标程序</w:t>
      </w:r>
      <w:bookmarkEnd w:id="513"/>
      <w:bookmarkEnd w:id="514"/>
      <w:bookmarkEnd w:id="515"/>
      <w:bookmarkEnd w:id="516"/>
    </w:p>
    <w:p w14:paraId="2ECFFCA5">
      <w:pPr>
        <w:pStyle w:val="34"/>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 xml:space="preserve">定标委员会将通过核查随机法进行定标。 </w:t>
      </w:r>
    </w:p>
    <w:p w14:paraId="04AC4F39">
      <w:pPr>
        <w:pStyle w:val="34"/>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定标地点为</w:t>
      </w:r>
      <w:r>
        <w:rPr>
          <w:rFonts w:hint="eastAsia" w:hAnsi="宋体" w:cs="宋体"/>
          <w:color w:val="auto"/>
          <w:sz w:val="21"/>
          <w:szCs w:val="21"/>
          <w:highlight w:val="none"/>
          <w:lang w:val="en-US" w:eastAsia="zh-CN"/>
        </w:rPr>
        <w:t>新蔡县</w:t>
      </w:r>
      <w:r>
        <w:rPr>
          <w:rFonts w:hint="eastAsia" w:hAnsi="宋体" w:cs="宋体"/>
          <w:color w:val="auto"/>
          <w:sz w:val="21"/>
          <w:szCs w:val="21"/>
          <w:highlight w:val="none"/>
        </w:rPr>
        <w:t>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6FC02E9E">
      <w:pPr>
        <w:pStyle w:val="34"/>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1、在定标现场放置标注为“1”、“2”的2组自然数代码球.</w:t>
      </w:r>
    </w:p>
    <w:p w14:paraId="14F03E6A">
      <w:pPr>
        <w:pStyle w:val="34"/>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2、第一轮随机确定选用的代码球组号：在抽取箱内放入2个标注为“1”、“2”的代码球，</w:t>
      </w:r>
      <w:r>
        <w:rPr>
          <w:rFonts w:hint="eastAsia" w:hAnsi="宋体" w:cs="宋体"/>
          <w:color w:val="auto"/>
          <w:sz w:val="21"/>
          <w:szCs w:val="21"/>
          <w:highlight w:val="none"/>
          <w:lang w:val="en-US" w:eastAsia="zh-CN"/>
        </w:rPr>
        <w:t>定标委员会组长</w:t>
      </w:r>
      <w:r>
        <w:rPr>
          <w:rFonts w:hint="eastAsia" w:hAnsi="宋体" w:cs="宋体"/>
          <w:color w:val="auto"/>
          <w:sz w:val="21"/>
          <w:szCs w:val="21"/>
          <w:highlight w:val="none"/>
        </w:rPr>
        <w:t>从中随机选取1个代码球，选取代码球数字即为本次定标选用的代码球组号。</w:t>
      </w:r>
    </w:p>
    <w:p w14:paraId="6F0928E9">
      <w:pPr>
        <w:pStyle w:val="34"/>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3、第二轮随机确定抽取顺序：在抽取箱放入标有从1到N自然数的乒乓球（N为经评审合格的中标候选人数），由中标候选人抽取代码球，代码球上的数字对应为相应中标候选人。</w:t>
      </w:r>
    </w:p>
    <w:p w14:paraId="3A6C1BAA">
      <w:pPr>
        <w:pStyle w:val="34"/>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4、第三轮随机选取中标人：在抽取箱内放入N个代码球，定标委员会组长从中随机抽取1个代码球，抽中代码球对应的中标候选人即为中标人。</w:t>
      </w:r>
    </w:p>
    <w:p w14:paraId="64DDF78C">
      <w:pPr>
        <w:pStyle w:val="34"/>
        <w:wordWrap w:val="0"/>
        <w:spacing w:line="42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p>
    <w:p w14:paraId="30CBAD4E">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7456E508">
      <w:pPr>
        <w:wordWrap w:val="0"/>
        <w:autoSpaceDE w:val="0"/>
        <w:autoSpaceDN w:val="0"/>
        <w:adjustRightInd w:val="0"/>
        <w:spacing w:line="420" w:lineRule="exact"/>
        <w:outlineLvl w:val="0"/>
        <w:rPr>
          <w:rFonts w:hint="eastAsia" w:ascii="宋体" w:hAnsi="宋体" w:eastAsia="宋体" w:cs="宋体"/>
          <w:b/>
          <w:bCs/>
          <w:color w:val="auto"/>
          <w:sz w:val="21"/>
          <w:szCs w:val="21"/>
          <w:highlight w:val="none"/>
        </w:rPr>
      </w:pPr>
      <w:bookmarkStart w:id="517" w:name="_Toc13688"/>
      <w:bookmarkStart w:id="518" w:name="_Toc16119"/>
      <w:bookmarkStart w:id="519" w:name="_Toc21472"/>
      <w:bookmarkStart w:id="520" w:name="_Toc27971"/>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定标报告</w:t>
      </w:r>
      <w:bookmarkEnd w:id="517"/>
    </w:p>
    <w:p w14:paraId="5AA101CB">
      <w:pPr>
        <w:wordWrap w:val="0"/>
        <w:autoSpaceDE w:val="0"/>
        <w:autoSpaceDN w:val="0"/>
        <w:adjustRightInd w:val="0"/>
        <w:spacing w:line="420" w:lineRule="exact"/>
        <w:ind w:firstLine="420" w:firstLineChars="200"/>
        <w:outlineLvl w:val="9"/>
        <w:rPr>
          <w:rFonts w:hint="eastAsia" w:ascii="宋体" w:hAnsi="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7D2EFD58">
      <w:pPr>
        <w:wordWrap w:val="0"/>
        <w:autoSpaceDE w:val="0"/>
        <w:autoSpaceDN w:val="0"/>
        <w:adjustRightInd w:val="0"/>
        <w:spacing w:line="420" w:lineRule="exact"/>
        <w:ind w:firstLine="420" w:firstLineChars="200"/>
        <w:outlineLvl w:val="9"/>
        <w:rPr>
          <w:rFonts w:hint="eastAsia" w:ascii="宋体" w:hAnsi="宋体" w:cs="宋体"/>
          <w:color w:val="auto"/>
          <w:sz w:val="21"/>
          <w:szCs w:val="21"/>
          <w:highlight w:val="none"/>
        </w:rPr>
      </w:pPr>
      <w:r>
        <w:rPr>
          <w:rFonts w:hint="eastAsia" w:ascii="宋体" w:hAnsi="宋体" w:cs="宋体"/>
          <w:color w:val="auto"/>
          <w:sz w:val="21"/>
          <w:szCs w:val="21"/>
          <w:highlight w:val="none"/>
        </w:rPr>
        <w:t>招标人应当在定标工作完成后3日内发布中标结果公示，公示期不少于3日。中标结果公示应当载明定标时间、定标地点、定标方法、中标人名称、中标价格、质量、工期（服务期限）、资格条件、项目负责人信息，中标候选人</w:t>
      </w:r>
      <w:r>
        <w:rPr>
          <w:rFonts w:hint="eastAsia" w:ascii="宋体" w:hAnsi="宋体" w:cs="宋体"/>
          <w:color w:val="000000" w:themeColor="text1"/>
          <w:sz w:val="21"/>
          <w:szCs w:val="21"/>
          <w:highlight w:val="none"/>
          <w14:textFill>
            <w14:solidFill>
              <w14:schemeClr w14:val="tx1"/>
            </w14:solidFill>
          </w14:textFill>
        </w:rPr>
        <w:t>的核查、考察、比较优</w:t>
      </w:r>
      <w:r>
        <w:rPr>
          <w:rFonts w:hint="eastAsia" w:ascii="宋体" w:hAnsi="宋体" w:cs="宋体"/>
          <w:color w:val="auto"/>
          <w:sz w:val="21"/>
          <w:szCs w:val="21"/>
          <w:highlight w:val="none"/>
        </w:rPr>
        <w:t>势，核查未通过的中标候选人名单和原因，以及异议和投诉渠道等内容。对中标结果公示有异议的，应当在公示期内向招标人提出。</w:t>
      </w:r>
      <w:bookmarkEnd w:id="518"/>
    </w:p>
    <w:p w14:paraId="483463DC">
      <w:pPr>
        <w:wordWrap w:val="0"/>
        <w:autoSpaceDE w:val="0"/>
        <w:autoSpaceDN w:val="0"/>
        <w:adjustRightInd w:val="0"/>
        <w:spacing w:line="420" w:lineRule="exact"/>
        <w:outlineLvl w:val="0"/>
        <w:rPr>
          <w:rFonts w:hint="eastAsia" w:ascii="宋体" w:hAnsi="宋体" w:cs="宋体"/>
          <w:b/>
          <w:bCs/>
          <w:color w:val="auto"/>
          <w:sz w:val="21"/>
          <w:szCs w:val="21"/>
          <w:highlight w:val="none"/>
        </w:rPr>
      </w:pPr>
      <w:bookmarkStart w:id="521" w:name="_Toc23427"/>
      <w:bookmarkStart w:id="522" w:name="_Toc21709"/>
      <w:r>
        <w:rPr>
          <w:rFonts w:hint="eastAsia" w:ascii="宋体" w:hAnsi="宋体" w:cs="宋体"/>
          <w:b/>
          <w:bCs/>
          <w:color w:val="auto"/>
          <w:sz w:val="21"/>
          <w:szCs w:val="21"/>
          <w:highlight w:val="none"/>
        </w:rPr>
        <w:t>八、定标后结果处置</w:t>
      </w:r>
      <w:bookmarkEnd w:id="519"/>
      <w:bookmarkEnd w:id="520"/>
      <w:bookmarkEnd w:id="521"/>
      <w:bookmarkEnd w:id="522"/>
    </w:p>
    <w:p w14:paraId="4DE63ED0">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bookmarkStart w:id="523" w:name="OLE_LINK49"/>
      <w:r>
        <w:rPr>
          <w:rFonts w:hint="eastAsia" w:ascii="宋体" w:hAnsi="宋体" w:cs="宋体"/>
          <w:color w:val="auto"/>
          <w:sz w:val="21"/>
          <w:szCs w:val="21"/>
          <w:highlight w:val="none"/>
        </w:rPr>
        <w:t>（1）确定的中标人经公示后无异议，可以发放《中标通知书》。</w:t>
      </w:r>
    </w:p>
    <w:p w14:paraId="6C2EEBBE">
      <w:pPr>
        <w:wordWrap w:val="0"/>
        <w:autoSpaceDE w:val="0"/>
        <w:autoSpaceDN w:val="0"/>
        <w:adjustRightInd w:val="0"/>
        <w:spacing w:line="420" w:lineRule="exact"/>
        <w:ind w:firstLine="420" w:firstLineChars="200"/>
        <w:rPr>
          <w:rFonts w:hint="eastAsia" w:ascii="宋体" w:hAnsi="宋体" w:cs="宋体"/>
          <w:color w:val="0000FF"/>
          <w:sz w:val="21"/>
          <w:szCs w:val="21"/>
          <w:highlight w:val="none"/>
        </w:rPr>
      </w:pPr>
      <w:r>
        <w:rPr>
          <w:rFonts w:hint="eastAsia" w:ascii="宋体" w:hAnsi="宋体" w:cs="宋体"/>
          <w:color w:val="auto"/>
          <w:sz w:val="21"/>
          <w:szCs w:val="21"/>
          <w:highlight w:val="none"/>
        </w:rPr>
        <w:t>（2）对中标人放弃中标、不可抗力不能履行合同、</w:t>
      </w:r>
      <w:r>
        <w:rPr>
          <w:rFonts w:hint="eastAsia" w:ascii="宋体" w:hAnsi="宋体" w:cs="宋体"/>
          <w:color w:val="000000" w:themeColor="text1"/>
          <w:sz w:val="21"/>
          <w:szCs w:val="21"/>
          <w:highlight w:val="none"/>
          <w14:textFill>
            <w14:solidFill>
              <w14:schemeClr w14:val="tx1"/>
            </w14:solidFill>
          </w14:textFill>
        </w:rPr>
        <w:t>不按照招标文件要求缴纳履约保证金、不符合投标或中标条件、被查实存在影响中标结果的违法行为等情形，招标人可以由原定标委员会在调整后的中标候选人中重新确定中标人，也可以重新组织招标。</w:t>
      </w:r>
    </w:p>
    <w:p w14:paraId="26A52B98">
      <w:pPr>
        <w:wordWrap w:val="0"/>
        <w:autoSpaceDE w:val="0"/>
        <w:autoSpaceDN w:val="0"/>
        <w:adjustRightInd w:val="0"/>
        <w:spacing w:line="420" w:lineRule="exact"/>
        <w:ind w:firstLine="420" w:firstLineChars="2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auto"/>
          <w:sz w:val="21"/>
          <w:szCs w:val="21"/>
          <w:highlight w:val="none"/>
        </w:rPr>
        <w:t>（3）对中标人以非正当理</w:t>
      </w:r>
      <w:r>
        <w:rPr>
          <w:rFonts w:hint="eastAsia" w:ascii="宋体" w:hAnsi="宋体" w:cs="宋体"/>
          <w:color w:val="000000" w:themeColor="text1"/>
          <w:sz w:val="21"/>
          <w:szCs w:val="21"/>
          <w:highlight w:val="none"/>
          <w14:textFill>
            <w14:solidFill>
              <w14:schemeClr w14:val="tx1"/>
            </w14:solidFill>
          </w14:textFill>
        </w:rPr>
        <w:t>由放弃中标或被依法依规取消中标资格的，招标人应当向有关行政监督部门报告。</w:t>
      </w:r>
    </w:p>
    <w:p w14:paraId="0815D7E8">
      <w:pPr>
        <w:wordWrap w:val="0"/>
        <w:autoSpaceDE w:val="0"/>
        <w:autoSpaceDN w:val="0"/>
        <w:adjustRightInd w:val="0"/>
        <w:spacing w:line="42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（4）定标后有下列情形之一的，应当重新定标:</w:t>
      </w:r>
    </w:p>
    <w:p w14:paraId="5D5B4C62">
      <w:pPr>
        <w:wordWrap w:val="0"/>
        <w:autoSpaceDE w:val="0"/>
        <w:autoSpaceDN w:val="0"/>
        <w:adjustRightInd w:val="0"/>
        <w:spacing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(一)定标委员会未按定标办法公正履职的</w:t>
      </w:r>
      <w:r>
        <w:rPr>
          <w:rFonts w:hint="eastAsia" w:ascii="宋体" w:hAnsi="宋体" w:cs="宋体"/>
          <w:color w:val="auto"/>
          <w:sz w:val="21"/>
          <w:szCs w:val="21"/>
          <w:highlight w:val="none"/>
          <w:lang w:eastAsia="zh-CN"/>
        </w:rPr>
        <w:t>；</w:t>
      </w:r>
    </w:p>
    <w:p w14:paraId="1F205926">
      <w:pPr>
        <w:wordWrap w:val="0"/>
        <w:autoSpaceDE w:val="0"/>
        <w:autoSpaceDN w:val="0"/>
        <w:adjustRightInd w:val="0"/>
        <w:spacing w:line="42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(二)定标委员会成员与中标候选人有利害关系且未回避的</w:t>
      </w:r>
      <w:r>
        <w:rPr>
          <w:rFonts w:hint="eastAsia" w:ascii="宋体" w:hAnsi="宋体" w:cs="宋体"/>
          <w:color w:val="auto"/>
          <w:sz w:val="21"/>
          <w:szCs w:val="21"/>
          <w:highlight w:val="none"/>
          <w:lang w:eastAsia="zh-CN"/>
        </w:rPr>
        <w:t>；</w:t>
      </w:r>
    </w:p>
    <w:p w14:paraId="6960E75E">
      <w:pPr>
        <w:wordWrap w:val="0"/>
        <w:autoSpaceDE w:val="0"/>
        <w:autoSpaceDN w:val="0"/>
        <w:adjustRightInd w:val="0"/>
        <w:spacing w:line="420" w:lineRule="exact"/>
        <w:ind w:firstLine="420" w:firstLineChars="200"/>
        <w:rPr>
          <w:rFonts w:hint="eastAsia" w:ascii="宋体" w:hAnsi="宋体" w:cs="宋体"/>
          <w:color w:val="auto"/>
          <w:sz w:val="24"/>
          <w:szCs w:val="24"/>
          <w:highlight w:val="none"/>
        </w:rPr>
      </w:pPr>
      <w:r>
        <w:rPr>
          <w:rFonts w:hint="eastAsia" w:ascii="宋体" w:hAnsi="宋体" w:cs="宋体"/>
          <w:color w:val="auto"/>
          <w:sz w:val="21"/>
          <w:szCs w:val="21"/>
          <w:highlight w:val="none"/>
        </w:rPr>
        <w:t>(三)招标文件规定的其他情形。</w:t>
      </w:r>
    </w:p>
    <w:bookmarkEnd w:id="523"/>
    <w:p w14:paraId="657A4941">
      <w:pPr>
        <w:rPr>
          <w:color w:val="auto"/>
          <w:highlight w:val="none"/>
        </w:rPr>
      </w:pPr>
    </w:p>
    <w:p w14:paraId="1298C754">
      <w:pPr>
        <w:numPr>
          <w:ilvl w:val="0"/>
          <w:numId w:val="0"/>
        </w:numPr>
        <w:rPr>
          <w:color w:val="auto"/>
          <w:highlight w:val="none"/>
        </w:rPr>
      </w:pPr>
    </w:p>
    <w:p w14:paraId="09EB9062">
      <w:pPr>
        <w:pStyle w:val="10"/>
        <w:rPr>
          <w:color w:val="auto"/>
          <w:highlight w:val="none"/>
        </w:rPr>
      </w:pPr>
    </w:p>
    <w:p w14:paraId="50805EA5">
      <w:pPr>
        <w:pStyle w:val="25"/>
        <w:rPr>
          <w:color w:val="auto"/>
          <w:highlight w:val="none"/>
        </w:rPr>
      </w:pPr>
    </w:p>
    <w:p w14:paraId="57D698F8">
      <w:pPr>
        <w:pStyle w:val="10"/>
        <w:rPr>
          <w:color w:val="auto"/>
          <w:highlight w:val="none"/>
        </w:rPr>
      </w:pPr>
    </w:p>
    <w:p w14:paraId="2BC88CA5">
      <w:pPr>
        <w:pStyle w:val="25"/>
        <w:rPr>
          <w:color w:val="auto"/>
          <w:highlight w:val="none"/>
        </w:rPr>
      </w:pPr>
    </w:p>
    <w:p w14:paraId="64AFBA74">
      <w:pPr>
        <w:pStyle w:val="10"/>
      </w:pPr>
    </w:p>
    <w:p w14:paraId="180302E9">
      <w:pPr>
        <w:spacing w:line="520" w:lineRule="exact"/>
        <w:jc w:val="center"/>
        <w:rPr>
          <w:rFonts w:hint="eastAsia" w:ascii="宋体" w:hAnsi="宋体"/>
          <w:b/>
          <w:bCs/>
          <w:color w:val="auto"/>
          <w:sz w:val="52"/>
          <w:szCs w:val="52"/>
          <w:highlight w:val="none"/>
        </w:rPr>
      </w:pPr>
    </w:p>
    <w:p w14:paraId="6A527E3B">
      <w:pPr>
        <w:spacing w:line="520" w:lineRule="exact"/>
        <w:jc w:val="center"/>
        <w:rPr>
          <w:rFonts w:hint="eastAsia" w:ascii="宋体" w:hAnsi="宋体"/>
          <w:b/>
          <w:bCs/>
          <w:color w:val="auto"/>
          <w:sz w:val="52"/>
          <w:szCs w:val="52"/>
          <w:highlight w:val="none"/>
        </w:rPr>
      </w:pPr>
    </w:p>
    <w:p w14:paraId="2768C5A8">
      <w:pPr>
        <w:spacing w:line="520" w:lineRule="exact"/>
        <w:jc w:val="center"/>
        <w:rPr>
          <w:rFonts w:hint="eastAsia" w:ascii="宋体" w:hAnsi="宋体"/>
          <w:b/>
          <w:bCs/>
          <w:color w:val="auto"/>
          <w:sz w:val="52"/>
          <w:szCs w:val="52"/>
          <w:highlight w:val="none"/>
        </w:rPr>
      </w:pPr>
    </w:p>
    <w:p w14:paraId="0CD5EE5A">
      <w:pPr>
        <w:spacing w:line="520" w:lineRule="exact"/>
        <w:jc w:val="center"/>
        <w:rPr>
          <w:rFonts w:hint="eastAsia" w:ascii="宋体" w:hAnsi="宋体"/>
          <w:b/>
          <w:bCs/>
          <w:color w:val="auto"/>
          <w:sz w:val="52"/>
          <w:szCs w:val="52"/>
          <w:highlight w:val="none"/>
        </w:rPr>
      </w:pPr>
    </w:p>
    <w:p w14:paraId="3DBDFB4B">
      <w:pPr>
        <w:spacing w:line="520" w:lineRule="exact"/>
        <w:jc w:val="center"/>
        <w:rPr>
          <w:rFonts w:hint="eastAsia" w:ascii="宋体" w:hAnsi="宋体"/>
          <w:b/>
          <w:bCs/>
          <w:color w:val="auto"/>
          <w:sz w:val="52"/>
          <w:szCs w:val="52"/>
          <w:highlight w:val="none"/>
        </w:rPr>
      </w:pPr>
    </w:p>
    <w:p w14:paraId="7E3EBE1B">
      <w:pPr>
        <w:spacing w:line="520" w:lineRule="exact"/>
        <w:jc w:val="center"/>
        <w:rPr>
          <w:rFonts w:hint="eastAsia" w:ascii="宋体" w:hAnsi="宋体"/>
          <w:b/>
          <w:bCs/>
          <w:color w:val="auto"/>
          <w:sz w:val="52"/>
          <w:szCs w:val="52"/>
          <w:highlight w:val="none"/>
        </w:rPr>
      </w:pPr>
    </w:p>
    <w:p w14:paraId="6E39B4A4">
      <w:pPr>
        <w:pStyle w:val="10"/>
        <w:rPr>
          <w:rFonts w:hint="eastAsia" w:ascii="宋体" w:hAnsi="宋体"/>
          <w:b/>
          <w:bCs/>
          <w:color w:val="auto"/>
          <w:sz w:val="52"/>
          <w:szCs w:val="52"/>
          <w:highlight w:val="none"/>
        </w:rPr>
      </w:pPr>
    </w:p>
    <w:p w14:paraId="5FF77BA7">
      <w:pPr>
        <w:pStyle w:val="11"/>
        <w:rPr>
          <w:rFonts w:hint="eastAsia" w:ascii="宋体" w:hAnsi="宋体"/>
          <w:b/>
          <w:bCs/>
          <w:color w:val="auto"/>
          <w:sz w:val="52"/>
          <w:szCs w:val="52"/>
          <w:highlight w:val="none"/>
        </w:rPr>
      </w:pPr>
    </w:p>
    <w:p w14:paraId="29570746">
      <w:pPr>
        <w:pStyle w:val="14"/>
        <w:rPr>
          <w:rFonts w:hint="eastAsia" w:ascii="宋体" w:hAnsi="宋体"/>
          <w:b/>
          <w:bCs/>
          <w:color w:val="auto"/>
          <w:sz w:val="52"/>
          <w:szCs w:val="52"/>
          <w:highlight w:val="none"/>
        </w:rPr>
      </w:pPr>
    </w:p>
    <w:p w14:paraId="7D9D1C69">
      <w:pPr>
        <w:rPr>
          <w:rFonts w:hint="eastAsia" w:ascii="宋体" w:hAnsi="宋体"/>
          <w:b/>
          <w:bCs/>
          <w:color w:val="auto"/>
          <w:sz w:val="52"/>
          <w:szCs w:val="52"/>
          <w:highlight w:val="none"/>
        </w:rPr>
      </w:pPr>
    </w:p>
    <w:p w14:paraId="0B6D49A9">
      <w:pPr>
        <w:pStyle w:val="10"/>
        <w:rPr>
          <w:rFonts w:hint="eastAsia"/>
        </w:rPr>
      </w:pPr>
    </w:p>
    <w:p w14:paraId="44D23EB2">
      <w:pPr>
        <w:pStyle w:val="11"/>
        <w:rPr>
          <w:rFonts w:hint="eastAsia"/>
        </w:rPr>
      </w:pPr>
    </w:p>
    <w:p w14:paraId="0CEB14E4">
      <w:pPr>
        <w:pStyle w:val="14"/>
        <w:rPr>
          <w:rFonts w:hint="eastAsia"/>
        </w:rPr>
      </w:pPr>
    </w:p>
    <w:p w14:paraId="09580B36">
      <w:pPr>
        <w:rPr>
          <w:rFonts w:hint="eastAsia"/>
        </w:rPr>
      </w:pPr>
    </w:p>
    <w:p w14:paraId="6C9310FA">
      <w:pPr>
        <w:rPr>
          <w:rFonts w:hint="eastAsia"/>
        </w:rPr>
      </w:pPr>
    </w:p>
    <w:p w14:paraId="48460BEB">
      <w:pPr>
        <w:spacing w:line="520" w:lineRule="exact"/>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w:t>
      </w:r>
    </w:p>
    <w:p w14:paraId="16E34182">
      <w:pPr>
        <w:spacing w:line="520" w:lineRule="exact"/>
        <w:jc w:val="center"/>
        <w:rPr>
          <w:rFonts w:ascii="宋体" w:hAnsi="宋体"/>
          <w:b/>
          <w:bCs/>
          <w:color w:val="auto"/>
          <w:sz w:val="52"/>
          <w:szCs w:val="52"/>
          <w:highlight w:val="none"/>
        </w:rPr>
      </w:pPr>
    </w:p>
    <w:p w14:paraId="69273C3E">
      <w:pPr>
        <w:spacing w:line="520" w:lineRule="exact"/>
        <w:jc w:val="center"/>
        <w:rPr>
          <w:rFonts w:hint="eastAsia" w:ascii="宋体" w:hAnsi="宋体"/>
          <w:b/>
          <w:bCs/>
          <w:color w:val="auto"/>
          <w:sz w:val="52"/>
          <w:szCs w:val="52"/>
          <w:highlight w:val="none"/>
        </w:rPr>
      </w:pPr>
    </w:p>
    <w:p w14:paraId="740DBC57">
      <w:pPr>
        <w:spacing w:line="520" w:lineRule="exact"/>
        <w:jc w:val="center"/>
        <w:rPr>
          <w:rFonts w:hint="eastAsia"/>
        </w:rPr>
      </w:pPr>
      <w:r>
        <w:rPr>
          <w:rFonts w:hint="eastAsia" w:ascii="宋体" w:hAnsi="宋体"/>
          <w:b/>
          <w:bCs/>
          <w:color w:val="auto"/>
          <w:sz w:val="52"/>
          <w:szCs w:val="52"/>
          <w:highlight w:val="none"/>
        </w:rPr>
        <w:t xml:space="preserve"> </w:t>
      </w:r>
    </w:p>
    <w:p w14:paraId="6FF7A074">
      <w:pPr>
        <w:pStyle w:val="27"/>
        <w:spacing w:line="400" w:lineRule="exact"/>
        <w:jc w:val="center"/>
        <w:rPr>
          <w:rFonts w:hint="eastAsia" w:ascii="宋体" w:hAnsi="宋体" w:eastAsia="宋体" w:cs="宋体"/>
          <w:bCs w:val="0"/>
          <w:color w:val="auto"/>
          <w:sz w:val="52"/>
          <w:szCs w:val="52"/>
          <w:highlight w:val="none"/>
        </w:rPr>
      </w:pPr>
      <w:bookmarkStart w:id="524" w:name="_Toc17677"/>
      <w:bookmarkStart w:id="525" w:name="_Toc13148"/>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五</w:t>
      </w:r>
      <w:r>
        <w:rPr>
          <w:rFonts w:hint="eastAsia" w:ascii="宋体" w:hAnsi="宋体" w:eastAsia="宋体" w:cs="宋体"/>
          <w:color w:val="auto"/>
          <w:highlight w:val="none"/>
        </w:rPr>
        <w:t>章  合同条款及格式</w:t>
      </w:r>
      <w:bookmarkEnd w:id="524"/>
      <w:bookmarkEnd w:id="525"/>
    </w:p>
    <w:p w14:paraId="26F2B3FE">
      <w:pPr>
        <w:tabs>
          <w:tab w:val="left" w:pos="4500"/>
        </w:tabs>
        <w:spacing w:line="360" w:lineRule="auto"/>
        <w:jc w:val="center"/>
        <w:rPr>
          <w:rFonts w:hint="eastAsia" w:ascii="宋体" w:hAnsi="宋体" w:cs="宋体"/>
          <w:b/>
          <w:color w:val="auto"/>
          <w:sz w:val="28"/>
          <w:szCs w:val="28"/>
          <w:highlight w:val="none"/>
        </w:rPr>
      </w:pPr>
    </w:p>
    <w:p w14:paraId="49DDD30E">
      <w:pPr>
        <w:pStyle w:val="3"/>
        <w:ind w:left="0" w:leftChars="0" w:firstLine="0" w:firstLineChars="0"/>
        <w:jc w:val="center"/>
        <w:rPr>
          <w:rFonts w:ascii="宋体" w:eastAsia="宋体"/>
          <w:b/>
          <w:bCs/>
          <w:color w:val="auto"/>
          <w:sz w:val="28"/>
          <w:szCs w:val="28"/>
          <w:highlight w:val="none"/>
        </w:rPr>
      </w:pPr>
      <w:bookmarkStart w:id="526" w:name="_Toc10382"/>
      <w:r>
        <w:rPr>
          <w:rFonts w:hint="eastAsia" w:ascii="宋体" w:eastAsia="宋体"/>
          <w:b/>
          <w:bCs/>
          <w:color w:val="auto"/>
          <w:sz w:val="28"/>
          <w:szCs w:val="28"/>
          <w:highlight w:val="none"/>
        </w:rPr>
        <w:t>第一节  通用合同条款</w:t>
      </w:r>
      <w:bookmarkEnd w:id="526"/>
    </w:p>
    <w:p w14:paraId="32954ECF">
      <w:pPr>
        <w:adjustRightInd w:val="0"/>
        <w:snapToGrid w:val="0"/>
        <w:spacing w:line="360" w:lineRule="auto"/>
        <w:jc w:val="center"/>
        <w:rPr>
          <w:rFonts w:ascii="宋体" w:hAnsi="宋体"/>
          <w:b/>
          <w:color w:val="auto"/>
          <w:sz w:val="24"/>
          <w:szCs w:val="24"/>
          <w:highlight w:val="none"/>
        </w:rPr>
      </w:pPr>
      <w:r>
        <w:rPr>
          <w:rFonts w:hint="eastAsia" w:ascii="宋体" w:hAnsi="宋体"/>
          <w:color w:val="auto"/>
          <w:sz w:val="24"/>
          <w:szCs w:val="24"/>
          <w:highlight w:val="none"/>
        </w:rPr>
        <w:t>采用《</w:t>
      </w:r>
      <w:r>
        <w:rPr>
          <w:rFonts w:hint="eastAsia" w:ascii="宋体" w:hAnsi="宋体"/>
          <w:color w:val="auto"/>
          <w:sz w:val="24"/>
          <w:szCs w:val="24"/>
          <w:highlight w:val="none"/>
          <w:lang w:eastAsia="zh-CN"/>
        </w:rPr>
        <w:t>公路工程</w:t>
      </w:r>
      <w:r>
        <w:rPr>
          <w:rFonts w:hint="eastAsia" w:ascii="宋体" w:hAnsi="宋体"/>
          <w:color w:val="auto"/>
          <w:sz w:val="24"/>
          <w:szCs w:val="24"/>
          <w:highlight w:val="none"/>
        </w:rPr>
        <w:t>标准施工招标文件》（2018年版）的“通用合同条款”。</w:t>
      </w:r>
    </w:p>
    <w:p w14:paraId="2EC2EA1A">
      <w:pPr>
        <w:spacing w:line="520" w:lineRule="exact"/>
        <w:jc w:val="center"/>
        <w:outlineLvl w:val="1"/>
        <w:rPr>
          <w:rFonts w:ascii="宋体" w:hAnsi="宋体"/>
          <w:b/>
          <w:bCs/>
          <w:color w:val="auto"/>
          <w:sz w:val="21"/>
          <w:szCs w:val="21"/>
          <w:highlight w:val="none"/>
        </w:rPr>
      </w:pPr>
      <w:r>
        <w:rPr>
          <w:rFonts w:hint="eastAsia" w:ascii="宋体" w:hAnsi="宋体"/>
          <w:b/>
          <w:bCs/>
          <w:color w:val="auto"/>
          <w:sz w:val="21"/>
          <w:szCs w:val="21"/>
          <w:highlight w:val="none"/>
        </w:rPr>
        <w:t xml:space="preserve"> </w:t>
      </w:r>
    </w:p>
    <w:p w14:paraId="24F09CFD">
      <w:pPr>
        <w:spacing w:line="520" w:lineRule="exact"/>
        <w:jc w:val="center"/>
        <w:outlineLvl w:val="1"/>
        <w:rPr>
          <w:rFonts w:ascii="宋体" w:hAnsi="宋体"/>
          <w:b/>
          <w:bCs/>
          <w:color w:val="auto"/>
          <w:sz w:val="21"/>
          <w:szCs w:val="21"/>
          <w:highlight w:val="none"/>
        </w:rPr>
      </w:pPr>
      <w:r>
        <w:rPr>
          <w:rFonts w:hint="eastAsia" w:ascii="宋体" w:hAnsi="宋体"/>
          <w:b/>
          <w:bCs/>
          <w:color w:val="auto"/>
          <w:sz w:val="21"/>
          <w:szCs w:val="21"/>
          <w:highlight w:val="none"/>
        </w:rPr>
        <w:t xml:space="preserve"> </w:t>
      </w:r>
    </w:p>
    <w:p w14:paraId="0F8EB119">
      <w:pPr>
        <w:spacing w:line="520" w:lineRule="exact"/>
        <w:jc w:val="center"/>
        <w:outlineLvl w:val="1"/>
        <w:rPr>
          <w:rFonts w:ascii="宋体" w:hAnsi="宋体"/>
          <w:b/>
          <w:bCs/>
          <w:color w:val="auto"/>
          <w:sz w:val="21"/>
          <w:szCs w:val="21"/>
          <w:highlight w:val="none"/>
        </w:rPr>
      </w:pPr>
      <w:r>
        <w:rPr>
          <w:rFonts w:hint="eastAsia" w:ascii="宋体" w:hAnsi="宋体"/>
          <w:b/>
          <w:bCs/>
          <w:color w:val="auto"/>
          <w:sz w:val="21"/>
          <w:szCs w:val="21"/>
          <w:highlight w:val="none"/>
        </w:rPr>
        <w:t xml:space="preserve"> </w:t>
      </w:r>
    </w:p>
    <w:p w14:paraId="58C47608">
      <w:pPr>
        <w:spacing w:line="520" w:lineRule="exact"/>
        <w:jc w:val="center"/>
        <w:outlineLvl w:val="1"/>
        <w:rPr>
          <w:rFonts w:ascii="宋体" w:hAnsi="宋体"/>
          <w:b/>
          <w:bCs/>
          <w:color w:val="auto"/>
          <w:sz w:val="21"/>
          <w:szCs w:val="21"/>
          <w:highlight w:val="none"/>
        </w:rPr>
      </w:pPr>
      <w:r>
        <w:rPr>
          <w:rFonts w:hint="eastAsia" w:ascii="宋体" w:hAnsi="宋体"/>
          <w:b/>
          <w:bCs/>
          <w:color w:val="auto"/>
          <w:sz w:val="21"/>
          <w:szCs w:val="21"/>
          <w:highlight w:val="none"/>
        </w:rPr>
        <w:t xml:space="preserve"> </w:t>
      </w:r>
    </w:p>
    <w:p w14:paraId="2C862DA9">
      <w:pPr>
        <w:spacing w:line="520" w:lineRule="exact"/>
        <w:jc w:val="center"/>
        <w:outlineLvl w:val="1"/>
        <w:rPr>
          <w:rFonts w:ascii="宋体" w:hAnsi="宋体"/>
          <w:b/>
          <w:bCs/>
          <w:color w:val="auto"/>
          <w:sz w:val="21"/>
          <w:szCs w:val="21"/>
          <w:highlight w:val="none"/>
        </w:rPr>
      </w:pPr>
      <w:r>
        <w:rPr>
          <w:rFonts w:hint="eastAsia" w:ascii="宋体" w:hAnsi="宋体"/>
          <w:b/>
          <w:bCs/>
          <w:color w:val="auto"/>
          <w:sz w:val="21"/>
          <w:szCs w:val="21"/>
          <w:highlight w:val="none"/>
        </w:rPr>
        <w:t xml:space="preserve"> </w:t>
      </w:r>
    </w:p>
    <w:p w14:paraId="6253F17A">
      <w:pPr>
        <w:spacing w:line="520" w:lineRule="exact"/>
        <w:jc w:val="center"/>
        <w:outlineLvl w:val="1"/>
        <w:rPr>
          <w:rFonts w:ascii="宋体" w:hAnsi="宋体"/>
          <w:b/>
          <w:bCs/>
          <w:color w:val="auto"/>
          <w:sz w:val="21"/>
          <w:szCs w:val="21"/>
          <w:highlight w:val="none"/>
        </w:rPr>
      </w:pPr>
      <w:r>
        <w:rPr>
          <w:rFonts w:hint="eastAsia" w:ascii="宋体" w:hAnsi="宋体"/>
          <w:b/>
          <w:bCs/>
          <w:color w:val="auto"/>
          <w:sz w:val="21"/>
          <w:szCs w:val="21"/>
          <w:highlight w:val="none"/>
        </w:rPr>
        <w:t xml:space="preserve"> </w:t>
      </w:r>
    </w:p>
    <w:p w14:paraId="4958B057">
      <w:pPr>
        <w:spacing w:line="520" w:lineRule="exact"/>
        <w:jc w:val="center"/>
        <w:outlineLvl w:val="1"/>
        <w:rPr>
          <w:rFonts w:ascii="宋体" w:hAnsi="宋体"/>
          <w:b/>
          <w:bCs/>
          <w:color w:val="auto"/>
          <w:sz w:val="21"/>
          <w:szCs w:val="21"/>
          <w:highlight w:val="none"/>
        </w:rPr>
      </w:pPr>
      <w:r>
        <w:rPr>
          <w:rFonts w:hint="eastAsia" w:ascii="宋体" w:hAnsi="宋体"/>
          <w:b/>
          <w:bCs/>
          <w:color w:val="auto"/>
          <w:sz w:val="21"/>
          <w:szCs w:val="21"/>
          <w:highlight w:val="none"/>
        </w:rPr>
        <w:t xml:space="preserve">  </w:t>
      </w:r>
    </w:p>
    <w:p w14:paraId="137085FE">
      <w:pPr>
        <w:spacing w:line="520" w:lineRule="exact"/>
        <w:jc w:val="center"/>
        <w:outlineLvl w:val="1"/>
        <w:rPr>
          <w:rStyle w:val="39"/>
          <w:rFonts w:hint="eastAsia" w:ascii="宋体" w:hAnsi="宋体" w:eastAsia="宋体"/>
          <w:color w:val="auto"/>
          <w:sz w:val="21"/>
          <w:szCs w:val="21"/>
          <w:highlight w:val="none"/>
        </w:rPr>
      </w:pPr>
      <w:bookmarkStart w:id="527" w:name="_Toc16322"/>
      <w:bookmarkEnd w:id="527"/>
      <w:bookmarkStart w:id="528" w:name="_Toc19584"/>
    </w:p>
    <w:p w14:paraId="38BD0AA7">
      <w:pPr>
        <w:spacing w:line="520" w:lineRule="exact"/>
        <w:jc w:val="center"/>
        <w:outlineLvl w:val="1"/>
        <w:rPr>
          <w:rStyle w:val="39"/>
          <w:rFonts w:hint="eastAsia" w:ascii="宋体" w:hAnsi="宋体" w:eastAsia="宋体"/>
          <w:color w:val="auto"/>
          <w:sz w:val="21"/>
          <w:szCs w:val="21"/>
          <w:highlight w:val="none"/>
        </w:rPr>
      </w:pPr>
    </w:p>
    <w:p w14:paraId="47976802">
      <w:pPr>
        <w:spacing w:line="520" w:lineRule="exact"/>
        <w:jc w:val="center"/>
        <w:outlineLvl w:val="1"/>
        <w:rPr>
          <w:rStyle w:val="39"/>
          <w:rFonts w:hint="eastAsia" w:ascii="宋体" w:hAnsi="宋体" w:eastAsia="宋体"/>
          <w:color w:val="auto"/>
          <w:sz w:val="21"/>
          <w:szCs w:val="21"/>
          <w:highlight w:val="none"/>
        </w:rPr>
      </w:pPr>
    </w:p>
    <w:p w14:paraId="6F815AB0">
      <w:pPr>
        <w:spacing w:line="520" w:lineRule="exact"/>
        <w:jc w:val="center"/>
        <w:outlineLvl w:val="1"/>
        <w:rPr>
          <w:rStyle w:val="39"/>
          <w:rFonts w:hint="eastAsia" w:ascii="宋体" w:hAnsi="宋体" w:eastAsia="宋体"/>
          <w:color w:val="auto"/>
          <w:sz w:val="21"/>
          <w:szCs w:val="21"/>
          <w:highlight w:val="none"/>
        </w:rPr>
      </w:pPr>
    </w:p>
    <w:p w14:paraId="391B5F37">
      <w:pPr>
        <w:spacing w:line="520" w:lineRule="exact"/>
        <w:jc w:val="center"/>
        <w:outlineLvl w:val="1"/>
        <w:rPr>
          <w:rStyle w:val="39"/>
          <w:rFonts w:hint="eastAsia" w:ascii="宋体" w:hAnsi="宋体" w:eastAsia="宋体"/>
          <w:color w:val="auto"/>
          <w:sz w:val="21"/>
          <w:szCs w:val="21"/>
          <w:highlight w:val="none"/>
        </w:rPr>
      </w:pPr>
    </w:p>
    <w:p w14:paraId="73E0F87F">
      <w:pPr>
        <w:spacing w:line="520" w:lineRule="exact"/>
        <w:jc w:val="center"/>
        <w:outlineLvl w:val="1"/>
        <w:rPr>
          <w:rStyle w:val="39"/>
          <w:rFonts w:hint="eastAsia" w:ascii="宋体" w:hAnsi="宋体" w:eastAsia="宋体"/>
          <w:color w:val="auto"/>
          <w:sz w:val="21"/>
          <w:szCs w:val="21"/>
          <w:highlight w:val="none"/>
        </w:rPr>
      </w:pPr>
    </w:p>
    <w:p w14:paraId="69098D05">
      <w:pPr>
        <w:spacing w:line="520" w:lineRule="exact"/>
        <w:jc w:val="center"/>
        <w:outlineLvl w:val="1"/>
        <w:rPr>
          <w:rStyle w:val="39"/>
          <w:rFonts w:hint="eastAsia" w:ascii="宋体" w:hAnsi="宋体" w:eastAsia="宋体"/>
          <w:color w:val="auto"/>
          <w:sz w:val="21"/>
          <w:szCs w:val="21"/>
          <w:highlight w:val="none"/>
        </w:rPr>
      </w:pPr>
    </w:p>
    <w:p w14:paraId="5F3AB4B5">
      <w:pPr>
        <w:spacing w:line="520" w:lineRule="exact"/>
        <w:jc w:val="center"/>
        <w:outlineLvl w:val="1"/>
        <w:rPr>
          <w:rStyle w:val="39"/>
          <w:rFonts w:hint="eastAsia" w:ascii="宋体" w:hAnsi="宋体" w:eastAsia="宋体"/>
          <w:color w:val="auto"/>
          <w:sz w:val="21"/>
          <w:szCs w:val="21"/>
          <w:highlight w:val="none"/>
        </w:rPr>
      </w:pPr>
    </w:p>
    <w:p w14:paraId="16CC821E">
      <w:pPr>
        <w:spacing w:line="520" w:lineRule="exact"/>
        <w:jc w:val="center"/>
        <w:outlineLvl w:val="1"/>
        <w:rPr>
          <w:rStyle w:val="39"/>
          <w:rFonts w:hint="eastAsia" w:ascii="宋体" w:hAnsi="宋体" w:eastAsia="宋体"/>
          <w:color w:val="auto"/>
          <w:sz w:val="21"/>
          <w:szCs w:val="21"/>
          <w:highlight w:val="none"/>
        </w:rPr>
      </w:pPr>
    </w:p>
    <w:p w14:paraId="049102DE">
      <w:pPr>
        <w:spacing w:line="520" w:lineRule="exact"/>
        <w:jc w:val="center"/>
        <w:outlineLvl w:val="1"/>
        <w:rPr>
          <w:rStyle w:val="39"/>
          <w:rFonts w:hint="eastAsia" w:ascii="宋体" w:hAnsi="宋体" w:eastAsia="宋体"/>
          <w:color w:val="auto"/>
          <w:sz w:val="21"/>
          <w:szCs w:val="21"/>
          <w:highlight w:val="none"/>
        </w:rPr>
      </w:pPr>
    </w:p>
    <w:p w14:paraId="36B38856">
      <w:pPr>
        <w:spacing w:line="520" w:lineRule="exact"/>
        <w:jc w:val="center"/>
        <w:outlineLvl w:val="1"/>
        <w:rPr>
          <w:rStyle w:val="39"/>
          <w:rFonts w:hint="eastAsia" w:ascii="宋体" w:hAnsi="宋体" w:eastAsia="宋体"/>
          <w:color w:val="auto"/>
          <w:sz w:val="21"/>
          <w:szCs w:val="21"/>
          <w:highlight w:val="none"/>
        </w:rPr>
      </w:pPr>
    </w:p>
    <w:p w14:paraId="4B527D20">
      <w:pPr>
        <w:spacing w:line="520" w:lineRule="exact"/>
        <w:jc w:val="center"/>
        <w:outlineLvl w:val="1"/>
        <w:rPr>
          <w:rStyle w:val="39"/>
          <w:rFonts w:hint="eastAsia" w:ascii="宋体" w:hAnsi="宋体" w:eastAsia="宋体"/>
          <w:color w:val="auto"/>
          <w:sz w:val="21"/>
          <w:szCs w:val="21"/>
          <w:highlight w:val="none"/>
        </w:rPr>
      </w:pPr>
    </w:p>
    <w:p w14:paraId="0EF68BE5">
      <w:pPr>
        <w:spacing w:line="520" w:lineRule="exact"/>
        <w:jc w:val="center"/>
        <w:outlineLvl w:val="1"/>
        <w:rPr>
          <w:rStyle w:val="39"/>
          <w:rFonts w:hint="eastAsia" w:ascii="宋体" w:hAnsi="宋体" w:eastAsia="宋体"/>
          <w:color w:val="auto"/>
          <w:sz w:val="21"/>
          <w:szCs w:val="21"/>
          <w:highlight w:val="none"/>
        </w:rPr>
      </w:pPr>
    </w:p>
    <w:p w14:paraId="1B95D95D">
      <w:pPr>
        <w:spacing w:line="520" w:lineRule="exact"/>
        <w:jc w:val="center"/>
        <w:outlineLvl w:val="1"/>
        <w:rPr>
          <w:rStyle w:val="39"/>
          <w:rFonts w:hint="eastAsia" w:ascii="宋体" w:hAnsi="宋体" w:eastAsia="宋体"/>
          <w:color w:val="auto"/>
          <w:sz w:val="21"/>
          <w:szCs w:val="21"/>
          <w:highlight w:val="none"/>
        </w:rPr>
      </w:pPr>
    </w:p>
    <w:p w14:paraId="503C37C0">
      <w:pPr>
        <w:spacing w:line="520" w:lineRule="exact"/>
        <w:jc w:val="center"/>
        <w:outlineLvl w:val="1"/>
        <w:rPr>
          <w:rFonts w:ascii="宋体" w:hAnsi="宋体"/>
          <w:bCs/>
          <w:color w:val="auto"/>
          <w:sz w:val="28"/>
          <w:szCs w:val="28"/>
          <w:highlight w:val="none"/>
        </w:rPr>
      </w:pPr>
      <w:r>
        <w:rPr>
          <w:rStyle w:val="39"/>
          <w:rFonts w:hint="eastAsia" w:ascii="宋体" w:hAnsi="宋体" w:eastAsia="宋体"/>
          <w:color w:val="auto"/>
          <w:sz w:val="28"/>
          <w:szCs w:val="28"/>
          <w:highlight w:val="none"/>
        </w:rPr>
        <w:t>第二节  专用合同条款</w:t>
      </w:r>
      <w:bookmarkEnd w:id="528"/>
    </w:p>
    <w:p w14:paraId="7D7E4033">
      <w:pPr>
        <w:keepNext w:val="0"/>
        <w:keepLines w:val="0"/>
        <w:pageBreakBefore w:val="0"/>
        <w:widowControl w:val="0"/>
        <w:kinsoku/>
        <w:wordWrap/>
        <w:overflowPunct/>
        <w:topLinePunct w:val="0"/>
        <w:autoSpaceDE/>
        <w:autoSpaceDN/>
        <w:bidi w:val="0"/>
        <w:adjustRightInd/>
        <w:snapToGrid/>
        <w:spacing w:before="0" w:beforeLines="50" w:line="520" w:lineRule="exact"/>
        <w:jc w:val="center"/>
        <w:textAlignment w:val="auto"/>
        <w:rPr>
          <w:rFonts w:ascii="宋体" w:hAnsi="宋体"/>
          <w:color w:val="auto"/>
          <w:sz w:val="24"/>
          <w:szCs w:val="24"/>
          <w:highlight w:val="none"/>
        </w:rPr>
      </w:pPr>
      <w:bookmarkStart w:id="529" w:name="_Toc132601562"/>
      <w:bookmarkEnd w:id="529"/>
      <w:r>
        <w:rPr>
          <w:rFonts w:hint="eastAsia" w:ascii="宋体" w:hAnsi="宋体"/>
          <w:b/>
          <w:bCs w:val="0"/>
          <w:color w:val="auto"/>
          <w:sz w:val="24"/>
          <w:szCs w:val="24"/>
          <w:highlight w:val="none"/>
        </w:rPr>
        <w:t>A.公路工程专用合同条款</w:t>
      </w:r>
    </w:p>
    <w:p w14:paraId="0595DAF5">
      <w:pPr>
        <w:keepNext w:val="0"/>
        <w:keepLines w:val="0"/>
        <w:pageBreakBefore w:val="0"/>
        <w:widowControl w:val="0"/>
        <w:kinsoku/>
        <w:wordWrap/>
        <w:overflowPunct/>
        <w:topLinePunct w:val="0"/>
        <w:autoSpaceDN/>
        <w:bidi w:val="0"/>
        <w:adjustRightInd/>
        <w:snapToGrid/>
        <w:spacing w:line="520" w:lineRule="exact"/>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p>
    <w:p w14:paraId="6FEDFD2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 一般约定</w:t>
      </w:r>
    </w:p>
    <w:p w14:paraId="6923C48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1.1词语定义</w:t>
      </w:r>
    </w:p>
    <w:p w14:paraId="1123ADA3">
      <w:pPr>
        <w:pStyle w:val="13"/>
        <w:keepNext w:val="0"/>
        <w:keepLines w:val="0"/>
        <w:pageBreakBefore w:val="0"/>
        <w:widowControl w:val="0"/>
        <w:kinsoku/>
        <w:wordWrap/>
        <w:overflowPunct/>
        <w:topLinePunct w:val="0"/>
        <w:autoSpaceDN/>
        <w:bidi w:val="0"/>
        <w:adjustRightInd/>
        <w:snapToGrid/>
        <w:ind w:firstLine="422" w:firstLineChars="200"/>
        <w:textAlignment w:val="auto"/>
        <w:rPr>
          <w:rFonts w:ascii="宋体"/>
          <w:color w:val="auto"/>
          <w:sz w:val="21"/>
          <w:szCs w:val="21"/>
          <w:highlight w:val="none"/>
        </w:rPr>
      </w:pPr>
      <w:r>
        <w:rPr>
          <w:rFonts w:hint="eastAsia" w:ascii="宋体"/>
          <w:b/>
          <w:bCs/>
          <w:color w:val="auto"/>
          <w:sz w:val="21"/>
          <w:szCs w:val="21"/>
          <w:highlight w:val="none"/>
        </w:rPr>
        <w:t>1.1.1  合同</w:t>
      </w:r>
    </w:p>
    <w:p w14:paraId="3959309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1.1.1.6 目细化为：</w:t>
      </w:r>
    </w:p>
    <w:p w14:paraId="5350AE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技术规范：指本合同所约定的技术标准和要求，是合同文件的组成部分。通用合同条款中“技术标准和要求”一词具有相同含义。</w:t>
      </w:r>
    </w:p>
    <w:p w14:paraId="1F59F4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1.1.1.8 目细化为：</w:t>
      </w:r>
    </w:p>
    <w:p w14:paraId="0C53AD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 5.1～表 5.5）。</w:t>
      </w:r>
    </w:p>
    <w:p w14:paraId="2693822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本项补充第 1.1.1.10 目：</w:t>
      </w:r>
    </w:p>
    <w:p w14:paraId="62A89B9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1.1.1.10 补遗书：指发出招标文件之后由招标人向已取得招标文件的投标人发出的、编号的对招标文件所作的澄清、修改书。</w:t>
      </w:r>
    </w:p>
    <w:p w14:paraId="17866681">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1.1.2 合同当事人和人员</w:t>
      </w:r>
    </w:p>
    <w:p w14:paraId="1B1B944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本项补充第 1.1.2.8 目：</w:t>
      </w:r>
    </w:p>
    <w:p w14:paraId="04E6DB3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1.1.2.8 承包人项目总工：指由承包人书面委派常驻现场负责管理本合同工程的总工程师或技术总负责人。</w:t>
      </w:r>
    </w:p>
    <w:p w14:paraId="3B3B2FC2">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1.1.3 工程和设备</w:t>
      </w:r>
    </w:p>
    <w:p w14:paraId="37125EC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1.1.3.4 目细化为：</w:t>
      </w:r>
    </w:p>
    <w:p w14:paraId="7D387B8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单位工程：指在建设项目中，根据签订的合同，具有独立施工条件的工程。</w:t>
      </w:r>
    </w:p>
    <w:p w14:paraId="5475CC4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1.1.3.10 目细化为：</w:t>
      </w:r>
    </w:p>
    <w:p w14:paraId="445485E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永久占地：指为实施本合同工程而需要的一切永久占用的土地，包括公路两侧路权范围内的用地。</w:t>
      </w:r>
    </w:p>
    <w:p w14:paraId="63D4292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1.1.3.11 目细化为：</w:t>
      </w:r>
    </w:p>
    <w:p w14:paraId="1FCD83F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临时占地：指为实施本合同工程而需要的一切临时占用的土地，包括施工所用的临时支线、便道、便桥和现场的临时出入通道，以及生产（办公）、生活等临时设施用地等。</w:t>
      </w:r>
    </w:p>
    <w:p w14:paraId="4ECF152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本项补充第 1.1.3.12 目、第 1.1.3.13 目：</w:t>
      </w:r>
    </w:p>
    <w:p w14:paraId="6FB207F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1.1.3.12 分部工程：指在单位工程中，按结构部位、路段长度及施工特点或施工任务划分的若干个工程。</w:t>
      </w:r>
    </w:p>
    <w:p w14:paraId="5B3364A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1.1.3.13 分项工程：指在分部工程中，按不同的施工方法、材料、工序及路段长度等划分的若干个工程。</w:t>
      </w:r>
    </w:p>
    <w:p w14:paraId="6AC9F1FB">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1.1.6 其他</w:t>
      </w:r>
      <w:r>
        <w:rPr>
          <w:rFonts w:hint="eastAsia" w:ascii="宋体" w:hAnsi="宋体"/>
          <w:color w:val="auto"/>
          <w:sz w:val="21"/>
          <w:szCs w:val="21"/>
          <w:highlight w:val="none"/>
        </w:rPr>
        <w:t xml:space="preserve"> </w:t>
      </w:r>
    </w:p>
    <w:p w14:paraId="2D7D692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本项补充第 1.1.6.2 目～第 1.1.6.9 目：</w:t>
      </w:r>
    </w:p>
    <w:p w14:paraId="081C536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1.1.6.2 竣工验收：指《公路工程竣（交）工验收办法》中的竣工验收。通用合同条款中“国家验收”一词具有相同含义。</w:t>
      </w:r>
    </w:p>
    <w:p w14:paraId="3F77634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1.1.6.3 交工：指《公路工程竣（交）工验收办法》中的交工。通用合同条款中“竣工”一词具有相同含义。</w:t>
      </w:r>
    </w:p>
    <w:p w14:paraId="705DA75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1.1.6.4 交工验收：指《公路工程竣（交）工验收办法》中的交工验收。通用合同条款中“竣工验收”一词具有相同含义。</w:t>
      </w:r>
    </w:p>
    <w:p w14:paraId="70D9B71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1.1.6.5 交工验收证书：指《公路工程竣（交）工验收办法》中的交工验收证书。通用合同条款中“工程接收证书”一词具有相同含义。</w:t>
      </w:r>
    </w:p>
    <w:p w14:paraId="74D7F75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1.1.6.6 转包：指承包人违反法律和不履行合同规定的责任和义务，将中标工程全部委托或以专业分包的名义将中标工程肢解后全部委托给其他施工企业施工的行为。</w:t>
      </w:r>
    </w:p>
    <w:p w14:paraId="195B322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4DC0254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1.1.6.8 劳务分包：指承包人与具有施工劳务资质的劳务企业签订劳务分包合同，由劳务企业提供劳务人员及机具，由承包人统一组织施工、统一控制工程质量、施工进度、材料采购、生产安全的施工行为。</w:t>
      </w:r>
    </w:p>
    <w:p w14:paraId="615C899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1.1.6.9 雇用民工：指承包人与具有相应劳动能力的自然人签订劳动合同，由承包人统一组织管理，从事分项工程施工或配套工程施工的行为。</w:t>
      </w:r>
    </w:p>
    <w:p w14:paraId="124EF2F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1.4 合同文件的优先顺序</w:t>
      </w:r>
    </w:p>
    <w:p w14:paraId="018B752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本款约定为：</w:t>
      </w:r>
    </w:p>
    <w:p w14:paraId="0BC553B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组成合同的各项文件应互相解释，互为说明。除项目专用合同条款另有约定外，解释合同文件的优先顺序如下：</w:t>
      </w:r>
    </w:p>
    <w:p w14:paraId="7041DCB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（1）合同协议书及各种合同附件（含评标期间和合同谈判过程中的澄清文件和补充资料）；</w:t>
      </w:r>
    </w:p>
    <w:p w14:paraId="662FA8E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（2）中标通知书；</w:t>
      </w:r>
    </w:p>
    <w:p w14:paraId="639413B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（3）投标函及投标函附录；</w:t>
      </w:r>
    </w:p>
    <w:p w14:paraId="48275AC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（4）项目专用合同条款；</w:t>
      </w:r>
    </w:p>
    <w:p w14:paraId="7E6F5EC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（5）公路工程专用合同条款；</w:t>
      </w:r>
    </w:p>
    <w:p w14:paraId="047C722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（6）通用合同条款；</w:t>
      </w:r>
    </w:p>
    <w:p w14:paraId="47F00DC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（7）工程量清单计量规则；</w:t>
      </w:r>
    </w:p>
    <w:p w14:paraId="3712B6F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（8）技术规范；</w:t>
      </w:r>
    </w:p>
    <w:p w14:paraId="23D5A65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（9）图纸；</w:t>
      </w:r>
    </w:p>
    <w:p w14:paraId="1AA8449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（10）已标价工程量清单；</w:t>
      </w:r>
    </w:p>
    <w:p w14:paraId="6365B38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（11）承包人有关人员、设备投入的承诺及投标文件中的施工组织设计；</w:t>
      </w:r>
    </w:p>
    <w:p w14:paraId="753FB3C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（12）其他合同文件。</w:t>
      </w:r>
    </w:p>
    <w:p w14:paraId="491704D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1.5 合同协议书</w:t>
      </w:r>
    </w:p>
    <w:p w14:paraId="016142D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本款补充： </w:t>
      </w:r>
    </w:p>
    <w:p w14:paraId="6EFB02A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制备本合同文件的费用由发包人承担。在合同协议书签订并生效之前，投标函和中标通知书将对双方具有约束力。</w:t>
      </w:r>
    </w:p>
    <w:p w14:paraId="255B56D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1.6 图纸和承包人文件</w:t>
      </w:r>
    </w:p>
    <w:p w14:paraId="06D27859">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1.6.1 图纸的提供</w:t>
      </w:r>
    </w:p>
    <w:p w14:paraId="7D3415A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本项细化为：</w:t>
      </w:r>
    </w:p>
    <w:p w14:paraId="7709DFC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p>
    <w:p w14:paraId="53ED434D">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1.6.2 承包人提供的文件</w:t>
      </w:r>
    </w:p>
    <w:p w14:paraId="4AB289F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本项细化为：</w:t>
      </w:r>
    </w:p>
    <w:p w14:paraId="20D4E43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有下列情形之一的，承包人应免费向监理人提交相关部分工程的施工图纸 3 份，并附必要的计算书、技术资料，或施工工艺图、设备安装图及安装设备的使用和维护手册各 2 份供监理人批准。</w:t>
      </w:r>
    </w:p>
    <w:p w14:paraId="735A7C4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（1）为使第 1.6.1 项所述的施工图纸适合于经施工测量后的纵、横断面；</w:t>
      </w:r>
    </w:p>
    <w:p w14:paraId="0B9D489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（2）为使第 1.6.1 项所述的施工图纸适合于现场具体地形；</w:t>
      </w:r>
    </w:p>
    <w:p w14:paraId="082DD2E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（3）为使第 1.6.1 项所述的施工图纸适合于因尺寸与位置变化而引起局部变更；</w:t>
      </w:r>
    </w:p>
    <w:p w14:paraId="0E57A6E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（4）由于合同要求与施工需要。</w:t>
      </w:r>
    </w:p>
    <w:p w14:paraId="23E2984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p>
    <w:p w14:paraId="16D30723">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1.6.4 图纸的错误</w:t>
      </w:r>
    </w:p>
    <w:p w14:paraId="74FA6AB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本项细化为：</w:t>
      </w:r>
    </w:p>
    <w:p w14:paraId="386A3D5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16480C4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1.9 严禁贿赂</w:t>
      </w:r>
    </w:p>
    <w:p w14:paraId="2D15B20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本款补充： </w:t>
      </w:r>
    </w:p>
    <w:p w14:paraId="262E0FD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2E2AC9E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 发包人义务</w:t>
      </w:r>
    </w:p>
    <w:p w14:paraId="1696C07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2.3 提供施工场地</w:t>
      </w:r>
    </w:p>
    <w:p w14:paraId="6A5C6E1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w:t>
      </w:r>
    </w:p>
    <w:p w14:paraId="320C77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发包人负责办理永久占地的征用及与之有关的拆迁赔偿手续并承担相关费用。承包人在按第 10 条规定提交施工进度计划的同时，应向监理人提交一份按施工先后次序所需的永久占地计划。监理人应在收到此计划后的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 以使承包人能够连续不间断地施工。由于承包人施工考虑不周或措施不当等原因而造成的超计划占地或拆迁等所发生的征用和赔偿费用，应由承包人承担。</w:t>
      </w:r>
    </w:p>
    <w:p w14:paraId="70E5D96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6F18490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3. 监理人</w:t>
      </w:r>
    </w:p>
    <w:p w14:paraId="548E5E9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3.1 监理人的职责和权力</w:t>
      </w:r>
    </w:p>
    <w:p w14:paraId="7D2E95E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3.1.1 项补充：</w:t>
      </w:r>
    </w:p>
    <w:p w14:paraId="127E2B9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监理人在行使下列权力前需要经发包人事先批准：</w:t>
      </w:r>
    </w:p>
    <w:p w14:paraId="2E39468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（1）根据第 4.3 款，同意分包本工程的某些非关键性工作或者适合专业化队伍施工的专项工程；</w:t>
      </w:r>
    </w:p>
    <w:p w14:paraId="5C26D38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（2）确定第 4.11 款下产生的费用增加额； </w:t>
      </w:r>
    </w:p>
    <w:p w14:paraId="3FC1471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（3）根据第 11.1 款、第 12.3 款、第 12.4 款发布开工通知、暂停施工指示或复工通知；</w:t>
      </w:r>
    </w:p>
    <w:p w14:paraId="037451D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（4）决定第 11.3 款、第 11.4 款下的工期延长；</w:t>
      </w:r>
    </w:p>
    <w:p w14:paraId="767EC51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（5）审查批准技术方案或设计的变更；</w:t>
      </w:r>
    </w:p>
    <w:p w14:paraId="0604BA1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（6）根据第 15.3 款发出的变更指示，其单项工程变更或累计变更涉及的金额超过了项目专用合同条款数据表中规定的金额；</w:t>
      </w:r>
    </w:p>
    <w:p w14:paraId="177AB0C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（7）确定第 15.4 款下变更工作的单价；</w:t>
      </w:r>
    </w:p>
    <w:p w14:paraId="389CB32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（8）按照第 15.6 款决定有关暂列金额的使用；</w:t>
      </w:r>
    </w:p>
    <w:p w14:paraId="728F870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（9）确定第 15.8 款下的暂估价金额；</w:t>
      </w:r>
    </w:p>
    <w:p w14:paraId="44177E9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（10）确定第 23.1 款下的索赔额。</w:t>
      </w:r>
    </w:p>
    <w:p w14:paraId="20A93FC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p>
    <w:p w14:paraId="0A320B8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3.5 商定或确定</w:t>
      </w:r>
    </w:p>
    <w:p w14:paraId="0D96FA9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3.5.1 项补充：</w:t>
      </w:r>
    </w:p>
    <w:p w14:paraId="4CF5166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如果这项商定或确定导致费用增加和（或）工期延长，或者涉及确定变更工程的价格，则总监理工程师在发出通知前，应征得发包人的同意。</w:t>
      </w:r>
    </w:p>
    <w:p w14:paraId="5F9986E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4. 承包人</w:t>
      </w:r>
    </w:p>
    <w:p w14:paraId="79FE11C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4.1 承包人的一般义务</w:t>
      </w:r>
    </w:p>
    <w:p w14:paraId="5A549AF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4.1.9 工程的维护和照管</w:t>
      </w:r>
    </w:p>
    <w:p w14:paraId="3A7488C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本项细化为：</w:t>
      </w:r>
    </w:p>
    <w:p w14:paraId="704FB03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6F106E0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（2）在承包人负责照管与维护期间，如果本工程或材料、设备等发生损失或损</w:t>
      </w:r>
    </w:p>
    <w:p w14:paraId="0F5C303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害，除不可抗力原因之外，承包人均应自费弥补，并达到合同要求。承包人还应对按第 19 条规定而实施作业过程中由承包人造成的对工程的任何损失或损害负责。</w:t>
      </w:r>
    </w:p>
    <w:p w14:paraId="16B227D2">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4.1.10 其他义务</w:t>
      </w:r>
    </w:p>
    <w:p w14:paraId="5336ECE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本项细化为：</w:t>
      </w:r>
    </w:p>
    <w:p w14:paraId="47B397EA">
      <w:pPr>
        <w:keepNext w:val="0"/>
        <w:keepLines w:val="0"/>
        <w:pageBreakBefore w:val="0"/>
        <w:widowControl w:val="0"/>
        <w:numPr>
          <w:ilvl w:val="0"/>
          <w:numId w:val="4"/>
        </w:numPr>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临时占地由承包人向当地政府土地管理部门申请，并办理租用手续，承包人按有关规定直接支付其费用，发包人对此将予以协调。</w:t>
      </w:r>
    </w:p>
    <w:p w14:paraId="1343F5F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列入工程量清单第100章中由承包人按总额报价。</w:t>
      </w:r>
    </w:p>
    <w:p w14:paraId="3DB0575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0B3A4EB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07E4B1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3）承包人应严格遵守国家有关解决拖欠工程款和民工工资的法律、法规，及时支付工程中的材料、设备货款及民工工资等费用。承包人不得以任何借口拖欠材料、设备货款及民工工资等费用，如果出现此种现象，</w:t>
      </w:r>
      <w:r>
        <w:rPr>
          <w:rFonts w:hint="eastAsia" w:ascii="宋体" w:hAnsi="宋体"/>
          <w:color w:val="000000" w:themeColor="text1"/>
          <w:sz w:val="21"/>
          <w:szCs w:val="21"/>
          <w:highlight w:val="none"/>
          <w14:textFill>
            <w14:solidFill>
              <w14:schemeClr w14:val="tx1"/>
            </w14:solidFill>
          </w14:textFill>
        </w:rPr>
        <w:t>发包人有权代为支付其拖欠的材料、设备货款及民工工资，并从应付给承包人的工程款中扣除相应款项。对恶意拖欠和拒不按计划支付的，作为不良记录纳入</w:t>
      </w:r>
      <w:r>
        <w:rPr>
          <w:rFonts w:hint="eastAsia" w:ascii="宋体" w:hAnsi="宋体"/>
          <w:color w:val="000000" w:themeColor="text1"/>
          <w:sz w:val="21"/>
          <w:szCs w:val="21"/>
          <w:highlight w:val="none"/>
          <w:lang w:eastAsia="zh-CN"/>
          <w14:textFill>
            <w14:solidFill>
              <w14:schemeClr w14:val="tx1"/>
            </w14:solidFill>
          </w14:textFill>
        </w:rPr>
        <w:t>全国公路建设市场监督管理系统</w:t>
      </w:r>
      <w:r>
        <w:rPr>
          <w:rFonts w:hint="eastAsia" w:ascii="宋体" w:hAnsi="宋体"/>
          <w:color w:val="000000" w:themeColor="text1"/>
          <w:sz w:val="21"/>
          <w:szCs w:val="21"/>
          <w:highlight w:val="none"/>
          <w:lang w:val="en-US" w:eastAsia="zh-CN"/>
          <w14:textFill>
            <w14:solidFill>
              <w14:schemeClr w14:val="tx1"/>
            </w14:solidFill>
          </w14:textFill>
        </w:rPr>
        <w:t>（http：//glxy.mot.gov.cn）</w:t>
      </w:r>
      <w:r>
        <w:rPr>
          <w:rFonts w:hint="eastAsia" w:ascii="宋体" w:hAnsi="宋体"/>
          <w:color w:val="000000" w:themeColor="text1"/>
          <w:sz w:val="21"/>
          <w:szCs w:val="21"/>
          <w:highlight w:val="none"/>
          <w14:textFill>
            <w14:solidFill>
              <w14:schemeClr w14:val="tx1"/>
            </w14:solidFill>
          </w14:textFill>
        </w:rPr>
        <w:t>。</w:t>
      </w:r>
    </w:p>
    <w:p w14:paraId="1E85B32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w:t>
      </w:r>
    </w:p>
    <w:p w14:paraId="0977CE1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工资支付表应如实记录支付单位、支付时间、支付对象、支付数额、支付对象的身份证号和签字等信息。民工花名册和工资支付表应报监理人备查。</w:t>
      </w:r>
    </w:p>
    <w:p w14:paraId="087216C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（4）承包人应分</w:t>
      </w:r>
      <w:r>
        <w:rPr>
          <w:rFonts w:hint="eastAsia" w:ascii="宋体" w:hAnsi="宋体"/>
          <w:color w:val="000000" w:themeColor="text1"/>
          <w:sz w:val="21"/>
          <w:szCs w:val="21"/>
          <w:highlight w:val="none"/>
          <w14:textFill>
            <w14:solidFill>
              <w14:schemeClr w14:val="tx1"/>
            </w14:solidFill>
          </w14:textFill>
        </w:rPr>
        <w:t>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w:t>
      </w:r>
      <w:r>
        <w:rPr>
          <w:rFonts w:hint="eastAsia" w:ascii="宋体" w:hAnsi="宋体"/>
          <w:color w:val="auto"/>
          <w:sz w:val="21"/>
          <w:szCs w:val="21"/>
          <w:highlight w:val="none"/>
        </w:rPr>
        <w:t>银行负责日常监管，确保专款专用。开户银行发现账户资金不足、被挪用等情况，应及时向人力资源社会保障部门和交通运输主管部门报告。</w:t>
      </w:r>
    </w:p>
    <w:p w14:paraId="4BB7935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 100 章中。</w:t>
      </w:r>
    </w:p>
    <w:p w14:paraId="507D852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（6）承包人应履行项目专用合同条款约定的其他义务。</w:t>
      </w:r>
    </w:p>
    <w:p w14:paraId="02217B6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4.2 履约保证金</w:t>
      </w:r>
    </w:p>
    <w:p w14:paraId="7C70853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本款细化为：</w:t>
      </w:r>
    </w:p>
    <w:p w14:paraId="4461800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承包人应保证其履约保证金在发包人签发交工验收证书且承包人按照合同约定缴纳质量保证金前一直有效。发包人应在收到承包人缴纳的质量保证金后28天内将履约保证金退还给承包人。</w:t>
      </w:r>
    </w:p>
    <w:p w14:paraId="7BA5089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承包人拒绝按照本合同约定缴纳质量保证金的，发包人有权从交工付款证书中扣留相应金额作为质量保证金，或者直接将履约保证金金额用于保证承包人在缺陷责任期内履行缺陷修复义务。</w:t>
      </w:r>
    </w:p>
    <w:p w14:paraId="66886F3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4.3分包</w:t>
      </w:r>
    </w:p>
    <w:p w14:paraId="5EC94F9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4.3.2 项～第 4.3.4 项细化为：</w:t>
      </w:r>
    </w:p>
    <w:p w14:paraId="01647CF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4.3.2 承包人</w:t>
      </w:r>
      <w:r>
        <w:rPr>
          <w:rFonts w:hint="eastAsia" w:ascii="宋体" w:hAnsi="宋体"/>
          <w:color w:val="000000" w:themeColor="text1"/>
          <w:sz w:val="21"/>
          <w:szCs w:val="21"/>
          <w:highlight w:val="none"/>
          <w14:textFill>
            <w14:solidFill>
              <w14:schemeClr w14:val="tx1"/>
            </w14:solidFill>
          </w14:textFill>
        </w:rPr>
        <w:t>不得将工程关键性工作分包给第三人。经发包人同意，承包人可将工程的其他部分或工作分包给第三人。分包包括专业分包和劳务分包</w:t>
      </w:r>
      <w:r>
        <w:rPr>
          <w:rFonts w:hint="eastAsia" w:ascii="宋体" w:hAnsi="宋体"/>
          <w:color w:val="0000FF"/>
          <w:sz w:val="21"/>
          <w:szCs w:val="21"/>
          <w:highlight w:val="none"/>
        </w:rPr>
        <w:t>。</w:t>
      </w:r>
    </w:p>
    <w:p w14:paraId="0F8CE0E1">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4.3.3 专业分包</w:t>
      </w:r>
    </w:p>
    <w:p w14:paraId="15A6D4A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在工程施工过程中，承包人进行专业分包必须遵守以下规定：</w:t>
      </w:r>
    </w:p>
    <w:p w14:paraId="11F9574A">
      <w:pPr>
        <w:keepNext w:val="0"/>
        <w:keepLines w:val="0"/>
        <w:pageBreakBefore w:val="0"/>
        <w:widowControl w:val="0"/>
        <w:numPr>
          <w:ilvl w:val="0"/>
          <w:numId w:val="5"/>
        </w:numPr>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允许专业分包的工程范围仅限于非关键性工程或者适合专业化队伍施工的专项工程。未列入投标文件的专项工程，承包人不得分包。但因工程变更增加了有特殊性技术要求、特殊工艺或者涉及专利保护等的专项工程，且按规定无须再进行招标的，由承包人提出书面申请，经发包人书面同意，可以分包。</w:t>
      </w:r>
    </w:p>
    <w:p w14:paraId="58A4A4A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（2）专业分包人的资格能力（含安全生产能力）应与其分包工程的标准和规模相适应，且应当具备如下条件：</w:t>
      </w:r>
    </w:p>
    <w:p w14:paraId="149FB2A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a.具有经工商登记的法人资格；</w:t>
      </w:r>
    </w:p>
    <w:p w14:paraId="46D9989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b.具有从事类似工程经验的管理与技术人员；</w:t>
      </w:r>
    </w:p>
    <w:p w14:paraId="3BCCCD4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c.具有（自有或租赁）分包工程所需的施工设备。 </w:t>
      </w:r>
    </w:p>
    <w:p w14:paraId="7C64BE5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承包人应向监理人提交专业分包人的资格能力证明材料，经监理人审查并报发包人批准后，可以将相应专业工程分包给该专业分包人。</w:t>
      </w:r>
    </w:p>
    <w:p w14:paraId="3E83C88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（3）专业分包工程不得再次分包。</w:t>
      </w:r>
    </w:p>
    <w:p w14:paraId="1B4EB48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承包人和专业分包人应当按照交通运输主管部门制定的统一格式依法签订专业分包合同，并履行合同约定的义务。专业分包合同必须遵循承包合同的各项原则，满足承包合同中的质量、安全、进度、环保以及其他技术、经济等要求。专业分包合同必须明确约定工程款支付条款、结算方式以及保证按期支付的相应措施，确保工程款的支付。承包人应在工程实施前，将经监理人审查同意后的分包合同报发包人备案。</w:t>
      </w:r>
    </w:p>
    <w:p w14:paraId="1FEC03E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专业分包人应当设立项目管理机构，对所分包工程的施工活动实施管理。项目管理机构应当具有与分包工程的规模、技术复杂程度相适应的技术、经济管理人员，其中项目负责人和技术、财务、计量、质量、安全等主要管理人员必须是专业分包人本单位人员。</w:t>
      </w:r>
    </w:p>
    <w:p w14:paraId="5B0BA21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承包人应当建立健全相关分包管理制度和台账，对专业分包工程的质量、安全、进度和专业分包人的行为等实施全过程管理，按照合同约定对专业分包工程的实施向发包人负责，并承担赔偿责任。专业分包合同不免除承包合同中规定的承包人的责任或者义务。</w:t>
      </w:r>
    </w:p>
    <w:p w14:paraId="44A6EBC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（7）专业分包人应当依据专业分包合同的约定，组织分包工程的施工，并对分包工程的质量、安全和进度等实施有效控制。专业分包人对其分包的工程向承包人负责，并就所分包的工程向发包人承担连带责任。</w:t>
      </w:r>
    </w:p>
    <w:p w14:paraId="47A62B0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8）承包人对施工现场安全负总责，并对专业分包人的安全生产进行培训和管理。专业分包人应将其专业分包工程的施工组织设计和施工安全方案报承包人备案。专业分包人对分包施工现场安全负责，发现事故隐患，应及时处理。</w:t>
      </w:r>
    </w:p>
    <w:p w14:paraId="5877061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违反上述规定之一者属违规分包。</w:t>
      </w:r>
    </w:p>
    <w:p w14:paraId="30C619C6">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4.3.4 劳务分包</w:t>
      </w:r>
    </w:p>
    <w:p w14:paraId="6FD8287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在工程施工过程中，承包人进行劳务分包必须遵守以下规定：</w:t>
      </w:r>
    </w:p>
    <w:p w14:paraId="010A39A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（1）劳务分包人应具有施工劳务资质。</w:t>
      </w:r>
    </w:p>
    <w:p w14:paraId="3B12CE0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（2）劳务分包应当依法签订劳务分包合同，劳务分包合同必须由承包人的法定</w:t>
      </w:r>
    </w:p>
    <w:p w14:paraId="553E595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代表人或其委托代理人与劳务分包人直接签订，不得由他人代签。承包人的项目经理部、项目经理、施工班组等不具备用工主体资格，不能与劳务分包人签订劳务分包合同。承包人应向发包人和监理人提交劳务分包合同副本并报项目所在地劳动保障部门备案。</w:t>
      </w:r>
    </w:p>
    <w:p w14:paraId="0C98E98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承包人雇用的劳务作业应加入到承包人的施工班组统一管理。有关施工质量、施工安全、施工进度、环境保护、技术方案、试验检测、材料保管与供应、机械设备等都必须由承包人管理与调配，不得以包代管。</w:t>
      </w:r>
    </w:p>
    <w:p w14:paraId="0EC1CD8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（4）承包人应当对劳务分包人员进行安全培训和管理，劳务分包人不得将其分包的劳务作业再次分包。</w:t>
      </w:r>
    </w:p>
    <w:p w14:paraId="734BEB1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违反上述规定之一者属违规分包。</w:t>
      </w:r>
    </w:p>
    <w:p w14:paraId="191426B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4.3.6 项、第 4.3.7 项：</w:t>
      </w:r>
    </w:p>
    <w:p w14:paraId="4A64F22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4.3.6 发包人对承包人与分包人之间的法律与经济纠纷不承担任何责任和义务。</w:t>
      </w:r>
    </w:p>
    <w:p w14:paraId="38AB317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4.3.7 本项目的各项分包工作均应遵守《公路工程施工分包管理办法》的有关规定。</w:t>
      </w:r>
    </w:p>
    <w:p w14:paraId="034A9B6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4.4 联合体</w:t>
      </w:r>
    </w:p>
    <w:p w14:paraId="7F0A56E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4.4.4 项：</w:t>
      </w:r>
    </w:p>
    <w:p w14:paraId="2C062FE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4.4.4 未经发包人事先同意，联合体的组成与结构不得变动。</w:t>
      </w:r>
    </w:p>
    <w:p w14:paraId="3BAC839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4.6承包人人员的管理</w:t>
      </w:r>
    </w:p>
    <w:p w14:paraId="2D5CBE4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4.6.3 项细化为：</w:t>
      </w:r>
    </w:p>
    <w:p w14:paraId="21D511C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default" w:ascii="宋体" w:hAnsi="宋体"/>
          <w:color w:val="auto"/>
          <w:sz w:val="21"/>
          <w:szCs w:val="21"/>
          <w:highlight w:val="none"/>
          <w:lang w:val="en-US"/>
        </w:rPr>
      </w:pPr>
      <w:r>
        <w:rPr>
          <w:rFonts w:hint="eastAsia" w:ascii="宋体" w:hAnsi="宋体"/>
          <w:color w:val="auto"/>
          <w:sz w:val="21"/>
          <w:szCs w:val="21"/>
          <w:highlight w:val="none"/>
        </w:rPr>
        <w:t>承包人安排在</w:t>
      </w:r>
      <w:r>
        <w:rPr>
          <w:rFonts w:hint="eastAsia" w:ascii="宋体" w:hAnsi="宋体"/>
          <w:color w:val="000000" w:themeColor="text1"/>
          <w:sz w:val="21"/>
          <w:szCs w:val="21"/>
          <w:highlight w:val="none"/>
          <w14:textFill>
            <w14:solidFill>
              <w14:schemeClr w14:val="tx1"/>
            </w14:solidFill>
          </w14:textFill>
        </w:rPr>
        <w:t>施工场地的主要管理人员和技术骨干</w:t>
      </w:r>
      <w:r>
        <w:rPr>
          <w:rFonts w:hint="eastAsia" w:ascii="宋体" w:hAnsi="宋体"/>
          <w:color w:val="000000" w:themeColor="text1"/>
          <w:sz w:val="21"/>
          <w:szCs w:val="21"/>
          <w:highlight w:val="none"/>
          <w:lang w:val="en-US" w:eastAsia="zh-CN"/>
          <w14:textFill>
            <w14:solidFill>
              <w14:schemeClr w14:val="tx1"/>
            </w14:solidFill>
          </w14:textFill>
        </w:rPr>
        <w:t>及项目组成员（</w:t>
      </w:r>
      <w:r>
        <w:rPr>
          <w:rFonts w:hint="eastAsia" w:ascii="宋体" w:hAnsi="宋体" w:eastAsia="宋体" w:cs="宋体"/>
          <w:color w:val="000000" w:themeColor="text1"/>
          <w:sz w:val="21"/>
          <w:szCs w:val="21"/>
          <w:highlight w:val="none"/>
          <w14:textFill>
            <w14:solidFill>
              <w14:schemeClr w14:val="tx1"/>
            </w14:solidFill>
          </w14:textFill>
        </w:rPr>
        <w:t>施工员、安全员、</w:t>
      </w:r>
      <w:r>
        <w:rPr>
          <w:rFonts w:hint="eastAsia" w:ascii="宋体" w:hAnsi="宋体" w:eastAsia="宋体" w:cs="宋体"/>
          <w:color w:val="000000" w:themeColor="text1"/>
          <w:sz w:val="21"/>
          <w:szCs w:val="21"/>
          <w:highlight w:val="none"/>
          <w:lang w:eastAsia="zh-CN"/>
          <w14:textFill>
            <w14:solidFill>
              <w14:schemeClr w14:val="tx1"/>
            </w14:solidFill>
          </w14:textFill>
        </w:rPr>
        <w:t>预算员（或</w:t>
      </w:r>
      <w:r>
        <w:rPr>
          <w:rFonts w:hint="eastAsia" w:ascii="宋体" w:hAnsi="宋体" w:eastAsia="宋体" w:cs="宋体"/>
          <w:color w:val="000000" w:themeColor="text1"/>
          <w:sz w:val="21"/>
          <w:szCs w:val="21"/>
          <w:highlight w:val="none"/>
          <w14:textFill>
            <w14:solidFill>
              <w14:schemeClr w14:val="tx1"/>
            </w14:solidFill>
          </w14:textFill>
        </w:rPr>
        <w:t>造价员</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测量</w:t>
      </w:r>
      <w:r>
        <w:rPr>
          <w:rFonts w:hint="eastAsia" w:ascii="宋体" w:hAnsi="宋体" w:eastAsia="宋体" w:cs="宋体"/>
          <w:color w:val="000000" w:themeColor="text1"/>
          <w:sz w:val="21"/>
          <w:szCs w:val="21"/>
          <w:highlight w:val="none"/>
          <w14:textFill>
            <w14:solidFill>
              <w14:schemeClr w14:val="tx1"/>
            </w14:solidFill>
          </w14:textFill>
        </w:rPr>
        <w:t>员、质量员、</w:t>
      </w:r>
      <w:r>
        <w:rPr>
          <w:rFonts w:hint="eastAsia" w:ascii="宋体" w:hAnsi="宋体" w:eastAsia="宋体" w:cs="宋体"/>
          <w:color w:val="000000" w:themeColor="text1"/>
          <w:sz w:val="21"/>
          <w:szCs w:val="21"/>
          <w:highlight w:val="none"/>
          <w:lang w:eastAsia="zh-CN"/>
          <w14:textFill>
            <w14:solidFill>
              <w14:schemeClr w14:val="tx1"/>
            </w14:solidFill>
          </w14:textFill>
        </w:rPr>
        <w:t>材</w:t>
      </w:r>
      <w:r>
        <w:rPr>
          <w:rFonts w:hint="eastAsia" w:ascii="宋体" w:hAnsi="宋体" w:eastAsia="宋体" w:cs="宋体"/>
          <w:color w:val="000000" w:themeColor="text1"/>
          <w:sz w:val="21"/>
          <w:szCs w:val="21"/>
          <w:highlight w:val="none"/>
          <w14:textFill>
            <w14:solidFill>
              <w14:schemeClr w14:val="tx1"/>
            </w14:solidFill>
          </w14:textFill>
        </w:rPr>
        <w:t>料员、</w:t>
      </w:r>
      <w:r>
        <w:rPr>
          <w:rFonts w:hint="eastAsia" w:cs="宋体"/>
          <w:color w:val="000000" w:themeColor="text1"/>
          <w:sz w:val="21"/>
          <w:szCs w:val="21"/>
          <w:highlight w:val="none"/>
          <w:lang w:val="en-US" w:eastAsia="zh-CN"/>
          <w14:textFill>
            <w14:solidFill>
              <w14:schemeClr w14:val="tx1"/>
            </w14:solidFill>
          </w14:textFill>
        </w:rPr>
        <w:t>标准员</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cs="宋体"/>
          <w:color w:val="000000" w:themeColor="text1"/>
          <w:sz w:val="21"/>
          <w:szCs w:val="21"/>
          <w:highlight w:val="none"/>
          <w:lang w:val="en-US" w:eastAsia="zh-CN"/>
          <w14:textFill>
            <w14:solidFill>
              <w14:schemeClr w14:val="tx1"/>
            </w14:solidFill>
          </w14:textFill>
        </w:rPr>
        <w:t>资料员</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color w:val="000000" w:themeColor="text1"/>
          <w:sz w:val="21"/>
          <w:szCs w:val="21"/>
          <w:highlight w:val="none"/>
          <w:lang w:val="en-US" w:eastAsia="zh-CN"/>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应与承包人</w:t>
      </w:r>
      <w:r>
        <w:rPr>
          <w:rFonts w:hint="eastAsia" w:ascii="宋体" w:hAnsi="宋体"/>
          <w:color w:val="000000" w:themeColor="text1"/>
          <w:sz w:val="21"/>
          <w:szCs w:val="21"/>
          <w:highlight w:val="none"/>
          <w:lang w:val="en-US" w:eastAsia="zh-CN"/>
          <w14:textFill>
            <w14:solidFill>
              <w14:schemeClr w14:val="tx1"/>
            </w14:solidFill>
          </w14:textFill>
        </w:rPr>
        <w:t>投标文件提供的人员</w:t>
      </w:r>
      <w:r>
        <w:rPr>
          <w:rFonts w:hint="eastAsia" w:ascii="宋体" w:hAnsi="宋体"/>
          <w:color w:val="000000" w:themeColor="text1"/>
          <w:sz w:val="21"/>
          <w:szCs w:val="21"/>
          <w:highlight w:val="none"/>
          <w14:textFill>
            <w14:solidFill>
              <w14:schemeClr w14:val="tx1"/>
            </w14:solidFill>
          </w14:textFill>
        </w:rPr>
        <w:t>名单一致，并保持相对稳定。未经监理人批准，</w:t>
      </w:r>
      <w:r>
        <w:rPr>
          <w:rFonts w:hint="eastAsia" w:ascii="宋体" w:hAnsi="宋体"/>
          <w:color w:val="auto"/>
          <w:sz w:val="21"/>
          <w:szCs w:val="21"/>
          <w:highlight w:val="none"/>
        </w:rPr>
        <w:t>上述人员不应无故不到位或被替换；若确实无法到位或需替换，需经监理人审核并报发包人批准后，用同等资质和经历的人员替换</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如有违反上述要求，发包人有权解除合同，</w:t>
      </w:r>
      <w:r>
        <w:rPr>
          <w:rFonts w:hint="eastAsia" w:ascii="宋体" w:hAnsi="宋体"/>
          <w:color w:val="auto"/>
          <w:sz w:val="21"/>
          <w:szCs w:val="21"/>
          <w:highlight w:val="none"/>
        </w:rPr>
        <w:t>同时</w:t>
      </w:r>
      <w:r>
        <w:rPr>
          <w:rFonts w:hint="eastAsia" w:ascii="宋体" w:hAnsi="宋体"/>
          <w:color w:val="auto"/>
          <w:sz w:val="21"/>
          <w:szCs w:val="21"/>
          <w:highlight w:val="none"/>
          <w:lang w:val="en-US" w:eastAsia="zh-CN"/>
        </w:rPr>
        <w:t>发包人</w:t>
      </w:r>
      <w:r>
        <w:rPr>
          <w:rFonts w:hint="eastAsia" w:ascii="宋体" w:hAnsi="宋体"/>
          <w:color w:val="auto"/>
          <w:sz w:val="21"/>
          <w:szCs w:val="21"/>
          <w:highlight w:val="none"/>
        </w:rPr>
        <w:t>将</w:t>
      </w:r>
      <w:r>
        <w:rPr>
          <w:rFonts w:hint="eastAsia" w:ascii="宋体" w:hAnsi="宋体"/>
          <w:color w:val="auto"/>
          <w:sz w:val="21"/>
          <w:szCs w:val="21"/>
          <w:highlight w:val="none"/>
          <w:lang w:val="en-US" w:eastAsia="zh-CN"/>
        </w:rPr>
        <w:t>承包</w:t>
      </w:r>
      <w:r>
        <w:rPr>
          <w:rFonts w:hint="eastAsia" w:ascii="宋体" w:hAnsi="宋体"/>
          <w:color w:val="auto"/>
          <w:sz w:val="21"/>
          <w:szCs w:val="21"/>
          <w:highlight w:val="none"/>
        </w:rPr>
        <w:t>人上述行为上报省级交通运输主管部门，作为不良记录纳入</w:t>
      </w:r>
      <w:r>
        <w:rPr>
          <w:rFonts w:hint="eastAsia" w:ascii="宋体" w:hAnsi="宋体"/>
          <w:color w:val="auto"/>
          <w:sz w:val="21"/>
          <w:szCs w:val="21"/>
          <w:highlight w:val="none"/>
          <w:lang w:eastAsia="zh-CN"/>
        </w:rPr>
        <w:t>全国公路建设市场监督管理系统</w:t>
      </w:r>
      <w:r>
        <w:rPr>
          <w:rFonts w:hint="eastAsia" w:ascii="宋体" w:hAnsi="宋体"/>
          <w:color w:val="auto"/>
          <w:sz w:val="21"/>
          <w:szCs w:val="21"/>
          <w:highlight w:val="none"/>
          <w:lang w:val="en-US" w:eastAsia="zh-CN"/>
        </w:rPr>
        <w:t>（ http：//glxy.mot.gov.cn），由此产生的后果由承包人承担。</w:t>
      </w:r>
    </w:p>
    <w:p w14:paraId="3D01AC5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4.6.5 项：</w:t>
      </w:r>
    </w:p>
    <w:p w14:paraId="5F06358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FF"/>
          <w:sz w:val="21"/>
          <w:szCs w:val="21"/>
          <w:highlight w:val="none"/>
        </w:rPr>
      </w:pPr>
      <w:r>
        <w:rPr>
          <w:rFonts w:hint="eastAsia" w:ascii="宋体" w:hAnsi="宋体"/>
          <w:color w:val="auto"/>
          <w:sz w:val="21"/>
          <w:szCs w:val="21"/>
          <w:highlight w:val="none"/>
        </w:rPr>
        <w:t>4.6.5 尽管承包人已按承</w:t>
      </w:r>
      <w:r>
        <w:rPr>
          <w:rFonts w:hint="eastAsia" w:ascii="宋体" w:hAnsi="宋体"/>
          <w:color w:val="000000" w:themeColor="text1"/>
          <w:sz w:val="21"/>
          <w:szCs w:val="21"/>
          <w:highlight w:val="none"/>
          <w14:textFill>
            <w14:solidFill>
              <w14:schemeClr w14:val="tx1"/>
            </w14:solidFill>
          </w14:textFill>
        </w:rPr>
        <w:t>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29B0635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4.7 撤换承包人项目经理和其他人员</w:t>
      </w:r>
    </w:p>
    <w:p w14:paraId="7C00DC1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本款细化为：</w:t>
      </w:r>
    </w:p>
    <w:p w14:paraId="1C633D7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default" w:ascii="宋体" w:hAnsi="宋体"/>
          <w:color w:val="000000" w:themeColor="text1"/>
          <w:sz w:val="21"/>
          <w:szCs w:val="21"/>
          <w:highlight w:val="none"/>
          <w:lang w:val="en-US"/>
          <w14:textFill>
            <w14:solidFill>
              <w14:schemeClr w14:val="tx1"/>
            </w14:solidFill>
          </w14:textFill>
        </w:rPr>
      </w:pPr>
      <w:r>
        <w:rPr>
          <w:rFonts w:hint="eastAsia" w:ascii="宋体" w:hAnsi="宋体"/>
          <w:color w:val="auto"/>
          <w:sz w:val="21"/>
          <w:szCs w:val="21"/>
          <w:highlight w:val="none"/>
        </w:rPr>
        <w:t>承包人应对其项目经理和其他人员进行有效管理。监理人要求撤换不能胜任本职工作、行为不端或玩忽职守的承包人项目经理和其他</w:t>
      </w:r>
      <w:r>
        <w:rPr>
          <w:rFonts w:hint="eastAsia" w:ascii="宋体" w:hAnsi="宋体"/>
          <w:color w:val="000000" w:themeColor="text1"/>
          <w:sz w:val="21"/>
          <w:szCs w:val="21"/>
          <w:highlight w:val="none"/>
          <w14:textFill>
            <w14:solidFill>
              <w14:schemeClr w14:val="tx1"/>
            </w14:solidFill>
          </w14:textFill>
        </w:rPr>
        <w:t>人员的，承包人应予以撤换，同时委派经发包人与监理人同意的新的项目经理和其他人员。</w:t>
      </w:r>
      <w:r>
        <w:rPr>
          <w:rFonts w:hint="eastAsia" w:ascii="宋体" w:hAnsi="宋体"/>
          <w:color w:val="000000" w:themeColor="text1"/>
          <w:sz w:val="21"/>
          <w:szCs w:val="21"/>
          <w:highlight w:val="none"/>
          <w:lang w:val="en-US" w:eastAsia="zh-CN"/>
          <w14:textFill>
            <w14:solidFill>
              <w14:schemeClr w14:val="tx1"/>
            </w14:solidFill>
          </w14:textFill>
        </w:rPr>
        <w:t>如拒不撤换或撤换后仍不能达到要求的，发包人有权解除合同，由此产生的后果由承包人承担。</w:t>
      </w:r>
    </w:p>
    <w:p w14:paraId="26A0231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4.9 工程价款应专款专用</w:t>
      </w:r>
    </w:p>
    <w:p w14:paraId="716BC95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本款细化为： </w:t>
      </w:r>
    </w:p>
    <w:p w14:paraId="18850B7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款应为本工程的专款专用资金，不得转移或用于其他工程。发包人的支付款将转入该银行所设的专门账户，发包人及其派出机构有权不定期对承包人工程资金使用情况进行检查，发现问题及时责令承包人限期改正，否则，将终止支付，直至承包人改正为止。</w:t>
      </w:r>
    </w:p>
    <w:p w14:paraId="621E3B4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4.10 承包人现场查勘</w:t>
      </w:r>
    </w:p>
    <w:p w14:paraId="1C03D30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4.10.1 项细化为：</w:t>
      </w:r>
    </w:p>
    <w:p w14:paraId="5C7171D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24842AA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4.11 不利物质条件</w:t>
      </w:r>
    </w:p>
    <w:p w14:paraId="56C3472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4.11.2 项细化为：</w:t>
      </w:r>
    </w:p>
    <w:p w14:paraId="7E00033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p>
    <w:p w14:paraId="4E52C72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4.11.3 项：</w:t>
      </w:r>
    </w:p>
    <w:p w14:paraId="65CF9926">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4.11.3 可预见的不利物质条件</w:t>
      </w:r>
    </w:p>
    <w:p w14:paraId="7E8DB51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（1）对于项目专用合同条款中已经明确指出的不利物质条件无论承包人是否有其经历和经验均视为承包人在接受合同时已预见其影响，并已在签约合同价中计入因其影响而可能发生的一切费用。</w:t>
      </w:r>
    </w:p>
    <w:p w14:paraId="12AC3F7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（2）对于项目专用合同条款未明确指出，但是在不利物质条件发生之前，监理人已经指示承包人有可能发生，但承包人未能及时采取有效措施，而导致的损失和后果均由承包人承担。</w:t>
      </w:r>
    </w:p>
    <w:p w14:paraId="527D1FD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本条补充第 4.12 款、第 4.13 款：</w:t>
      </w:r>
    </w:p>
    <w:p w14:paraId="2CE616E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4.12 投标文件的完备性</w:t>
      </w:r>
    </w:p>
    <w:p w14:paraId="332DEB0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7FD813E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4.13 开展党建工作要求</w:t>
      </w:r>
    </w:p>
    <w:p w14:paraId="582830B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对于政府投资的国家高速公路项目，或承包人为国有控股或参股企业的，承包人应按规定在项目现场设立基层党组织。不满足上述情形的，承包人应创造条件使党员能够参加党组织生活并接受相应管理。</w:t>
      </w:r>
    </w:p>
    <w:p w14:paraId="49D0474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p>
    <w:p w14:paraId="76E8672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5. 材料和工程设备</w:t>
      </w:r>
    </w:p>
    <w:p w14:paraId="39FC964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5.2 发包人提供的材料和工程设备</w:t>
      </w:r>
    </w:p>
    <w:p w14:paraId="5C9215D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5.2.3 项补充：</w:t>
      </w:r>
    </w:p>
    <w:p w14:paraId="679B802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负责接收并按规定对材料进行抽样检验和对工程设备进行检验测试，若发现材料和工程设备存在缺陷，承包人应及时通知监理人，发包人应及时改正通知中指出的缺陷。承包人负责接收后的运输和保管，因承包人的原因发生丢失、损坏或进度拖延，由承包人承担相应责任。</w:t>
      </w:r>
    </w:p>
    <w:p w14:paraId="2DDA0FC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6. 施工设备和临时设施</w:t>
      </w:r>
    </w:p>
    <w:p w14:paraId="3A0DAB0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6.1 承包人提供的施工设备和临时设施</w:t>
      </w:r>
    </w:p>
    <w:p w14:paraId="568F90B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6.1.2 项约定为：</w:t>
      </w:r>
    </w:p>
    <w:p w14:paraId="6711C9A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承包人应自行承担修建临时设施的费用，需要临时占地的，应由承包人按第4.1.10 项（1）目的规定办理。</w:t>
      </w:r>
    </w:p>
    <w:p w14:paraId="4453542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6.3 要求承包人增加或更换施工设备</w:t>
      </w:r>
    </w:p>
    <w:p w14:paraId="3A8CC11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本款细化为： </w:t>
      </w:r>
    </w:p>
    <w:p w14:paraId="291990F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olor w:val="FF0000"/>
          <w:sz w:val="21"/>
          <w:szCs w:val="21"/>
          <w:highlight w:val="none"/>
          <w:lang w:val="en-US" w:eastAsia="zh-CN"/>
        </w:rPr>
      </w:pPr>
      <w:r>
        <w:rPr>
          <w:rFonts w:hint="eastAsia" w:ascii="宋体" w:hAnsi="宋体"/>
          <w:color w:val="auto"/>
          <w:sz w:val="21"/>
          <w:szCs w:val="21"/>
          <w:highlight w:val="none"/>
        </w:rPr>
        <w:t>承</w:t>
      </w:r>
      <w:r>
        <w:rPr>
          <w:rFonts w:hint="eastAsia" w:ascii="宋体" w:hAnsi="宋体"/>
          <w:color w:val="000000" w:themeColor="text1"/>
          <w:sz w:val="21"/>
          <w:szCs w:val="21"/>
          <w:highlight w:val="none"/>
          <w14:textFill>
            <w14:solidFill>
              <w14:schemeClr w14:val="tx1"/>
            </w14:solidFill>
          </w14:textFill>
        </w:rPr>
        <w:t>包人承诺的施工设备必须按时到达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r>
        <w:rPr>
          <w:rFonts w:hint="eastAsia" w:ascii="宋体" w:hAnsi="宋体"/>
          <w:color w:val="000000" w:themeColor="text1"/>
          <w:sz w:val="21"/>
          <w:szCs w:val="21"/>
          <w:highlight w:val="none"/>
          <w:lang w:val="en-US" w:eastAsia="zh-CN"/>
          <w14:textFill>
            <w14:solidFill>
              <w14:schemeClr w14:val="tx1"/>
            </w14:solidFill>
          </w14:textFill>
        </w:rPr>
        <w:t>如</w:t>
      </w:r>
      <w:r>
        <w:rPr>
          <w:rFonts w:hint="eastAsia" w:ascii="宋体" w:hAnsi="宋体"/>
          <w:color w:val="000000" w:themeColor="text1"/>
          <w:sz w:val="21"/>
          <w:szCs w:val="21"/>
          <w:highlight w:val="none"/>
          <w14:textFill>
            <w14:solidFill>
              <w14:schemeClr w14:val="tx1"/>
            </w14:solidFill>
          </w14:textFill>
        </w:rPr>
        <w:t>增加或更换</w:t>
      </w:r>
      <w:r>
        <w:rPr>
          <w:rFonts w:hint="eastAsia" w:ascii="宋体" w:hAnsi="宋体"/>
          <w:color w:val="000000" w:themeColor="text1"/>
          <w:sz w:val="21"/>
          <w:szCs w:val="21"/>
          <w:highlight w:val="none"/>
          <w:lang w:val="en-US" w:eastAsia="zh-CN"/>
          <w14:textFill>
            <w14:solidFill>
              <w14:schemeClr w14:val="tx1"/>
            </w14:solidFill>
          </w14:textFill>
        </w:rPr>
        <w:t>的</w:t>
      </w:r>
      <w:r>
        <w:rPr>
          <w:rFonts w:hint="eastAsia" w:ascii="宋体" w:hAnsi="宋体"/>
          <w:color w:val="000000" w:themeColor="text1"/>
          <w:sz w:val="21"/>
          <w:szCs w:val="21"/>
          <w:highlight w:val="none"/>
          <w14:textFill>
            <w14:solidFill>
              <w14:schemeClr w14:val="tx1"/>
            </w14:solidFill>
          </w14:textFill>
        </w:rPr>
        <w:t>施工设备</w:t>
      </w:r>
      <w:r>
        <w:rPr>
          <w:rFonts w:hint="eastAsia" w:ascii="宋体" w:hAnsi="宋体"/>
          <w:color w:val="000000" w:themeColor="text1"/>
          <w:sz w:val="21"/>
          <w:szCs w:val="21"/>
          <w:highlight w:val="none"/>
          <w:lang w:val="en-US" w:eastAsia="zh-CN"/>
          <w14:textFill>
            <w14:solidFill>
              <w14:schemeClr w14:val="tx1"/>
            </w14:solidFill>
          </w14:textFill>
        </w:rPr>
        <w:t>仍</w:t>
      </w:r>
      <w:r>
        <w:rPr>
          <w:rFonts w:hint="eastAsia" w:ascii="宋体" w:hAnsi="宋体"/>
          <w:color w:val="000000" w:themeColor="text1"/>
          <w:sz w:val="21"/>
          <w:szCs w:val="21"/>
          <w:highlight w:val="none"/>
          <w14:textFill>
            <w14:solidFill>
              <w14:schemeClr w14:val="tx1"/>
            </w14:solidFill>
          </w14:textFill>
        </w:rPr>
        <w:t>不能满足合同进度计划和（或）质量要求</w:t>
      </w:r>
      <w:r>
        <w:rPr>
          <w:rFonts w:hint="eastAsia" w:ascii="宋体" w:hAnsi="宋体"/>
          <w:color w:val="000000" w:themeColor="text1"/>
          <w:sz w:val="21"/>
          <w:szCs w:val="21"/>
          <w:highlight w:val="none"/>
          <w:lang w:eastAsia="zh-CN"/>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发包人有权与其解除合同，由此产生的后果由</w:t>
      </w:r>
      <w:r>
        <w:rPr>
          <w:rFonts w:hint="eastAsia" w:ascii="宋体" w:hAnsi="宋体"/>
          <w:color w:val="000000" w:themeColor="text1"/>
          <w:sz w:val="21"/>
          <w:szCs w:val="21"/>
          <w:highlight w:val="none"/>
          <w14:textFill>
            <w14:solidFill>
              <w14:schemeClr w14:val="tx1"/>
            </w14:solidFill>
          </w14:textFill>
        </w:rPr>
        <w:t>承包人承担</w:t>
      </w:r>
      <w:r>
        <w:rPr>
          <w:rFonts w:hint="eastAsia" w:ascii="宋体" w:hAnsi="宋体"/>
          <w:color w:val="000000" w:themeColor="text1"/>
          <w:sz w:val="21"/>
          <w:szCs w:val="21"/>
          <w:highlight w:val="none"/>
          <w:lang w:eastAsia="zh-CN"/>
          <w14:textFill>
            <w14:solidFill>
              <w14:schemeClr w14:val="tx1"/>
            </w14:solidFill>
          </w14:textFill>
        </w:rPr>
        <w:t>。</w:t>
      </w:r>
    </w:p>
    <w:p w14:paraId="7C2824B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7. 交通运输</w:t>
      </w:r>
    </w:p>
    <w:p w14:paraId="3231B6B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7.1 道路通行权和场外设施</w:t>
      </w:r>
    </w:p>
    <w:p w14:paraId="0542E55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本款约定为： 承包人应根据合同工程的施工需要，负责办理取得出入施工场地的专用和临时道路的通行权，以及取得为工程建设所需修建场外设施的权利，并承担有关费用。 需要发包人协调时，发包人应协助承包人办理相关手续。</w:t>
      </w:r>
    </w:p>
    <w:p w14:paraId="18FA828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8. 测量放线</w:t>
      </w:r>
    </w:p>
    <w:p w14:paraId="6D43184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8.4 监理人使用施工控制网</w:t>
      </w:r>
    </w:p>
    <w:p w14:paraId="672695E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w:t>
      </w:r>
    </w:p>
    <w:p w14:paraId="758D983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经监理人批准，其他相关承包人也可免费使用施工控制网。</w:t>
      </w:r>
    </w:p>
    <w:p w14:paraId="39D4234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9. 施工安全、治安保卫和环境保护</w:t>
      </w:r>
    </w:p>
    <w:p w14:paraId="240DE87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9.2 承包人的施工安全责任</w:t>
      </w:r>
    </w:p>
    <w:p w14:paraId="000E8E0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9.2.1 项细化为：</w:t>
      </w:r>
    </w:p>
    <w:p w14:paraId="6A97961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448DEC3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p>
    <w:p w14:paraId="6C65F07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本项目需要编制专项施工方案的工程包括但不限于以下内容：</w:t>
      </w:r>
    </w:p>
    <w:p w14:paraId="3F45A40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（1）不良地质条件下有潜在危险性的土方、石方开挖；</w:t>
      </w:r>
    </w:p>
    <w:p w14:paraId="46FBCEA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（2）滑坡和高边坡处理；</w:t>
      </w:r>
    </w:p>
    <w:p w14:paraId="7E440E7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（3）桩基础、挡墙基础、深水基础及围堰工程；</w:t>
      </w:r>
    </w:p>
    <w:p w14:paraId="756D4A9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（4）桥梁工程中的梁、拱、柱等构件施工等；</w:t>
      </w:r>
    </w:p>
    <w:p w14:paraId="7E8BAD9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（5）隧道工程中的不良地质隧道、高瓦斯隧道等；</w:t>
      </w:r>
    </w:p>
    <w:p w14:paraId="2B77FDA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（6）水上工程中的打桩船作业、施工船作业、外海孤岛作业、边通航边施工作</w:t>
      </w:r>
    </w:p>
    <w:p w14:paraId="50136DF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业等；</w:t>
      </w:r>
    </w:p>
    <w:p w14:paraId="1DCBA9A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（7）水下工程中的水下焊接、混凝土浇筑、爆破工程等；</w:t>
      </w:r>
    </w:p>
    <w:p w14:paraId="019CD0B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（8）爆破工程；</w:t>
      </w:r>
    </w:p>
    <w:p w14:paraId="4CFA537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（9）大型临时工程中的大型支架、模板、便桥的架设与拆除；桥梁、码头的加固与拆除；</w:t>
      </w:r>
    </w:p>
    <w:p w14:paraId="402CD8A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（10）其他危险性较大的工程。</w:t>
      </w:r>
    </w:p>
    <w:p w14:paraId="422280C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监理人和发包人在检查中发现有安全问题或有违反安全管理规章制度的情况时，可视为承包人违约，应按第 22.1 款的规定办理。</w:t>
      </w:r>
    </w:p>
    <w:p w14:paraId="47CAB44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9.2.5 项细化为：</w:t>
      </w:r>
    </w:p>
    <w:p w14:paraId="1D8837D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除项目专用合同条款另有约定外，</w:t>
      </w:r>
      <w:r>
        <w:rPr>
          <w:rFonts w:hint="eastAsia" w:ascii="宋体" w:hAnsi="宋体"/>
          <w:color w:val="000000" w:themeColor="text1"/>
          <w:sz w:val="21"/>
          <w:szCs w:val="21"/>
          <w:highlight w:val="none"/>
          <w14:textFill>
            <w14:solidFill>
              <w14:schemeClr w14:val="tx1"/>
            </w14:solidFill>
          </w14:textFill>
        </w:rPr>
        <w:t>安全生产费用应为投标价（不含安全生产费及建筑工程一切险及第三者责任险的保险费）的 1.5%（若发包人公布了最高投标限价时，按最高投标限价的 1.5%计）。安全生</w:t>
      </w:r>
      <w:r>
        <w:rPr>
          <w:rFonts w:hint="eastAsia" w:ascii="宋体" w:hAnsi="宋体"/>
          <w:color w:val="auto"/>
          <w:sz w:val="21"/>
          <w:szCs w:val="21"/>
          <w:highlight w:val="none"/>
        </w:rPr>
        <w:t>产费用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p>
    <w:p w14:paraId="35644FB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9.2.8 项～第 9.2.11 项：</w:t>
      </w:r>
    </w:p>
    <w:p w14:paraId="4A2217E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9.2.8 承包人应充分关注和保障所有在现场工作的人员的安全，采取以下有效措施，使现场和本合同工程的实施保持有条不紊，以免使上述人员的安全受到威胁。</w:t>
      </w:r>
    </w:p>
    <w:p w14:paraId="7BDE0C1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（1）按</w:t>
      </w:r>
      <w:r>
        <w:rPr>
          <w:rFonts w:hint="eastAsia" w:ascii="宋体" w:hAnsi="宋体"/>
          <w:color w:val="000000" w:themeColor="text1"/>
          <w:sz w:val="21"/>
          <w:szCs w:val="21"/>
          <w:highlight w:val="none"/>
          <w14:textFill>
            <w14:solidFill>
              <w14:schemeClr w14:val="tx1"/>
            </w14:solidFill>
          </w14:textFill>
        </w:rPr>
        <w:t>《公路水运工程安全生产监督管理办法》规定的最低数量和资质条件配备专职安全生产管理人员；</w:t>
      </w:r>
    </w:p>
    <w:p w14:paraId="63C7BC3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（2）承包人的</w:t>
      </w:r>
      <w:r>
        <w:rPr>
          <w:rFonts w:hint="eastAsia" w:ascii="宋体" w:hAnsi="宋体"/>
          <w:color w:val="000000" w:themeColor="text1"/>
          <w:sz w:val="21"/>
          <w:szCs w:val="21"/>
          <w:highlight w:val="none"/>
          <w14:textFill>
            <w14:solidFill>
              <w14:schemeClr w14:val="tx1"/>
            </w14:solidFill>
          </w14:textFill>
        </w:rPr>
        <w:t>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2BA257A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（3）所有施工机具设备和高空作业设备均应定期检查，并有安全员的签字记录；</w:t>
      </w:r>
    </w:p>
    <w:p w14:paraId="33A541C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（4）根据本合同各单位工程的施工特点，严格执行《公路水运工程安全生产监督管理办法》《公路工程施工安全技术规范》等有关规定。</w:t>
      </w:r>
    </w:p>
    <w:p w14:paraId="1EAFDF0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9.2.9 为了保护本合同工程免遭损坏，或为了现场附近和过往群众的安全与方便，在确有必要的时候和地方，或当监理人或有关主管部门要求时，承包人应自费提供照明、警卫、护栅、警告标志等安全防护设施。</w:t>
      </w:r>
    </w:p>
    <w:p w14:paraId="028274E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9.2.10 在通航水域施工时，承包人应与当地主管部门取得联系，设置必要的导航标志，及时发布航行通告，确保施工水域安全。</w:t>
      </w:r>
    </w:p>
    <w:p w14:paraId="2A7E25A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3EB7BA6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9.4环境保护</w:t>
      </w:r>
    </w:p>
    <w:p w14:paraId="72FBA54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9.4.7 项~第 9.4.11 项：</w:t>
      </w:r>
    </w:p>
    <w:p w14:paraId="4DD20D5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9.4.7 承包人应切实执行技术规范中有关环境保护方面的条款和规定。</w:t>
      </w:r>
    </w:p>
    <w:p w14:paraId="5FD2606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p>
    <w:p w14:paraId="34DF191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（2）对于公路施工中粉尘污染的主要污染源―灰土拌和、施工车辆和筑路机械运行及运输产生的扬尘,应采取有效措施减轻其对施工现场的大气污染,保护人民健康，如：</w:t>
      </w:r>
    </w:p>
    <w:p w14:paraId="0A6D7CA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a.拌和设备应有较好的密封，或有防尘设备。</w:t>
      </w:r>
    </w:p>
    <w:p w14:paraId="40941F8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b.施工通道、沥青混凝土拌和站及灰土拌和站应经常进行洒水降尘。</w:t>
      </w:r>
    </w:p>
    <w:p w14:paraId="0C1221E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c.路面施工应注意保持水分，以免扬尘。</w:t>
      </w:r>
    </w:p>
    <w:p w14:paraId="2126EB1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d.隧道出渣和桥梁钻孔灌注桩施工时排出的泥浆要进行妥善处理，严禁向河流或农田排放。</w:t>
      </w:r>
    </w:p>
    <w:p w14:paraId="1E95B9B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（3）采取可靠措施保证原有交通的正常通行，维持沿线村镇的居民饮水、农田灌溉、生产生活用电及通信等管线的正常使用。</w:t>
      </w:r>
    </w:p>
    <w:p w14:paraId="4173270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5906543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9.4.9 在施工期间，承包人应随时保持现场整洁，施工设备和材料、工程设备应整齐妥善存放和储存，废料与垃圾及不再需要的临时设施应及时从现场清除、拆除并运走。</w:t>
      </w:r>
    </w:p>
    <w:p w14:paraId="6392C50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9.4.10 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p>
    <w:p w14:paraId="7F03EBD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9.4.11 承包人应严格按照国家有关法规要求，做好施工过程中的生态保护和水土保持工作。施工中要尽可能减少对原地面的扰动，减少对地面草木的破坏，需要爆破作业的，应按规定进行控爆设计。雨季填筑路基应随挖、随运、随填、随压，要完善施工中的临时排水系统，加强施工便道的管理。取（弃）土场必须先挡后弃，严禁在指定的取（弃）土场以外的地方乱挖乱弃。</w:t>
      </w:r>
    </w:p>
    <w:p w14:paraId="18473B7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10. 进度计划</w:t>
      </w:r>
    </w:p>
    <w:p w14:paraId="75E7237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10.1 合同进度计划</w:t>
      </w:r>
    </w:p>
    <w:p w14:paraId="1A2C840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本款补充： </w:t>
      </w:r>
    </w:p>
    <w:p w14:paraId="30C561F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承包人编制施工方案说明的内容见项目专用合同条款。</w:t>
      </w:r>
    </w:p>
    <w:p w14:paraId="18D6FE5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承包人向监理人报送施工进度计划和施工方案说明的期限：签订</w:t>
      </w:r>
      <w:r>
        <w:rPr>
          <w:rFonts w:hint="eastAsia" w:ascii="宋体" w:hAnsi="宋体"/>
          <w:color w:val="000000" w:themeColor="text1"/>
          <w:sz w:val="21"/>
          <w:szCs w:val="21"/>
          <w:highlight w:val="none"/>
          <w14:textFill>
            <w14:solidFill>
              <w14:schemeClr w14:val="tx1"/>
            </w14:solidFill>
          </w14:textFill>
        </w:rPr>
        <w:t>合同协议书后28 天之内。</w:t>
      </w:r>
    </w:p>
    <w:p w14:paraId="0805515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监理人应在14天内对承包人施工进度计划和施工方案说明予以批复或提出修改意见。</w:t>
      </w:r>
    </w:p>
    <w:p w14:paraId="25FAD57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合同进度计划应按照关键线路网络图和主要工作横道图两种形式分别编绘，并应包括每月预计完成的工作量和形象进度。</w:t>
      </w:r>
    </w:p>
    <w:p w14:paraId="0F11B75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10.2 合同进度计划的修订</w:t>
      </w:r>
    </w:p>
    <w:p w14:paraId="04BAD42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w:t>
      </w:r>
    </w:p>
    <w:p w14:paraId="19B26CB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承包人提交合同进度计划修订申请报告，并附有关措施和相关资料的期限：实际进度发生滞后的当月25日前。</w:t>
      </w:r>
    </w:p>
    <w:p w14:paraId="6BC88B5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监理人批复修订合同进度计划的期限：收到修订合同进度计划后14天内。</w:t>
      </w:r>
    </w:p>
    <w:p w14:paraId="632FE2D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本条补充第 10.3 款、第 10.4 款：</w:t>
      </w:r>
    </w:p>
    <w:p w14:paraId="1E9B844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10.3 年度施工计划</w:t>
      </w:r>
    </w:p>
    <w:p w14:paraId="1570B229">
      <w:pPr>
        <w:keepNext w:val="0"/>
        <w:keepLines w:val="0"/>
        <w:pageBreakBefore w:val="0"/>
        <w:widowControl w:val="0"/>
        <w:kinsoku/>
        <w:wordWrap/>
        <w:overflowPunct/>
        <w:topLinePunct w:val="0"/>
        <w:autoSpaceDE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在每年11月底前，根据已同意的合同进度计划或其修订的计划，向监理人提交2份格式和内容符合监理人合理规定的下一年度的施工计划，以供审查。该计划应包括本年度估计完成的和下一年度预计完成的分项工程数量和工作量，以及为实施此计划将采取的措施。</w:t>
      </w:r>
    </w:p>
    <w:p w14:paraId="7AA3BF8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10.4 合同用款计划</w:t>
      </w:r>
    </w:p>
    <w:p w14:paraId="77D030B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承包人应在签订本合同协议书后28天之内，按招标文</w:t>
      </w:r>
      <w:r>
        <w:rPr>
          <w:rFonts w:hint="eastAsia" w:ascii="宋体" w:hAnsi="宋体"/>
          <w:color w:val="000000" w:themeColor="text1"/>
          <w:sz w:val="21"/>
          <w:szCs w:val="21"/>
          <w:highlight w:val="none"/>
          <w14:textFill>
            <w14:solidFill>
              <w14:schemeClr w14:val="tx1"/>
            </w14:solidFill>
          </w14:textFill>
        </w:rPr>
        <w:t>件中规定的格式，向监理人提交2份按合同规定承包人有权得到支付的详细的季度合同用款计划，以备监理人查阅。</w:t>
      </w:r>
      <w:r>
        <w:rPr>
          <w:rFonts w:hint="eastAsia" w:ascii="宋体" w:hAnsi="宋体"/>
          <w:color w:val="auto"/>
          <w:sz w:val="21"/>
          <w:szCs w:val="21"/>
          <w:highlight w:val="none"/>
        </w:rPr>
        <w:t>如果监理人提出要求，承包人还应按季度提交修订的合同用款计划。</w:t>
      </w:r>
    </w:p>
    <w:p w14:paraId="545F364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11. 开工和交工</w:t>
      </w:r>
    </w:p>
    <w:p w14:paraId="511A3C7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11.1 开工</w:t>
      </w:r>
    </w:p>
    <w:p w14:paraId="343AA3A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11.1.2 项补充：</w:t>
      </w:r>
    </w:p>
    <w:p w14:paraId="6AAAD9A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承包人应在分部工程开工前14天向监理人提交分部工程开工报审表，若承包人的开工准备、工作计划和质量控制方法是可接受的且已获得批准，则经监理人书面同意，分部工程才能开工。</w:t>
      </w:r>
    </w:p>
    <w:p w14:paraId="174C124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11.3 发包人的工期延误</w:t>
      </w:r>
    </w:p>
    <w:p w14:paraId="5F877BD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本款补充： </w:t>
      </w:r>
    </w:p>
    <w:p w14:paraId="0A7370B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即使由于上述原因造成工期延误，如果受影响的工程并非处在工程施工进度网络计划的关键线路上，则承包人无权要求延长总工期。</w:t>
      </w:r>
    </w:p>
    <w:p w14:paraId="074BA84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11.4 异常恶劣的气候条件</w:t>
      </w:r>
    </w:p>
    <w:p w14:paraId="148F819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w:t>
      </w:r>
    </w:p>
    <w:p w14:paraId="08E0A3C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异常气候是指项目所在地30年以上一遇的罕见气候现象（包括温度、降水、降雪、风等）。异常恶劣的气候条件在项目专用合同条款中作具体约定。</w:t>
      </w:r>
    </w:p>
    <w:p w14:paraId="0FC7C2C8">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11.5 承包人的工期延误</w:t>
      </w:r>
    </w:p>
    <w:p w14:paraId="7ABF980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本款细化为：</w:t>
      </w:r>
    </w:p>
    <w:p w14:paraId="14093C9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承包人应严格执行监理人批准的合同进度计划，对工作量计划和形象进度计划分别控制。除第11.3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6EDDCCE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如果承包人在接到监理人通知后的14天内，未能采取加快工程进度的措施，致使实际工程进度进一步滞后，或承包人虽采取了一些措施，仍无法按预计工期交工时，监理人应立即通知发包人。发包人在向承包人发出</w:t>
      </w:r>
      <w:r>
        <w:rPr>
          <w:rFonts w:hint="eastAsia" w:ascii="宋体" w:hAnsi="宋体"/>
          <w:color w:val="000000" w:themeColor="text1"/>
          <w:sz w:val="21"/>
          <w:szCs w:val="21"/>
          <w:highlight w:val="none"/>
          <w14:textFill>
            <w14:solidFill>
              <w14:schemeClr w14:val="tx1"/>
            </w14:solidFill>
          </w14:textFill>
        </w:rPr>
        <w:t>书面警告通知14天后，发包人可按第22.1款终止对承包人的雇用，也可将本合同工程中的一部分工作交由其他承包人或其他分包人完成。在</w:t>
      </w:r>
      <w:r>
        <w:rPr>
          <w:rFonts w:hint="eastAsia" w:ascii="宋体" w:hAnsi="宋体"/>
          <w:color w:val="auto"/>
          <w:sz w:val="21"/>
          <w:szCs w:val="21"/>
          <w:highlight w:val="none"/>
        </w:rPr>
        <w:t>不解除本合同规定的承包人责任和义务的同时，承包人应承担因此所增加的一切费用。</w:t>
      </w:r>
    </w:p>
    <w:p w14:paraId="0E03437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3521555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（4）承包人支付逾期交工违约金，不免除承包人完成工程及修补缺陷的义务。</w:t>
      </w:r>
    </w:p>
    <w:p w14:paraId="51CBF89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5B654FA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11.6 工期提前</w:t>
      </w:r>
    </w:p>
    <w:p w14:paraId="54F9A79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本款补充： </w:t>
      </w:r>
    </w:p>
    <w:p w14:paraId="36FFFAC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发包人不得随意要求承包人提前交工，承包人也不得随意提出提前交工的建议。如遇特殊情况，确需将工期提前的，发包人和承包人必须采取有效措施，确保工程质量。</w:t>
      </w:r>
    </w:p>
    <w:p w14:paraId="462BF74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如果承包人提前交工，发包人支付奖金的计算方法在项目专用合同条款数据表中约定，时间自交工验收证书中写明的实际交工日期起至预定的交工日期止，按天计算。但奖金最高限额不超过项目专用合同条款数据表中写明的限额。</w:t>
      </w:r>
    </w:p>
    <w:p w14:paraId="301ED2F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本条补充第11.7款：</w:t>
      </w:r>
    </w:p>
    <w:p w14:paraId="3C0D8C9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11.7 工作时间的限制</w:t>
      </w:r>
    </w:p>
    <w:p w14:paraId="3F9E512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承包人在夜间或国家规定的节假日进行永久工程的施工，应向监理人报告，以便监理人履行监理职责和义务。 </w:t>
      </w:r>
    </w:p>
    <w:p w14:paraId="28A7A7B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但是，为了抢救生命或保护财产，或为了工程的安全、质量而不可避免地短暂作业，则不必事先向监理人报告。但承包人应在事后立即向监理人报告。</w:t>
      </w:r>
    </w:p>
    <w:p w14:paraId="61CA492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本款规定不适用于习惯上或施工本身要求实行连续生产的作业。</w:t>
      </w:r>
    </w:p>
    <w:p w14:paraId="1C5587B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12. 暂停施工</w:t>
      </w:r>
    </w:p>
    <w:p w14:paraId="436C38F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12.1 承包人暂停施工的责任</w:t>
      </w:r>
    </w:p>
    <w:p w14:paraId="11EFC00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本款第（5）项细化为：</w:t>
      </w:r>
    </w:p>
    <w:p w14:paraId="42038E9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（5）现场气候条件导致的必要停工（第11.4款约定的异常恶劣的气候条件除外）；</w:t>
      </w:r>
    </w:p>
    <w:p w14:paraId="595E3B6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（6）项目专用合同</w:t>
      </w:r>
      <w:r>
        <w:rPr>
          <w:rFonts w:hint="eastAsia" w:ascii="宋体" w:hAnsi="宋体"/>
          <w:color w:val="000000" w:themeColor="text1"/>
          <w:sz w:val="21"/>
          <w:szCs w:val="21"/>
          <w:highlight w:val="none"/>
          <w14:textFill>
            <w14:solidFill>
              <w14:schemeClr w14:val="tx1"/>
            </w14:solidFill>
          </w14:textFill>
        </w:rPr>
        <w:t>条款可能约定的由承包人承担的其他暂停</w:t>
      </w:r>
      <w:r>
        <w:rPr>
          <w:rFonts w:hint="eastAsia" w:ascii="宋体" w:hAnsi="宋体"/>
          <w:color w:val="auto"/>
          <w:sz w:val="21"/>
          <w:szCs w:val="21"/>
          <w:highlight w:val="none"/>
        </w:rPr>
        <w:t>施工。</w:t>
      </w:r>
    </w:p>
    <w:p w14:paraId="261D3CD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13. 工程质量</w:t>
      </w:r>
    </w:p>
    <w:p w14:paraId="1394E0DF">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13.1 工程质量要求</w:t>
      </w:r>
    </w:p>
    <w:p w14:paraId="0C88FF8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13.1.1 项约定为：</w:t>
      </w:r>
    </w:p>
    <w:p w14:paraId="0315EE1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工程质量验收按技术规范及《公路</w:t>
      </w:r>
      <w:r>
        <w:rPr>
          <w:rFonts w:hint="eastAsia" w:ascii="宋体" w:hAnsi="宋体"/>
          <w:color w:val="auto"/>
          <w:sz w:val="21"/>
          <w:szCs w:val="21"/>
          <w:highlight w:val="none"/>
          <w:lang w:eastAsia="zh-CN"/>
        </w:rPr>
        <w:t>养护</w:t>
      </w:r>
      <w:r>
        <w:rPr>
          <w:rFonts w:hint="eastAsia" w:ascii="宋体" w:hAnsi="宋体"/>
          <w:color w:val="auto"/>
          <w:sz w:val="21"/>
          <w:szCs w:val="21"/>
          <w:highlight w:val="none"/>
        </w:rPr>
        <w:t>工程质量检验评定标准》执行。</w:t>
      </w:r>
    </w:p>
    <w:p w14:paraId="7D291ED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13.1.4 项、第 13.1.5 项：</w:t>
      </w:r>
    </w:p>
    <w:p w14:paraId="481CB68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13.1.4 发包人和承包人应严格</w:t>
      </w:r>
      <w:r>
        <w:rPr>
          <w:rFonts w:hint="eastAsia" w:ascii="宋体" w:hAnsi="宋体"/>
          <w:color w:val="000000" w:themeColor="text1"/>
          <w:sz w:val="21"/>
          <w:szCs w:val="21"/>
          <w:highlight w:val="none"/>
          <w14:textFill>
            <w14:solidFill>
              <w14:schemeClr w14:val="tx1"/>
            </w14:solidFill>
          </w14:textFill>
        </w:rPr>
        <w:t>遵守《关于严格落实公路工程质量责任制的若干意见》的相关规定，认真执行工程质量责任登记制度并按要</w:t>
      </w:r>
      <w:r>
        <w:rPr>
          <w:rFonts w:hint="eastAsia" w:ascii="宋体" w:hAnsi="宋体"/>
          <w:color w:val="auto"/>
          <w:sz w:val="21"/>
          <w:szCs w:val="21"/>
          <w:highlight w:val="none"/>
        </w:rPr>
        <w:t>求填写工程质量责任登记表。</w:t>
      </w:r>
    </w:p>
    <w:p w14:paraId="42C1964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13.1.5 本项目严格执行质量责任追究制度。质量事故处理实行“四不放过”原则：事故原因调查不清不放过；事故责任者没有受到教育不放过；没有防范措施不放过；相关责任人没受到处理不放过。</w:t>
      </w:r>
    </w:p>
    <w:p w14:paraId="450CA69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13.2 承包人的质量管理</w:t>
      </w:r>
    </w:p>
    <w:p w14:paraId="594156B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13.2.1 项补充：</w:t>
      </w:r>
    </w:p>
    <w:p w14:paraId="2264BEF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承包人提交工程质量保证措施文件的期限：签订合同协议书后28天之内。</w:t>
      </w:r>
    </w:p>
    <w:p w14:paraId="7402209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13.2.3 项～第 13.2.10 项：</w:t>
      </w:r>
    </w:p>
    <w:p w14:paraId="747D90A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13.2.3 公路工程施行质量责任终身制。承包人应当书面明确相应的项目负责人和质量负责人。承包人的相关人员按照国家法律法规和有关规定在工程合理使用年限内承担相应的质量责任。</w:t>
      </w:r>
    </w:p>
    <w:p w14:paraId="0DACAB9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09DF216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13.2.5 承包人对工程施工质量负责，应当按合同约定设立现场质量管理机构、配备工程技术人员和质量管理人员，落实工程施工质量责任制。</w:t>
      </w:r>
    </w:p>
    <w:p w14:paraId="58F22D7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50D4AC9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3DF2463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auto"/>
          <w:sz w:val="21"/>
          <w:szCs w:val="21"/>
          <w:highlight w:val="none"/>
        </w:rPr>
        <w:t>13.2.8 承包人应当按照合同约</w:t>
      </w:r>
      <w:r>
        <w:rPr>
          <w:rFonts w:hint="eastAsia" w:ascii="宋体" w:hAnsi="宋体"/>
          <w:color w:val="000000" w:themeColor="text1"/>
          <w:sz w:val="21"/>
          <w:szCs w:val="21"/>
          <w:highlight w:val="none"/>
          <w14:textFill>
            <w14:solidFill>
              <w14:schemeClr w14:val="tx1"/>
            </w14:solidFill>
          </w14:textFill>
        </w:rPr>
        <w:t>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r>
        <w:rPr>
          <w:rFonts w:hint="eastAsia" w:ascii="宋体" w:hAnsi="宋体"/>
          <w:color w:val="000000" w:themeColor="text1"/>
          <w:sz w:val="21"/>
          <w:szCs w:val="21"/>
          <w:highlight w:val="none"/>
          <w:lang w:val="en-US" w:eastAsia="zh-CN"/>
          <w14:textFill>
            <w14:solidFill>
              <w14:schemeClr w14:val="tx1"/>
            </w14:solidFill>
          </w14:textFill>
        </w:rPr>
        <w:t>如有违反上述约定，发包人有权与其解除合同，由此产生的后果由承包人承担。</w:t>
      </w:r>
    </w:p>
    <w:p w14:paraId="55DEA78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13.2.9 承包人应当依法规范分包行为，并对承担的工程质量负总责，分包单位对分包合同范围内的工程质量负责。</w:t>
      </w:r>
    </w:p>
    <w:p w14:paraId="0FA48B3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13.2.10 承包人驻工程现场机构应在现场驻地和重要的分部、分项工程施工现场设置明显的工程质量责任登记表公示牌。</w:t>
      </w:r>
    </w:p>
    <w:p w14:paraId="34168E7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13.4 监理人的质量检查</w:t>
      </w:r>
    </w:p>
    <w:p w14:paraId="3BE38D8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本款补充： </w:t>
      </w:r>
    </w:p>
    <w:p w14:paraId="0BA9CA7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监理人及其委派的检验人员，应能进入工程现场，以及材料或工程设备的制造、加工或制配的车间和场所，包括不属于承包人的车间或场所进行检查，承包人应为此提供便利和协助。</w:t>
      </w:r>
    </w:p>
    <w:p w14:paraId="4F8B8B1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监理人可以将材料或工程设备的检查和检验委托给一家独立的有质量检验认证资格的检验单位。该独立检验单位的检验结果应视为监理人完成的。监理人应将这种委托的通知书不少于7天前交给承包人。</w:t>
      </w:r>
    </w:p>
    <w:p w14:paraId="6871FDF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13.5 工程隐蔽部位覆盖前的检查</w:t>
      </w:r>
    </w:p>
    <w:p w14:paraId="444AC50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13.5.1 项补充：</w:t>
      </w:r>
    </w:p>
    <w:p w14:paraId="00469AC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566AD2D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13.6 清除不合格工程</w:t>
      </w:r>
    </w:p>
    <w:p w14:paraId="24B82DB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13.6.1 项细化为：</w:t>
      </w:r>
    </w:p>
    <w:p w14:paraId="12670D3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（1）承包人使用不</w:t>
      </w:r>
      <w:r>
        <w:rPr>
          <w:rFonts w:hint="eastAsia" w:ascii="宋体" w:hAnsi="宋体"/>
          <w:color w:val="000000" w:themeColor="text1"/>
          <w:sz w:val="21"/>
          <w:szCs w:val="21"/>
          <w:highlight w:val="none"/>
          <w14:textFill>
            <w14:solidFill>
              <w14:schemeClr w14:val="tx1"/>
            </w14:solidFill>
          </w14:textFill>
        </w:rPr>
        <w:t>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5165233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（2）如果承包人未在规定时间内执行监理人的指示，发包人有权雇用他人执行，由此增加的费用和（或）工期延误由承包人承担。</w:t>
      </w:r>
    </w:p>
    <w:p w14:paraId="219C854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14. 试验和检验</w:t>
      </w:r>
    </w:p>
    <w:p w14:paraId="2B19EF1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本条补充第 14.4 款：</w:t>
      </w:r>
    </w:p>
    <w:p w14:paraId="7138D78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14.4 试验和检验费用</w:t>
      </w:r>
    </w:p>
    <w:p w14:paraId="3D7DF41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1）承包人应负责提供合同和技术规范规定的试验和检验所需的全部样品，并承担其费用。</w:t>
      </w:r>
    </w:p>
    <w:p w14:paraId="62CDE99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（2）在合同中明确规定的试验和检验，包括无须在工程量清单中单独列项和已在工程量清单中单独列项的试验和检验，其试验和检验的费用由承包人承担。</w:t>
      </w:r>
    </w:p>
    <w:p w14:paraId="4AFA6C1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49F1D80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15. 变更</w:t>
      </w:r>
    </w:p>
    <w:p w14:paraId="7E88550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15.1 变更的范围和内容</w:t>
      </w:r>
    </w:p>
    <w:p w14:paraId="59812ED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本款第（1）项细化为：</w:t>
      </w:r>
    </w:p>
    <w:p w14:paraId="520A3DA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（1）取消合同中任何一项工作，但被取消的工作不能转由发包人或其他人实施，由于承包人违约造成的情况除外；</w:t>
      </w:r>
    </w:p>
    <w:p w14:paraId="4D3F77C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15.3 变更程序</w:t>
      </w:r>
    </w:p>
    <w:p w14:paraId="2B022A6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 15.3.4 项：</w:t>
      </w:r>
    </w:p>
    <w:p w14:paraId="145022F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15.3.4 设计变更程序应执行《公路工程设计变更管理办法》的相关规定。</w:t>
      </w:r>
    </w:p>
    <w:p w14:paraId="183E4906">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15.4 变更的估价原则</w:t>
      </w:r>
    </w:p>
    <w:p w14:paraId="13773A0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本款细化为：</w:t>
      </w:r>
    </w:p>
    <w:p w14:paraId="4A70B2E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除项目专用合同条款另有约定外，因变更引起的价格调整按照本款约定处理。</w:t>
      </w:r>
    </w:p>
    <w:p w14:paraId="195A4F6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15.4.1 如果取消某项工作，则该项工作的总额价不予支付。</w:t>
      </w:r>
    </w:p>
    <w:p w14:paraId="1782547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15.4.2 已标价工程量清单中有适用于变更工作的子目的，采用该子目的单价。</w:t>
      </w:r>
    </w:p>
    <w:p w14:paraId="15A7066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15.4.3 已标价工程量清单中无适用于变更工作的子目，但有类似子目的，可在合理范围内参照类似子目的单价，由监理人按第3.5款商定或确定变更工作的单价。</w:t>
      </w:r>
    </w:p>
    <w:p w14:paraId="333D66A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15.4.4 已标价工程量清单中无适用或类似子目的单价，可在综合考虑承包人在投标时所提供的单价分析表的基础上，由监理人按第3.5款商定或确定变更工作的单价。</w:t>
      </w:r>
    </w:p>
    <w:p w14:paraId="0EBD9EA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15.4.5 如果本工程的变更指示是因承包人过错、承包人违反合同或承包人责任造成的，则这种违约引起的任何额外费用应由承包人承担。</w:t>
      </w:r>
    </w:p>
    <w:p w14:paraId="0117EC9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15.5 承包人的合理化建议</w:t>
      </w:r>
    </w:p>
    <w:p w14:paraId="1AEC327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15.5.2 项约定为：</w:t>
      </w:r>
    </w:p>
    <w:p w14:paraId="639BBAF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承包人提出的合理化建议缩短了工期，发包人按第 11.6 款的规定给予奖励。</w:t>
      </w:r>
    </w:p>
    <w:p w14:paraId="124BDA3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承包人提出的合理化建议降低了合同价格或者提高了工程经济效益的，发包人按项目专用合同条款数据表中规定的金额给予奖励。</w:t>
      </w:r>
    </w:p>
    <w:p w14:paraId="509F35F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15.6 暂列金额</w:t>
      </w:r>
    </w:p>
    <w:p w14:paraId="1FE3738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本款细化为：</w:t>
      </w:r>
    </w:p>
    <w:p w14:paraId="4EAF186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15.6.1 暂列金额应由监理人报发包人批准后指令全部或部分地使用，或者根本不予动用。</w:t>
      </w:r>
    </w:p>
    <w:p w14:paraId="7421655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15.6.2 对于经发包人批准的每一笔暂列金额，监理人有权向承包人发出实施工程或提供材料、工程设备或服务的指令。这些指令应由承包人完成，监理人应根据第15.4款约定的变更估价原则和第15.7款的规定，对合同价格进行相应调整。</w:t>
      </w:r>
    </w:p>
    <w:p w14:paraId="01B4FDE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15.6.3 当监理人提出要求时，承包人应提供有关暂列金额支出的所有报价单、发 票、凭证和账单或收据，除非该工作是根据已标价工程量清单列明的单价或总额价进行的估价。</w:t>
      </w:r>
    </w:p>
    <w:p w14:paraId="3553C51B">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16. 价格调整</w:t>
      </w:r>
    </w:p>
    <w:p w14:paraId="0D2FCEB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16.1 物价波动引起的价格调整</w:t>
      </w:r>
    </w:p>
    <w:p w14:paraId="660132B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本款约定为：</w:t>
      </w:r>
    </w:p>
    <w:p w14:paraId="4352B58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（1）除项目专用合同条款另有约定外，因物价波动引起的价格调整应按项目专用合同条款数据表的规定，按照第16.1.1项或第16.1.2项约定的原则处理；</w:t>
      </w:r>
    </w:p>
    <w:p w14:paraId="4DC085B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（2）在合同执行期间（包括工期拖延期间）由于人工、材料和设备价格的上涨而引起工程施工成本增加的风险由承包人自行承担，合同价格不会因此而调整。</w:t>
      </w:r>
    </w:p>
    <w:p w14:paraId="15EE8B5C">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16.1.1 采用价格指数调整价格差额</w:t>
      </w:r>
    </w:p>
    <w:p w14:paraId="0912ADF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16.1.1.1 价格调整公式</w:t>
      </w:r>
    </w:p>
    <w:p w14:paraId="050AA3C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价格调整公式后增加备注如下：</w:t>
      </w:r>
    </w:p>
    <w:p w14:paraId="1A83BB2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式中，A=1－（B1＋B2＋B3＋……＋Bn）。</w:t>
      </w:r>
    </w:p>
    <w:p w14:paraId="6730D7B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本目最后一段文字细化为：</w:t>
      </w:r>
    </w:p>
    <w:p w14:paraId="621C728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在采用价格调整公式进行调价时，还应遵守以下规定：</w:t>
      </w:r>
    </w:p>
    <w:p w14:paraId="2B17263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以上价格调整公式中的各可调因子、定值权重，以及基本价格指数及其来源由发包人在投标函附录价格指数和权重表中约定。价格指数应首先采用国家或省、自治区、直辖市价格部门或统计部门提供的价格指数，缺乏上述价格指数时，可采用上述部门提供的价格代替。</w:t>
      </w:r>
    </w:p>
    <w:p w14:paraId="0352269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价格调整公式中的变值权重，由发包人根据项目实际情况测算确定范围，并在投标函附录价格指数和权重表中约定范围；承包人在投标时在此范围内填写各可调因子的权重，合同实施期间将按此权重进行调价。</w:t>
      </w:r>
    </w:p>
    <w:p w14:paraId="122E16C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17. 计量与支付</w:t>
      </w:r>
    </w:p>
    <w:p w14:paraId="7183BF2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17.1 计量</w:t>
      </w:r>
    </w:p>
    <w:p w14:paraId="218CF9F9">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17.1.2 计量方法</w:t>
      </w:r>
    </w:p>
    <w:p w14:paraId="242DE34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本项约定为：</w:t>
      </w:r>
    </w:p>
    <w:p w14:paraId="234B80E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工程的计量应以净值为准，除非项目专用合同条款另有约定。工程量清单中各个子目的具体计量方法按本合同文件工程量清单计量规则中的规定执行。</w:t>
      </w:r>
    </w:p>
    <w:p w14:paraId="2C716625">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17.1.4 单价子目的计量</w:t>
      </w:r>
    </w:p>
    <w:p w14:paraId="06ECD95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本项补充：</w:t>
      </w:r>
    </w:p>
    <w:p w14:paraId="25A3D0B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（7）承包人未在已标价工程量清单中填入单价或总额价的工程子目，将被认为其已包含在本合同的其他子目的单价和总额价中，发包人将不另行支付。</w:t>
      </w:r>
    </w:p>
    <w:p w14:paraId="1F03014F">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17.1.5 总价子目的计量</w:t>
      </w:r>
    </w:p>
    <w:p w14:paraId="73E8EE5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本项补充：</w:t>
      </w:r>
    </w:p>
    <w:p w14:paraId="6A783B1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本项目工程量清单中要求承包人以“总额”方式报价的子目，各子目的支付原则和支付进度按项目专用合同条款的规定执行。</w:t>
      </w:r>
    </w:p>
    <w:p w14:paraId="73336EA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17.2预付款</w:t>
      </w:r>
    </w:p>
    <w:p w14:paraId="45A44A34">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17.2.1预付款</w:t>
      </w:r>
    </w:p>
    <w:p w14:paraId="568F603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color w:val="auto"/>
          <w:sz w:val="21"/>
          <w:szCs w:val="21"/>
          <w:highlight w:val="none"/>
        </w:rPr>
        <w:t>本项约定为：</w:t>
      </w:r>
      <w:r>
        <w:rPr>
          <w:rFonts w:hint="eastAsia" w:ascii="宋体" w:hAnsi="宋体"/>
          <w:color w:val="auto"/>
          <w:sz w:val="21"/>
          <w:szCs w:val="21"/>
          <w:highlight w:val="none"/>
          <w:lang w:val="en-US" w:eastAsia="zh-CN"/>
        </w:rPr>
        <w:t>无预付款。</w:t>
      </w:r>
      <w:r>
        <w:rPr>
          <w:rFonts w:hint="eastAsia" w:ascii="宋体" w:hAnsi="宋体" w:cs="宋体"/>
          <w:color w:val="auto"/>
          <w:sz w:val="21"/>
          <w:szCs w:val="21"/>
        </w:rPr>
        <w:t>本</w:t>
      </w:r>
      <w:r>
        <w:rPr>
          <w:rFonts w:hint="eastAsia" w:ascii="宋体" w:hAnsi="宋体" w:eastAsia="宋体" w:cs="Times New Roman"/>
          <w:color w:val="auto"/>
          <w:sz w:val="21"/>
          <w:szCs w:val="21"/>
          <w:highlight w:val="none"/>
        </w:rPr>
        <w:t>项约定为：</w:t>
      </w:r>
    </w:p>
    <w:p w14:paraId="2EA83BA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预付款包括开工预付款和材料、设备预付款。具体额度和预付办法如下：</w:t>
      </w:r>
    </w:p>
    <w:p w14:paraId="5EB620A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（1）开工预付款的金额在项目专用合同条款数据表中约定。在承包人签订了合同协议书且承包人承诺的主要设备进场后，监理人应在当期进度付款证书中向承包人支付开工预付款。</w:t>
      </w:r>
    </w:p>
    <w:p w14:paraId="593F950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承包人不得将该预付款用于与本工程无关的支出，监理人有权监督承包人对该项费用的使用，如经查实承包人滥用开工预付款，发包人有权立即向银行索赔履约保证金，并解除合同。</w:t>
      </w:r>
    </w:p>
    <w:p w14:paraId="766FACE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（2）材料、设备预付款按项目专用合同条款数据表中所列主要材料、设备单据费用（进口的材料、设备为到岸价，国内采购的为出厂价或销售价，地方材料为堆场价）的百分比支付。其预付条件为：</w:t>
      </w:r>
    </w:p>
    <w:p w14:paraId="610E234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a.材料、设备符合规范要求并经监理人认可；</w:t>
      </w:r>
    </w:p>
    <w:p w14:paraId="7CC5492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b.承包人已出具材料、设备费用凭证或支付单据；</w:t>
      </w:r>
    </w:p>
    <w:p w14:paraId="5A25FD0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c.材料、设备已在现场交货，且存储良好，监理人认为材料、设备的存储方法符合要求。</w:t>
      </w:r>
    </w:p>
    <w:p w14:paraId="60A2058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则监理人应将此项金额作为材料、设备预付款计入下一次的进度付款证书中。在预计交工前 3 个月，将不再支付材料、设备预付款。</w:t>
      </w:r>
    </w:p>
    <w:p w14:paraId="6263B25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17.2.2 预付款保函</w:t>
      </w:r>
    </w:p>
    <w:p w14:paraId="0B0F81C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本项细化为：</w:t>
      </w:r>
    </w:p>
    <w:p w14:paraId="442C3F8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承包人无须向发包人提交预付款保函。发包人向承包人支付的预付款，应按照本合同第 17.2.1 项规定使用，承包人提交的履约保证金对预付款的正常使用承担保证责任。</w:t>
      </w:r>
    </w:p>
    <w:p w14:paraId="0B29B406">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rPr>
        <w:t>17.2.2 预付款保函</w:t>
      </w:r>
    </w:p>
    <w:p w14:paraId="00B39E3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本项细化为：</w:t>
      </w:r>
    </w:p>
    <w:p w14:paraId="52D2653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承包人无须向发包人提交预付款保函。发包人向承包人支付的预付款，应按照本合同第 17.2.1 项规定使用，承包人提交的履约保证金对预付款的正常使用承担保证责任。</w:t>
      </w:r>
    </w:p>
    <w:p w14:paraId="69A7C88B">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rPr>
        <w:t>17.2.3 预付款的扣回与还清</w:t>
      </w:r>
      <w:r>
        <w:rPr>
          <w:rFonts w:hint="eastAsia" w:ascii="宋体" w:hAnsi="宋体"/>
          <w:b/>
          <w:bCs/>
          <w:color w:val="auto"/>
          <w:sz w:val="21"/>
          <w:szCs w:val="21"/>
          <w:highlight w:val="none"/>
          <w:lang w:eastAsia="zh-CN"/>
        </w:rPr>
        <w:t>（</w:t>
      </w:r>
      <w:r>
        <w:rPr>
          <w:rFonts w:hint="eastAsia" w:ascii="宋体" w:hAnsi="宋体"/>
          <w:b/>
          <w:bCs/>
          <w:color w:val="auto"/>
          <w:sz w:val="21"/>
          <w:szCs w:val="21"/>
          <w:highlight w:val="none"/>
          <w:lang w:val="en-US" w:eastAsia="zh-CN"/>
        </w:rPr>
        <w:t>不适用）</w:t>
      </w:r>
    </w:p>
    <w:p w14:paraId="2F7A684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本项约定为：</w:t>
      </w:r>
    </w:p>
    <w:p w14:paraId="5376EA8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（1）开工预付款在进度付款证书的累计金额未达到签约合同价的 30%之前不予扣回，在达到签约合同价 30%之后，开始按工程进度以固定比例（即每完成签约合同价的 1%，扣回开工预付款的 2%）分期从各月的进度付款证书中扣回，全部金额在进度付款证书的累计金额达到签约合同价的 80%时扣完。</w:t>
      </w:r>
    </w:p>
    <w:p w14:paraId="05C0B0E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（2）当材料、设备已用于或安装在永久工程之中时，材料、设备预付款应从进度付款证书中扣回，扣回期不超过 3 个月。已经支付材料、设备预付款的材料、设备的所有权应属于发包人。</w:t>
      </w:r>
    </w:p>
    <w:p w14:paraId="1CA544AA">
      <w:pPr>
        <w:spacing w:line="400" w:lineRule="exact"/>
        <w:ind w:right="120"/>
        <w:rPr>
          <w:rFonts w:hint="eastAsia"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17.3 工程进度付款</w:t>
      </w:r>
    </w:p>
    <w:p w14:paraId="03F19904">
      <w:pPr>
        <w:spacing w:line="400" w:lineRule="exact"/>
        <w:ind w:right="120" w:firstLine="422" w:firstLineChars="200"/>
        <w:rPr>
          <w:rFonts w:hint="eastAsia" w:ascii="宋体" w:hAnsi="宋体" w:cs="宋体"/>
          <w:b/>
          <w:bCs/>
          <w:color w:val="auto"/>
          <w:sz w:val="21"/>
          <w:szCs w:val="21"/>
        </w:rPr>
      </w:pPr>
      <w:r>
        <w:rPr>
          <w:rFonts w:hint="eastAsia" w:ascii="宋体" w:hAnsi="宋体" w:cs="宋体"/>
          <w:b/>
          <w:bCs/>
          <w:color w:val="auto"/>
          <w:sz w:val="21"/>
          <w:szCs w:val="21"/>
        </w:rPr>
        <w:t>17.3.3 进度付款证书和支付时间</w:t>
      </w:r>
    </w:p>
    <w:p w14:paraId="01D5D61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本项（1）目补充：</w:t>
      </w:r>
    </w:p>
    <w:p w14:paraId="7B9090D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3172E5E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本项（2）目细化为：</w:t>
      </w:r>
    </w:p>
    <w:p w14:paraId="4DA395A0">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发包人应在监理人收到进度付款申请单且承包人提交了合格的增值税专用发票后的 28 天内，将进度应付款支付给承包人。</w:t>
      </w:r>
    </w:p>
    <w:p w14:paraId="2AE305A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发包人不按期支付的，按项目专用合同条款数据表中约定的利率向承包人支付逾期付款违约金。违约金计算基数为发包人的全部未付款额，时间从应付而未付该款额之日算起（不计复利）。</w:t>
      </w:r>
    </w:p>
    <w:p w14:paraId="240124E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本款补充第 17.3.5 项：</w:t>
      </w:r>
    </w:p>
    <w:p w14:paraId="33CB00EF">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17.3.5 农民工工资保证金</w:t>
      </w:r>
    </w:p>
    <w:p w14:paraId="060B029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（1）为确保施工过程中农民工工资实时、足额发放到位，承包人应按照项目专用合同条款约定的时间和金额缴存农民工工资保证金。</w:t>
      </w:r>
    </w:p>
    <w:p w14:paraId="68E6470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（2）农民工工资保证金可采用银行保函或现金、支票形式。采用银行保函时，出具保函的银行须具有相应担保能力，且按照发包人批准的格式出具，所需费用由承包人承担。</w:t>
      </w:r>
    </w:p>
    <w:p w14:paraId="7FB15FA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（3）农民工工资保证金的扣留条件、返还时间按照项目专用合同条款的约定执行。</w:t>
      </w:r>
    </w:p>
    <w:p w14:paraId="3013FEC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17.4质量保证金</w:t>
      </w:r>
    </w:p>
    <w:p w14:paraId="6B3F1B8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17.4.1 项、第 17.4.2 项细化为：</w:t>
      </w:r>
    </w:p>
    <w:p w14:paraId="4096202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17.4.1 交工验收证书签发后14天内，承包人应向发包人缴纳质量保证金。质量保证金可采用银行保函或现金、支票形式，金额应符合项目专用合同条款数据表的规定。采用银行保函时，出具保函的银行须具有相应担保能力，且按照发包人批准的格式出具，所需费用由承包人承担。</w:t>
      </w:r>
    </w:p>
    <w:p w14:paraId="0DCFD1F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质量保证金采用现金、支票形式提交的，发包人应在项目专用合同条款数据表中明确是否计付利息以及利息的计算方式。</w:t>
      </w:r>
    </w:p>
    <w:p w14:paraId="63A8A2A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17.4.2 在第 1.1.4.5 目约定的缺陷责任期满，且质量监督机构已按规定对工程质 量检测鉴定合格，承包人向发包人申请到期应返还承包人剩余的质量保证金金额，发包人应在14天内会同承包人按照合同约定的内容核实承包人是否完成缺陷责任。如无异议，发包人应当在核实后将剩余保证金返还承包人。</w:t>
      </w:r>
    </w:p>
    <w:p w14:paraId="0714576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17.5交工结算</w:t>
      </w:r>
    </w:p>
    <w:p w14:paraId="3B2E9CC0">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17.5.1交工付款申请单</w:t>
      </w:r>
    </w:p>
    <w:p w14:paraId="7B84A08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本项（1）目约定为：</w:t>
      </w:r>
    </w:p>
    <w:p w14:paraId="463D9BF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承包人向监理人提交交工付款申请单（包括相关证明材料）的份数在项目专用合同条款数据表中约定；期限：交工验收证书签发后42天内。</w:t>
      </w:r>
    </w:p>
    <w:p w14:paraId="2C1EF050">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17.5.2 交工付款证书及支付时间</w:t>
      </w:r>
    </w:p>
    <w:p w14:paraId="003CC82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本项（2）目细化为：</w:t>
      </w:r>
    </w:p>
    <w:p w14:paraId="28AB110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发包人应在监理人出具交工付款证书且承包人提交了合格的增值税专用发票后的14天内，将应支付款支付给承包人。发包人不按期支付的，按第 17.3.3（2）目的约定，将逾期付款违约金支付给承包人。</w:t>
      </w:r>
    </w:p>
    <w:p w14:paraId="2CA81FD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17.6 最终结清</w:t>
      </w:r>
    </w:p>
    <w:p w14:paraId="6C0EAA6F">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17.6.1 最终结清申请单</w:t>
      </w:r>
    </w:p>
    <w:p w14:paraId="715BAD9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本项（1）目约定为：</w:t>
      </w:r>
    </w:p>
    <w:p w14:paraId="3BEA5DC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承包人向监理人提交最终结清申请单（包括相关证明材料）的份数在项目专用合同条款数据表中约定；期限：缺陷责任期终止证书签发后28天内。</w:t>
      </w:r>
    </w:p>
    <w:p w14:paraId="18E9547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最终结清申请单中的总金额应认为是代表了根据合同规定应付给承包人的全部款项的最后结算。</w:t>
      </w:r>
    </w:p>
    <w:p w14:paraId="14454216">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17.6.2 最终结清证书和支付时</w:t>
      </w:r>
      <w:r>
        <w:rPr>
          <w:rFonts w:hint="eastAsia" w:ascii="宋体" w:hAnsi="宋体"/>
          <w:color w:val="auto"/>
          <w:sz w:val="21"/>
          <w:szCs w:val="21"/>
          <w:highlight w:val="none"/>
        </w:rPr>
        <w:t>间</w:t>
      </w:r>
    </w:p>
    <w:p w14:paraId="6F51C19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本项（2）目细化为：</w:t>
      </w:r>
    </w:p>
    <w:p w14:paraId="44D4FBB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（2）发包人应在监理人出具最终结清证书且承包人提交了合格的增值税专用发票后的14天内，将应支付款支付给承包人。发包人不按期支付的，按第 17.3.3（2）目的约定，将逾期付款违约金支付给承包人。</w:t>
      </w:r>
    </w:p>
    <w:p w14:paraId="2648A74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18. 交工验收</w:t>
      </w:r>
    </w:p>
    <w:p w14:paraId="012EBDE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18.2 交工验收申请报告</w:t>
      </w:r>
    </w:p>
    <w:p w14:paraId="398DDAD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本款第（2）项约定为： </w:t>
      </w:r>
    </w:p>
    <w:p w14:paraId="440C084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竣工资料的内容：承包人应按照《公路工程竣（交）工验收办法》和相关规定编制竣工资料。</w:t>
      </w:r>
    </w:p>
    <w:p w14:paraId="502E846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竣工资料的份数在项目专用合同条款数据表中约定。</w:t>
      </w:r>
    </w:p>
    <w:p w14:paraId="643B7B0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18.3 验收</w:t>
      </w:r>
    </w:p>
    <w:p w14:paraId="52C0476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18.3.2 项补充：</w:t>
      </w:r>
    </w:p>
    <w:p w14:paraId="21E3C15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0DD8472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18.3.5 项约定为：</w:t>
      </w:r>
    </w:p>
    <w:p w14:paraId="27952A5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经验收合格工程的实际交工日期，以最终提交交工验收申请报告的日期为准，并在交工验收证书中写明。</w:t>
      </w:r>
    </w:p>
    <w:p w14:paraId="73ABC82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本款补充第18.3.7项：</w:t>
      </w:r>
    </w:p>
    <w:p w14:paraId="21DE1BD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18.3.7 组织办理交工验收和签发交工验收证书的费用由发包人承担。但按照第 18.3.4项规定达不到合格标准的交工验收费用由承包人承担。</w:t>
      </w:r>
    </w:p>
    <w:p w14:paraId="655ECEE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本条补充第 18.9 款：</w:t>
      </w:r>
    </w:p>
    <w:p w14:paraId="229987B7">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18.9 竣工文件</w:t>
      </w:r>
    </w:p>
    <w:p w14:paraId="5A81532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承包人应按照《公路工程竣（交）工验收办法》的相关规定，在缺陷责任期内为竣工验收补充竣工资料，并在签发缺陷责任期终止证书之前提交。</w:t>
      </w:r>
    </w:p>
    <w:p w14:paraId="24C1A7D0">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19. 缺陷责任与保修责任</w:t>
      </w:r>
    </w:p>
    <w:p w14:paraId="17A6ABC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19.2 缺陷责任</w:t>
      </w:r>
    </w:p>
    <w:p w14:paraId="25C2D30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19.2.2 项补充：</w:t>
      </w:r>
    </w:p>
    <w:p w14:paraId="1F6817C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在缺陷责任期内，承包人应尽快完成在交工验收证书中写明的未完成工作，并完成对本工程缺陷的修复或监理人指令的修补工作。</w:t>
      </w:r>
    </w:p>
    <w:p w14:paraId="1E88611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19.5 承包人的进入权</w:t>
      </w:r>
    </w:p>
    <w:p w14:paraId="1C2F3D6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本款补充： </w:t>
      </w:r>
    </w:p>
    <w:p w14:paraId="1CEA973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承包人在缺陷修复施工过程中，应服从管养单位的有关安全管理规定，由于承包人自身原因造成的人员伤亡、设备和材料的损毁及罚款等责任由承包人自负。</w:t>
      </w:r>
    </w:p>
    <w:p w14:paraId="7C37EED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19.7 保修责任</w:t>
      </w:r>
    </w:p>
    <w:p w14:paraId="30F3F0F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本款细化为：</w:t>
      </w:r>
    </w:p>
    <w:p w14:paraId="3BE85A7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58F5636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（2）在全部工程交工验收前，已经发包人提前验收的单位工程，其保修期的起算日期相应提前。</w:t>
      </w:r>
    </w:p>
    <w:p w14:paraId="3832C1B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（3）工程保修期终止后28天内，监理人签发保修期终止证书。</w:t>
      </w:r>
    </w:p>
    <w:p w14:paraId="36C9D61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（4）若承包人不履行保修义务和责任，则承包人应承担由于违约造成的法律后果，并由发包人将其违约行为上报省级交通运输主管部门，作为不良记录纳入</w:t>
      </w:r>
      <w:r>
        <w:rPr>
          <w:rFonts w:hint="eastAsia" w:ascii="宋体" w:hAnsi="宋体"/>
          <w:color w:val="auto"/>
          <w:sz w:val="21"/>
          <w:szCs w:val="21"/>
          <w:highlight w:val="none"/>
          <w:lang w:eastAsia="zh-CN"/>
        </w:rPr>
        <w:t>全国公路建设市场监督管理系统</w:t>
      </w:r>
      <w:r>
        <w:rPr>
          <w:rFonts w:hint="eastAsia" w:ascii="宋体" w:hAnsi="宋体"/>
          <w:color w:val="auto"/>
          <w:sz w:val="21"/>
          <w:szCs w:val="21"/>
          <w:highlight w:val="none"/>
          <w:lang w:val="en-US" w:eastAsia="zh-CN"/>
        </w:rPr>
        <w:t>（http：//glxy.mot.gov.cn）</w:t>
      </w:r>
      <w:r>
        <w:rPr>
          <w:rFonts w:hint="eastAsia" w:ascii="宋体" w:hAnsi="宋体"/>
          <w:color w:val="auto"/>
          <w:sz w:val="21"/>
          <w:szCs w:val="21"/>
          <w:highlight w:val="none"/>
        </w:rPr>
        <w:t>。</w:t>
      </w:r>
    </w:p>
    <w:p w14:paraId="0EA3D171">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20. 保险</w:t>
      </w:r>
    </w:p>
    <w:p w14:paraId="4FEAAD9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20.1工程保险</w:t>
      </w:r>
      <w:r>
        <w:rPr>
          <w:rFonts w:hint="eastAsia" w:ascii="宋体" w:hAnsi="宋体"/>
          <w:color w:val="auto"/>
          <w:sz w:val="21"/>
          <w:szCs w:val="21"/>
          <w:highlight w:val="none"/>
        </w:rPr>
        <w:t xml:space="preserve"> </w:t>
      </w:r>
    </w:p>
    <w:p w14:paraId="12C38A7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本款约定为：</w:t>
      </w:r>
    </w:p>
    <w:p w14:paraId="6E666D3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建筑工程一切险的投保内容：为本合同工程的永久工程、临时工程和设备及已运至施工工地用于永久工程的材料和设备所投的保险。</w:t>
      </w:r>
    </w:p>
    <w:p w14:paraId="00C3134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保险金额：工程量清单第100章（不含建筑工程一切险及第三者责任险的保险费）至第700章的合计金额。</w:t>
      </w:r>
    </w:p>
    <w:p w14:paraId="0920769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保险费率：在项目专用合同条款数据表中约定。</w:t>
      </w:r>
    </w:p>
    <w:p w14:paraId="4F9416F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保险期限：开工日起直至本合同工程签发缺陷责任期终止证书止（即合同工期＋缺陷责任期）。</w:t>
      </w:r>
    </w:p>
    <w:p w14:paraId="217788A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承包人应以发包人和承包人的共同名义投保建筑工程一切险。建筑工程一切险的保险费由承包人报价时列入工程量清单第100章内。发包人在接到保险单后，将按照保险单的费用直接向承包人支付。</w:t>
      </w:r>
    </w:p>
    <w:p w14:paraId="16BDD46E">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20.4 第三者责任险</w:t>
      </w:r>
    </w:p>
    <w:p w14:paraId="2CCF2CF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20.4.2 项补充：</w:t>
      </w:r>
    </w:p>
    <w:p w14:paraId="67926ED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第三者责任险的保险费由承包人报价时列入工程量清单第100章内。发包人在接到保险单后，将按照保险单的费用直接向承包人支付。</w:t>
      </w:r>
    </w:p>
    <w:p w14:paraId="507C777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20.5 其他保险</w:t>
      </w:r>
    </w:p>
    <w:p w14:paraId="10C6C99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本款约定为： </w:t>
      </w:r>
    </w:p>
    <w:p w14:paraId="4CA891B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承包人应为其施工设备等办理保险，其投保金额应足以现场重置。办理本款保险的一切费用均由承包人承担，并包括在工程量清单的单价及总额价中，发包人不单独支付。</w:t>
      </w:r>
    </w:p>
    <w:p w14:paraId="0CAA13B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20.6对各项保险的一般要求</w:t>
      </w:r>
    </w:p>
    <w:p w14:paraId="4226AD44">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20.6</w:t>
      </w:r>
      <w:r>
        <w:rPr>
          <w:rFonts w:hint="eastAsia" w:ascii="宋体" w:hAnsi="宋体"/>
          <w:b/>
          <w:bCs/>
          <w:color w:val="auto"/>
          <w:sz w:val="21"/>
          <w:szCs w:val="21"/>
          <w:highlight w:val="none"/>
          <w:lang w:val="en-US" w:eastAsia="zh-CN"/>
        </w:rPr>
        <w:t>.</w:t>
      </w:r>
      <w:r>
        <w:rPr>
          <w:rFonts w:hint="eastAsia" w:ascii="宋体" w:hAnsi="宋体"/>
          <w:b/>
          <w:bCs/>
          <w:color w:val="auto"/>
          <w:sz w:val="21"/>
          <w:szCs w:val="21"/>
          <w:highlight w:val="none"/>
        </w:rPr>
        <w:t>1保险凭证</w:t>
      </w:r>
      <w:r>
        <w:rPr>
          <w:rFonts w:hint="eastAsia" w:ascii="宋体" w:hAnsi="宋体"/>
          <w:color w:val="auto"/>
          <w:sz w:val="21"/>
          <w:szCs w:val="21"/>
          <w:highlight w:val="none"/>
        </w:rPr>
        <w:t xml:space="preserve"> </w:t>
      </w:r>
    </w:p>
    <w:p w14:paraId="2E460BF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本项约定为：</w:t>
      </w:r>
    </w:p>
    <w:p w14:paraId="4DC8219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承包人向发包人提交各项保险生效的证据和保险单副本的期限：开工后56天内。</w:t>
      </w:r>
    </w:p>
    <w:p w14:paraId="66D1E488">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20.6.3 持续保险</w:t>
      </w:r>
    </w:p>
    <w:p w14:paraId="08B350A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本项补充：</w:t>
      </w:r>
    </w:p>
    <w:p w14:paraId="3C13874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在整个合同期内，承包人应按合同条款规定保证足够的保险额。</w:t>
      </w:r>
    </w:p>
    <w:p w14:paraId="0176CBAC">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20.6.4 保险金不足的补偿</w:t>
      </w:r>
    </w:p>
    <w:p w14:paraId="03CD4A6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本项细化为：</w:t>
      </w:r>
    </w:p>
    <w:p w14:paraId="6720F97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保险金不足以补偿损失的（包括免赔额和超过赔偿限额的部分），应由承包人和（或）发包人按合同约定负责补偿。</w:t>
      </w:r>
    </w:p>
    <w:p w14:paraId="689BE493">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20.6.5 未按约定投保的补救</w:t>
      </w:r>
    </w:p>
    <w:p w14:paraId="70D4509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本项（2）目细化为：</w:t>
      </w:r>
    </w:p>
    <w:p w14:paraId="5EF6C23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6DE7DE1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21. 不可抗力</w:t>
      </w:r>
    </w:p>
    <w:p w14:paraId="6B69BF9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21.1 不可抗力的确认</w:t>
      </w:r>
    </w:p>
    <w:p w14:paraId="271C71B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21.1.1 项细化为：</w:t>
      </w:r>
    </w:p>
    <w:p w14:paraId="01A02E9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不可抗力是指承包人和发包人在订立合同时不可预见，在工程施工过程中不可避免发生并不能克服的自然灾害和社会性突发事件。</w:t>
      </w:r>
    </w:p>
    <w:p w14:paraId="4DA497A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包括但不限于：</w:t>
      </w:r>
    </w:p>
    <w:p w14:paraId="01D4148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（1）地震、海啸、火山爆发、泥石流、暴雨（雪）、台风、龙卷风、水灾等自然灾害；</w:t>
      </w:r>
    </w:p>
    <w:p w14:paraId="731FC4C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（2）战争、骚乱、暴动，但纯属承包人或其分包人派遣与雇用的人员由于本合同工程施工原因引起者除外；</w:t>
      </w:r>
    </w:p>
    <w:p w14:paraId="10ACEFFB">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（3）核反应、辐射或放射性污染；</w:t>
      </w:r>
    </w:p>
    <w:p w14:paraId="540E3EC8">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（4）空中飞行物体坠落或非发包人或承包人责任造成的爆炸、火灾；</w:t>
      </w:r>
    </w:p>
    <w:p w14:paraId="688D474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（5）瘟疫；</w:t>
      </w:r>
    </w:p>
    <w:p w14:paraId="10D07FF5">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（6）项目专用合同条款约定的其他情形。</w:t>
      </w:r>
    </w:p>
    <w:p w14:paraId="4DAD5E5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21.3不可抗力后果及其处理</w:t>
      </w:r>
    </w:p>
    <w:p w14:paraId="066DA4D7">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21.3.4因不可抗力解除合同</w:t>
      </w:r>
    </w:p>
    <w:p w14:paraId="02ABE94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本项细化为：</w:t>
      </w:r>
    </w:p>
    <w:p w14:paraId="76A3BE9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p>
    <w:p w14:paraId="3908C58A">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22. 违约</w:t>
      </w:r>
    </w:p>
    <w:p w14:paraId="54EFE8B2">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22.1 承包人违约</w:t>
      </w:r>
    </w:p>
    <w:p w14:paraId="56E5CE05">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22.2.1 承包人违约的情形</w:t>
      </w:r>
    </w:p>
    <w:p w14:paraId="0A2C99A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本项（2）目细化为：</w:t>
      </w:r>
    </w:p>
    <w:p w14:paraId="615A44B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（2）承包人违反第5.3款或第6.4款的约定，未经监理人批准，私自将已按合同约定进入施工场地的施工设备、临时设施、材料或工程设备撤离施工场地；</w:t>
      </w:r>
    </w:p>
    <w:p w14:paraId="57BBDE4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本项（7）目细化为：</w:t>
      </w:r>
    </w:p>
    <w:p w14:paraId="7A0DACB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（7）</w:t>
      </w:r>
      <w:r>
        <w:rPr>
          <w:rFonts w:hint="eastAsia" w:ascii="宋体" w:hAnsi="宋体"/>
          <w:color w:val="000000" w:themeColor="text1"/>
          <w:sz w:val="21"/>
          <w:szCs w:val="21"/>
          <w:highlight w:val="none"/>
          <w14:textFill>
            <w14:solidFill>
              <w14:schemeClr w14:val="tx1"/>
            </w14:solidFill>
          </w14:textFill>
        </w:rPr>
        <w:t>承包人未能按期开工；</w:t>
      </w:r>
    </w:p>
    <w:p w14:paraId="4B5E7C74">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（8）承包人违反第 4.6 款或第 6.3 款的规定，未按</w:t>
      </w:r>
      <w:r>
        <w:rPr>
          <w:rFonts w:hint="eastAsia" w:ascii="宋体" w:hAnsi="宋体"/>
          <w:color w:val="000000" w:themeColor="text1"/>
          <w:sz w:val="21"/>
          <w:szCs w:val="21"/>
          <w:highlight w:val="none"/>
          <w:lang w:val="en-US" w:eastAsia="zh-CN"/>
          <w14:textFill>
            <w14:solidFill>
              <w14:schemeClr w14:val="tx1"/>
            </w14:solidFill>
          </w14:textFill>
        </w:rPr>
        <w:t>签署的</w:t>
      </w:r>
      <w:r>
        <w:rPr>
          <w:rFonts w:hint="eastAsia" w:ascii="宋体" w:hAnsi="宋体"/>
          <w:color w:val="000000" w:themeColor="text1"/>
          <w:sz w:val="21"/>
          <w:szCs w:val="21"/>
          <w:highlight w:val="none"/>
          <w14:textFill>
            <w14:solidFill>
              <w14:schemeClr w14:val="tx1"/>
            </w14:solidFill>
          </w14:textFill>
        </w:rPr>
        <w:t>承诺或未按监理人的要求及时配备称职的主要管理人员、技术骨干或关键施工设备；</w:t>
      </w:r>
    </w:p>
    <w:p w14:paraId="73267E5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（9）经监理人和发包人检查，发现承包人有安全问题或有违反安全管理规章制度的情况；</w:t>
      </w:r>
    </w:p>
    <w:p w14:paraId="0FF20611">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（10）承包人不按合同约定履行义务的其他情况。</w:t>
      </w:r>
    </w:p>
    <w:p w14:paraId="201EAB02">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22.1.2 对承包人违约的处理</w:t>
      </w:r>
    </w:p>
    <w:p w14:paraId="496D4D9A">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本项补充：</w:t>
      </w:r>
    </w:p>
    <w:p w14:paraId="390F3D7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FF"/>
          <w:sz w:val="21"/>
          <w:szCs w:val="21"/>
          <w:highlight w:val="none"/>
        </w:rPr>
      </w:pPr>
      <w:r>
        <w:rPr>
          <w:rFonts w:hint="eastAsia" w:ascii="宋体" w:hAnsi="宋体"/>
          <w:color w:val="000000" w:themeColor="text1"/>
          <w:sz w:val="21"/>
          <w:szCs w:val="21"/>
          <w:highlight w:val="none"/>
          <w14:textFill>
            <w14:solidFill>
              <w14:schemeClr w14:val="tx1"/>
            </w14:solidFill>
          </w14:textFill>
        </w:rPr>
        <w:t>（4）承包人发生第22.1.1项约定的违约情况时，无论发包人是否解除合同，发包人均有权向承包人课以项目专用合同条款中规定的违约金，并由发包人将其违约行为上报省级交通运输主管部门，作为不良记录纳入</w:t>
      </w:r>
      <w:r>
        <w:rPr>
          <w:rFonts w:hint="eastAsia" w:ascii="宋体" w:hAnsi="宋体"/>
          <w:color w:val="000000" w:themeColor="text1"/>
          <w:sz w:val="21"/>
          <w:szCs w:val="21"/>
          <w:highlight w:val="none"/>
          <w:lang w:eastAsia="zh-CN"/>
          <w14:textFill>
            <w14:solidFill>
              <w14:schemeClr w14:val="tx1"/>
            </w14:solidFill>
          </w14:textFill>
        </w:rPr>
        <w:t>全国公路建设市场监督管理系统</w:t>
      </w:r>
      <w:r>
        <w:rPr>
          <w:rFonts w:hint="eastAsia" w:ascii="宋体" w:hAnsi="宋体"/>
          <w:color w:val="000000" w:themeColor="text1"/>
          <w:sz w:val="21"/>
          <w:szCs w:val="21"/>
          <w:highlight w:val="none"/>
          <w:lang w:val="en-US" w:eastAsia="zh-CN"/>
          <w14:textFill>
            <w14:solidFill>
              <w14:schemeClr w14:val="tx1"/>
            </w14:solidFill>
          </w14:textFill>
        </w:rPr>
        <w:t>（http：//glxy.mot.gov.cn）</w:t>
      </w:r>
      <w:r>
        <w:rPr>
          <w:rFonts w:hint="eastAsia" w:ascii="宋体" w:hAnsi="宋体"/>
          <w:color w:val="000000" w:themeColor="text1"/>
          <w:sz w:val="21"/>
          <w:szCs w:val="21"/>
          <w:highlight w:val="none"/>
          <w14:textFill>
            <w14:solidFill>
              <w14:schemeClr w14:val="tx1"/>
            </w14:solidFill>
          </w14:textFill>
        </w:rPr>
        <w:t>。</w:t>
      </w:r>
    </w:p>
    <w:p w14:paraId="42A6BC0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22.2 发包人违约</w:t>
      </w:r>
    </w:p>
    <w:p w14:paraId="554AEBA1">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color w:val="auto"/>
          <w:sz w:val="21"/>
          <w:szCs w:val="21"/>
          <w:highlight w:val="none"/>
        </w:rPr>
      </w:pPr>
      <w:r>
        <w:rPr>
          <w:rFonts w:hint="eastAsia" w:ascii="宋体" w:hAnsi="宋体"/>
          <w:b/>
          <w:bCs/>
          <w:color w:val="auto"/>
          <w:sz w:val="21"/>
          <w:szCs w:val="21"/>
          <w:highlight w:val="none"/>
        </w:rPr>
        <w:t>22.2.1 发包人违约的情形</w:t>
      </w:r>
    </w:p>
    <w:p w14:paraId="7E0B6DB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本项（5）目细化为：</w:t>
      </w:r>
    </w:p>
    <w:p w14:paraId="42E990CD">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（5）发包人无正当理由不按时返还履约保证金、质量保证金或农民工工资保证金的；</w:t>
      </w:r>
    </w:p>
    <w:p w14:paraId="08FDB59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（6）发包人不履行合同约定其他义务的。</w:t>
      </w:r>
    </w:p>
    <w:p w14:paraId="23B8F69A">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auto"/>
          <w:sz w:val="21"/>
          <w:szCs w:val="21"/>
          <w:highlight w:val="none"/>
        </w:rPr>
        <w:t>22.2.2</w:t>
      </w:r>
      <w:r>
        <w:rPr>
          <w:rFonts w:hint="eastAsia" w:ascii="宋体" w:hAnsi="宋体"/>
          <w:b/>
          <w:bCs/>
          <w:color w:val="000000" w:themeColor="text1"/>
          <w:sz w:val="21"/>
          <w:szCs w:val="21"/>
          <w:highlight w:val="none"/>
          <w14:textFill>
            <w14:solidFill>
              <w14:schemeClr w14:val="tx1"/>
            </w14:solidFill>
          </w14:textFill>
        </w:rPr>
        <w:t xml:space="preserve"> 承包人有权暂停施工</w:t>
      </w:r>
    </w:p>
    <w:p w14:paraId="0C754963">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本项细化为：</w:t>
      </w:r>
    </w:p>
    <w:p w14:paraId="7ABBB04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发包人发生除第22.2.1（5）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461C6AD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p>
    <w:p w14:paraId="1EE6FA3D">
      <w:pPr>
        <w:keepNext w:val="0"/>
        <w:keepLines w:val="0"/>
        <w:pageBreakBefore w:val="0"/>
        <w:widowControl w:val="0"/>
        <w:kinsoku/>
        <w:wordWrap/>
        <w:overflowPunct/>
        <w:topLinePunct w:val="0"/>
        <w:autoSpaceDN/>
        <w:bidi w:val="0"/>
        <w:adjustRightInd/>
        <w:snapToGrid/>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22.2.4 解除合同后的付款</w:t>
      </w:r>
    </w:p>
    <w:p w14:paraId="1FA6BB4C">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本项（2）目细化为：</w:t>
      </w:r>
    </w:p>
    <w:p w14:paraId="06CD279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（2）承包人为该工程施工订购并已付款的材料、工程设备和其他物品的金额。发包人付款后，该材料、工程设备和其他物品归发包人所有；</w:t>
      </w:r>
    </w:p>
    <w:p w14:paraId="48C3373C">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23. 索赔</w:t>
      </w:r>
    </w:p>
    <w:p w14:paraId="17568B59">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23.1 承包人索赔的提出</w:t>
      </w:r>
    </w:p>
    <w:p w14:paraId="2279A1A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本款第（4）项细化为：</w:t>
      </w:r>
    </w:p>
    <w:p w14:paraId="4326CDDF">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（4）在索赔事件影响结束后的28天内，承包人应向监理人递交最终索赔通知书，说明最终要求索赔的追加付款金额和（或）延长的工期，并附必要的记录和证明材料。</w:t>
      </w:r>
    </w:p>
    <w:p w14:paraId="7C6AC2C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23.2 承包人索赔处理程序</w:t>
      </w:r>
    </w:p>
    <w:p w14:paraId="5E1F7452">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本款第（2）项细化为：</w:t>
      </w:r>
    </w:p>
    <w:p w14:paraId="072B89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监理人应按第3.5款商定或确定追加的付款和（或）延长的工期，并在收到上述索赔通知书或有关索赔的进一步证明材料后的42天内，将索赔处理结果报发包人批准后答复承包人。如果承包人提出的索赔要求未能遵守第23.1（2）～（4）项的规定，则承包人只限于索赔由监理人按当时记录予以核实的那部分款额和（或）工期延长天数。</w:t>
      </w:r>
    </w:p>
    <w:p w14:paraId="0A02FE5D">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24. 争议的解决</w:t>
      </w:r>
    </w:p>
    <w:p w14:paraId="79013453">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24.3 争议评审</w:t>
      </w:r>
    </w:p>
    <w:p w14:paraId="7F59447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第 24.3.1 项补充：</w:t>
      </w:r>
    </w:p>
    <w:p w14:paraId="60CDB80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争议评审组由3人或5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1C79EBE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本条补充第 24.4 款、第 24.5 款（适用于采用仲裁方式最终解决争议的项目）。</w:t>
      </w:r>
    </w:p>
    <w:p w14:paraId="6AF768D5">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24.4 仲裁</w:t>
      </w:r>
    </w:p>
    <w:p w14:paraId="08DE665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（1）对于未能友好解决或未能通过争议评审解决的争议，发包人或承包人任一方均有权提交给第 24.1 款约定的仲裁委员会仲裁。</w:t>
      </w:r>
    </w:p>
    <w:p w14:paraId="1DBE72B6">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仲裁可在交工之前或之后进行，但发包人、监理人和承包人各自的义务不得因在工程实施期间进行仲裁而有所改变。如果仲裁是在终止合同的情况下进行，则对合同工程应采取保护措施，措施费由败诉方承担。</w:t>
      </w:r>
    </w:p>
    <w:p w14:paraId="627E49A7">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（3）仲裁裁决是终局性的并对发包人和承包人双方具有约束力。</w:t>
      </w:r>
    </w:p>
    <w:p w14:paraId="08A6FCB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（4）全部仲裁费用应由败诉方承担；或按仲裁委员会裁决的比例分担。</w:t>
      </w:r>
    </w:p>
    <w:p w14:paraId="0CAB82A4">
      <w:pPr>
        <w:keepNext w:val="0"/>
        <w:keepLines w:val="0"/>
        <w:pageBreakBefore w:val="0"/>
        <w:widowControl w:val="0"/>
        <w:kinsoku/>
        <w:wordWrap/>
        <w:overflowPunct/>
        <w:topLinePunct w:val="0"/>
        <w:autoSpaceDN/>
        <w:bidi w:val="0"/>
        <w:adjustRightInd/>
        <w:snapToGrid/>
        <w:spacing w:line="360" w:lineRule="auto"/>
        <w:textAlignment w:val="auto"/>
        <w:rPr>
          <w:rFonts w:ascii="宋体" w:hAnsi="宋体"/>
          <w:b/>
          <w:bCs/>
          <w:color w:val="auto"/>
          <w:sz w:val="21"/>
          <w:szCs w:val="21"/>
          <w:highlight w:val="none"/>
        </w:rPr>
      </w:pPr>
      <w:r>
        <w:rPr>
          <w:rFonts w:hint="eastAsia" w:ascii="宋体" w:hAnsi="宋体"/>
          <w:b/>
          <w:bCs/>
          <w:color w:val="auto"/>
          <w:sz w:val="21"/>
          <w:szCs w:val="21"/>
          <w:highlight w:val="none"/>
        </w:rPr>
        <w:t>24.5 仲裁的执行</w:t>
      </w:r>
    </w:p>
    <w:p w14:paraId="0E8C0209">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（1）任何一方不履行仲裁机构的裁决的，对方可以向有管辖权的人民法院申请执行。</w:t>
      </w:r>
    </w:p>
    <w:p w14:paraId="4A752A9E">
      <w:pPr>
        <w:keepNext w:val="0"/>
        <w:keepLines w:val="0"/>
        <w:pageBreakBefore w:val="0"/>
        <w:widowControl w:val="0"/>
        <w:kinsoku/>
        <w:wordWrap/>
        <w:overflowPunct/>
        <w:topLinePunct w:val="0"/>
        <w:autoSpaceDN/>
        <w:bidi w:val="0"/>
        <w:adjustRightInd/>
        <w:snapToGrid/>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任何一方提出证据证明裁决有《中华人民共和国仲裁法》第五十八条规定情形之一的，可以向仲裁委员会所在地的中级人民法院申请撤销裁决。人民法院认定执行该裁决违背社会公共利益的，裁定不予执行。仲裁裁决被人民法院裁定不予执行的，当事人可以根据双方达成的书面仲裁协议重新申请仲裁，也可以向人民法院起诉。</w:t>
      </w:r>
    </w:p>
    <w:p w14:paraId="1023C872">
      <w:pPr>
        <w:pStyle w:val="18"/>
        <w:snapToGrid w:val="0"/>
        <w:spacing w:line="300" w:lineRule="auto"/>
        <w:rPr>
          <w:rFonts w:hAnsi="宋体"/>
          <w:b/>
          <w:bCs/>
          <w:color w:val="auto"/>
          <w:sz w:val="21"/>
          <w:szCs w:val="21"/>
          <w:highlight w:val="none"/>
        </w:rPr>
      </w:pPr>
      <w:r>
        <w:rPr>
          <w:rFonts w:hint="eastAsia" w:hAnsi="宋体"/>
          <w:b/>
          <w:bCs/>
          <w:color w:val="auto"/>
          <w:sz w:val="21"/>
          <w:szCs w:val="21"/>
          <w:highlight w:val="none"/>
        </w:rPr>
        <w:t xml:space="preserve"> </w:t>
      </w:r>
    </w:p>
    <w:p w14:paraId="0B9DBC6E">
      <w:pPr>
        <w:pStyle w:val="10"/>
        <w:rPr>
          <w:rFonts w:hint="eastAsia" w:hAnsi="宋体"/>
          <w:b/>
          <w:bCs/>
          <w:color w:val="auto"/>
          <w:sz w:val="21"/>
          <w:szCs w:val="21"/>
          <w:highlight w:val="none"/>
        </w:rPr>
      </w:pPr>
      <w:r>
        <w:rPr>
          <w:rFonts w:hint="eastAsia" w:hAnsi="宋体"/>
          <w:b/>
          <w:bCs/>
          <w:color w:val="auto"/>
          <w:sz w:val="21"/>
          <w:szCs w:val="21"/>
          <w:highlight w:val="none"/>
        </w:rPr>
        <w:t xml:space="preserve"> </w:t>
      </w:r>
    </w:p>
    <w:p w14:paraId="02336C3A">
      <w:pPr>
        <w:rPr>
          <w:rFonts w:hint="eastAsia" w:hAnsi="宋体"/>
          <w:b/>
          <w:bCs/>
          <w:color w:val="auto"/>
          <w:sz w:val="21"/>
          <w:szCs w:val="21"/>
          <w:highlight w:val="none"/>
        </w:rPr>
      </w:pPr>
      <w:r>
        <w:rPr>
          <w:rFonts w:hint="eastAsia" w:hAnsi="宋体"/>
          <w:b/>
          <w:bCs/>
          <w:color w:val="auto"/>
          <w:sz w:val="21"/>
          <w:szCs w:val="21"/>
          <w:highlight w:val="none"/>
        </w:rPr>
        <w:br w:type="page"/>
      </w:r>
    </w:p>
    <w:p w14:paraId="0AE1A06E">
      <w:pPr>
        <w:pStyle w:val="18"/>
        <w:snapToGrid w:val="0"/>
        <w:spacing w:line="300" w:lineRule="auto"/>
        <w:jc w:val="center"/>
        <w:rPr>
          <w:rFonts w:ascii="宋体" w:hAnsi="宋体"/>
          <w:b/>
          <w:bCs w:val="0"/>
          <w:color w:val="auto"/>
          <w:sz w:val="24"/>
          <w:szCs w:val="24"/>
          <w:highlight w:val="none"/>
        </w:rPr>
      </w:pPr>
      <w:r>
        <w:rPr>
          <w:rFonts w:hint="eastAsia" w:ascii="宋体" w:hAnsi="宋体"/>
          <w:b/>
          <w:bCs w:val="0"/>
          <w:color w:val="auto"/>
          <w:sz w:val="24"/>
          <w:szCs w:val="24"/>
          <w:highlight w:val="none"/>
        </w:rPr>
        <w:t>B.项目专用合同条款</w:t>
      </w:r>
    </w:p>
    <w:p w14:paraId="762F7C45">
      <w:pPr>
        <w:spacing w:line="520" w:lineRule="exact"/>
        <w:ind w:firstLine="422" w:firstLineChars="200"/>
        <w:jc w:val="left"/>
        <w:rPr>
          <w:rFonts w:ascii="宋体" w:hAnsi="宋体"/>
          <w:b/>
          <w:color w:val="auto"/>
          <w:sz w:val="21"/>
          <w:szCs w:val="21"/>
          <w:highlight w:val="none"/>
        </w:rPr>
      </w:pPr>
      <w:r>
        <w:rPr>
          <w:rFonts w:hint="eastAsia" w:ascii="宋体" w:hAnsi="宋体"/>
          <w:b/>
          <w:color w:val="auto"/>
          <w:sz w:val="21"/>
          <w:szCs w:val="21"/>
          <w:highlight w:val="none"/>
        </w:rPr>
        <w:t>说明：</w:t>
      </w:r>
    </w:p>
    <w:p w14:paraId="565088B3">
      <w:pPr>
        <w:spacing w:line="520" w:lineRule="exact"/>
        <w:ind w:firstLine="420" w:firstLineChars="200"/>
        <w:rPr>
          <w:rFonts w:ascii="宋体" w:hAnsi="宋体"/>
          <w:bCs/>
          <w:color w:val="auto"/>
          <w:sz w:val="21"/>
          <w:szCs w:val="21"/>
          <w:highlight w:val="none"/>
        </w:rPr>
      </w:pPr>
      <w:r>
        <w:rPr>
          <w:rFonts w:hint="eastAsia" w:ascii="宋体" w:hAnsi="宋体"/>
          <w:bCs/>
          <w:color w:val="auto"/>
          <w:sz w:val="21"/>
          <w:szCs w:val="21"/>
          <w:highlight w:val="none"/>
        </w:rPr>
        <w:t>1.招标人在根据《公路工程标准施工招标文件》编制项目招标文件中的“项目专用合同条款”时，可根据招标项目的具体特点和实际需要，对</w:t>
      </w:r>
      <w:r>
        <w:rPr>
          <w:rFonts w:hint="eastAsia" w:ascii="宋体" w:hAnsi="宋体"/>
          <w:bCs/>
          <w:color w:val="000000" w:themeColor="text1"/>
          <w:sz w:val="21"/>
          <w:szCs w:val="21"/>
          <w:highlight w:val="none"/>
          <w14:textFill>
            <w14:solidFill>
              <w14:schemeClr w14:val="tx1"/>
            </w14:solidFill>
          </w14:textFill>
        </w:rPr>
        <w:t>“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w:t>
      </w:r>
      <w:r>
        <w:rPr>
          <w:rFonts w:hint="eastAsia" w:ascii="宋体" w:hAnsi="宋体"/>
          <w:bCs/>
          <w:color w:val="auto"/>
          <w:sz w:val="21"/>
          <w:szCs w:val="21"/>
          <w:highlight w:val="none"/>
        </w:rPr>
        <w:t>同时，补充、细化或约定的内容，不得违反法律、行政法规的强制性规定和平等、自愿、公平和诚实信用原则。</w:t>
      </w:r>
    </w:p>
    <w:p w14:paraId="3E9A08D0">
      <w:pPr>
        <w:spacing w:line="520" w:lineRule="exact"/>
        <w:ind w:firstLine="600"/>
        <w:rPr>
          <w:rFonts w:ascii="宋体" w:hAnsi="宋体"/>
          <w:bCs/>
          <w:color w:val="auto"/>
          <w:sz w:val="21"/>
          <w:szCs w:val="21"/>
          <w:highlight w:val="none"/>
        </w:rPr>
      </w:pPr>
      <w:r>
        <w:rPr>
          <w:rFonts w:hint="eastAsia" w:ascii="宋体" w:hAnsi="宋体"/>
          <w:bCs/>
          <w:color w:val="auto"/>
          <w:sz w:val="21"/>
          <w:szCs w:val="21"/>
          <w:highlight w:val="none"/>
        </w:rPr>
        <w:t>2.项目专用合同条款的编号应与通用合同条款和公路工程专用合同款一致。</w:t>
      </w:r>
    </w:p>
    <w:p w14:paraId="7CFFA58C">
      <w:pPr>
        <w:spacing w:line="520" w:lineRule="exact"/>
        <w:ind w:firstLine="600"/>
        <w:rPr>
          <w:rFonts w:ascii="宋体" w:hAnsi="宋体"/>
          <w:bCs/>
          <w:color w:val="auto"/>
          <w:sz w:val="21"/>
          <w:szCs w:val="21"/>
          <w:highlight w:val="none"/>
        </w:rPr>
      </w:pPr>
      <w:r>
        <w:rPr>
          <w:rFonts w:hint="eastAsia" w:ascii="宋体" w:hAnsi="宋体"/>
          <w:bCs/>
          <w:color w:val="auto"/>
          <w:sz w:val="21"/>
          <w:szCs w:val="21"/>
          <w:highlight w:val="none"/>
        </w:rPr>
        <w:t>3.项目专用合同条款可对下列内容进行补充和细化：</w:t>
      </w:r>
    </w:p>
    <w:p w14:paraId="6926F636">
      <w:pPr>
        <w:spacing w:line="520" w:lineRule="exact"/>
        <w:ind w:firstLine="600"/>
        <w:rPr>
          <w:rFonts w:ascii="宋体" w:hAnsi="宋体"/>
          <w:bCs/>
          <w:color w:val="auto"/>
          <w:sz w:val="21"/>
          <w:szCs w:val="21"/>
          <w:highlight w:val="none"/>
        </w:rPr>
      </w:pPr>
      <w:r>
        <w:rPr>
          <w:rFonts w:hint="eastAsia" w:ascii="宋体" w:hAnsi="宋体"/>
          <w:bCs/>
          <w:color w:val="auto"/>
          <w:sz w:val="21"/>
          <w:szCs w:val="21"/>
          <w:highlight w:val="none"/>
        </w:rPr>
        <w:t>（1）“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2CC4633E">
      <w:pPr>
        <w:spacing w:line="520" w:lineRule="exact"/>
        <w:ind w:firstLine="600"/>
        <w:rPr>
          <w:rFonts w:ascii="宋体" w:hAnsi="宋体"/>
          <w:bCs/>
          <w:color w:val="auto"/>
          <w:sz w:val="21"/>
          <w:szCs w:val="21"/>
          <w:highlight w:val="none"/>
        </w:rPr>
      </w:pPr>
      <w:r>
        <w:rPr>
          <w:rFonts w:hint="eastAsia" w:ascii="宋体" w:hAnsi="宋体"/>
          <w:bCs/>
          <w:color w:val="auto"/>
          <w:sz w:val="21"/>
          <w:szCs w:val="21"/>
          <w:highlight w:val="none"/>
        </w:rPr>
        <w:t>（2）“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60D0A326">
      <w:pPr>
        <w:spacing w:line="520" w:lineRule="exact"/>
        <w:ind w:firstLine="600"/>
        <w:rPr>
          <w:rFonts w:ascii="宋体" w:hAnsi="宋体"/>
          <w:bCs/>
          <w:color w:val="auto"/>
          <w:sz w:val="21"/>
          <w:szCs w:val="21"/>
          <w:highlight w:val="none"/>
        </w:rPr>
      </w:pPr>
      <w:r>
        <w:rPr>
          <w:rFonts w:hint="eastAsia" w:ascii="宋体" w:hAnsi="宋体"/>
          <w:bCs/>
          <w:color w:val="auto"/>
          <w:sz w:val="21"/>
          <w:szCs w:val="21"/>
          <w:highlight w:val="none"/>
        </w:rPr>
        <w:t>（3）其他需要补充、细化的内容。</w:t>
      </w:r>
    </w:p>
    <w:p w14:paraId="560CFE54">
      <w:pPr>
        <w:spacing w:line="520" w:lineRule="exact"/>
        <w:jc w:val="center"/>
        <w:rPr>
          <w:rFonts w:ascii="宋体" w:hAnsi="宋体"/>
          <w:bCs/>
          <w:color w:val="auto"/>
          <w:sz w:val="21"/>
          <w:szCs w:val="21"/>
          <w:highlight w:val="none"/>
        </w:rPr>
      </w:pPr>
      <w:r>
        <w:rPr>
          <w:rFonts w:hint="eastAsia" w:ascii="宋体" w:hAnsi="宋体"/>
          <w:bCs/>
          <w:color w:val="auto"/>
          <w:sz w:val="21"/>
          <w:szCs w:val="21"/>
          <w:highlight w:val="none"/>
        </w:rPr>
        <w:t xml:space="preserve"> </w:t>
      </w:r>
    </w:p>
    <w:p w14:paraId="76CDEC6B">
      <w:pPr>
        <w:spacing w:line="520" w:lineRule="exact"/>
        <w:jc w:val="center"/>
        <w:rPr>
          <w:rFonts w:ascii="宋体" w:hAnsi="宋体"/>
          <w:bCs/>
          <w:color w:val="auto"/>
          <w:sz w:val="21"/>
          <w:szCs w:val="21"/>
          <w:highlight w:val="none"/>
        </w:rPr>
      </w:pPr>
      <w:r>
        <w:rPr>
          <w:rFonts w:hint="eastAsia" w:ascii="宋体" w:hAnsi="宋体"/>
          <w:bCs/>
          <w:color w:val="auto"/>
          <w:sz w:val="21"/>
          <w:szCs w:val="21"/>
          <w:highlight w:val="none"/>
        </w:rPr>
        <w:t xml:space="preserve"> </w:t>
      </w:r>
    </w:p>
    <w:p w14:paraId="47C50354">
      <w:pPr>
        <w:spacing w:line="520" w:lineRule="exact"/>
        <w:jc w:val="center"/>
        <w:rPr>
          <w:rFonts w:ascii="宋体" w:hAnsi="宋体"/>
          <w:bCs/>
          <w:color w:val="auto"/>
          <w:sz w:val="21"/>
          <w:szCs w:val="21"/>
          <w:highlight w:val="none"/>
        </w:rPr>
      </w:pPr>
      <w:r>
        <w:rPr>
          <w:rFonts w:hint="eastAsia" w:ascii="宋体" w:hAnsi="宋体"/>
          <w:bCs/>
          <w:color w:val="auto"/>
          <w:sz w:val="21"/>
          <w:szCs w:val="21"/>
          <w:highlight w:val="none"/>
        </w:rPr>
        <w:t xml:space="preserve"> </w:t>
      </w:r>
    </w:p>
    <w:p w14:paraId="3A9EA66C">
      <w:pPr>
        <w:spacing w:line="520" w:lineRule="exact"/>
        <w:jc w:val="center"/>
        <w:rPr>
          <w:rFonts w:ascii="宋体" w:hAnsi="宋体"/>
          <w:bCs/>
          <w:color w:val="auto"/>
          <w:sz w:val="21"/>
          <w:szCs w:val="21"/>
          <w:highlight w:val="none"/>
        </w:rPr>
      </w:pPr>
      <w:r>
        <w:rPr>
          <w:rFonts w:hint="eastAsia" w:ascii="宋体" w:hAnsi="宋体"/>
          <w:bCs/>
          <w:color w:val="auto"/>
          <w:sz w:val="21"/>
          <w:szCs w:val="21"/>
          <w:highlight w:val="none"/>
        </w:rPr>
        <w:t xml:space="preserve"> </w:t>
      </w:r>
    </w:p>
    <w:p w14:paraId="66D1BD22">
      <w:pPr>
        <w:keepNext w:val="0"/>
        <w:keepLines w:val="0"/>
        <w:pageBreakBefore w:val="0"/>
        <w:widowControl w:val="0"/>
        <w:kinsoku/>
        <w:wordWrap/>
        <w:overflowPunct/>
        <w:topLinePunct w:val="0"/>
        <w:autoSpaceDE/>
        <w:autoSpaceDN/>
        <w:bidi w:val="0"/>
        <w:adjustRightInd w:val="0"/>
        <w:snapToGrid w:val="0"/>
        <w:spacing w:after="0" w:afterLines="100"/>
        <w:jc w:val="center"/>
        <w:textAlignment w:val="auto"/>
        <w:rPr>
          <w:rFonts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b/>
          <w:bCs/>
          <w:color w:val="auto"/>
          <w:sz w:val="24"/>
          <w:szCs w:val="24"/>
          <w:highlight w:val="none"/>
        </w:rPr>
        <w:t>项目专用合同条款数据表</w:t>
      </w:r>
    </w:p>
    <w:p w14:paraId="2DBDFE2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说明：本数据表是项目专用合同条款中适用于本项目的信息和数据的归纳与提示，是项目专用合同条款的组成部分。第九章“投标文件格式”的投标函附录中的数据（供投标人确认）与本表所列有重复。编写招标文件的单位应仔细校核，不使数据出现差错或不一致。</w:t>
      </w:r>
    </w:p>
    <w:tbl>
      <w:tblPr>
        <w:tblStyle w:val="29"/>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229"/>
        <w:gridCol w:w="7707"/>
      </w:tblGrid>
      <w:tr w14:paraId="50F39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C39EE5D">
            <w:pPr>
              <w:autoSpaceDE w:val="0"/>
              <w:adjustRightInd w:val="0"/>
              <w:snapToGrid w:val="0"/>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229" w:type="dxa"/>
            <w:tcBorders>
              <w:top w:val="single" w:color="auto" w:sz="4" w:space="0"/>
              <w:left w:val="single" w:color="auto" w:sz="4" w:space="0"/>
              <w:bottom w:val="single" w:color="auto" w:sz="4" w:space="0"/>
              <w:right w:val="single" w:color="auto" w:sz="4" w:space="0"/>
            </w:tcBorders>
            <w:noWrap/>
            <w:vAlign w:val="center"/>
          </w:tcPr>
          <w:p w14:paraId="59942714">
            <w:pPr>
              <w:autoSpaceDE w:val="0"/>
              <w:adjustRightInd w:val="0"/>
              <w:snapToGrid w:val="0"/>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7707" w:type="dxa"/>
            <w:tcBorders>
              <w:top w:val="single" w:color="auto" w:sz="4" w:space="0"/>
              <w:left w:val="single" w:color="auto" w:sz="4" w:space="0"/>
              <w:bottom w:val="single" w:color="auto" w:sz="4" w:space="0"/>
              <w:right w:val="single" w:color="auto" w:sz="4" w:space="0"/>
            </w:tcBorders>
            <w:noWrap/>
            <w:vAlign w:val="center"/>
          </w:tcPr>
          <w:p w14:paraId="55B90940">
            <w:pPr>
              <w:autoSpaceDE w:val="0"/>
              <w:adjustRightInd w:val="0"/>
              <w:snapToGrid w:val="0"/>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信息或数据</w:t>
            </w:r>
          </w:p>
        </w:tc>
      </w:tr>
      <w:tr w14:paraId="0D8E2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 w:type="dxa"/>
            <w:tcBorders>
              <w:top w:val="single" w:color="auto" w:sz="4" w:space="0"/>
              <w:left w:val="single" w:color="auto" w:sz="4" w:space="0"/>
              <w:bottom w:val="single" w:color="auto" w:sz="4" w:space="0"/>
              <w:right w:val="single" w:color="auto" w:sz="4" w:space="0"/>
            </w:tcBorders>
            <w:noWrap/>
            <w:vAlign w:val="center"/>
          </w:tcPr>
          <w:p w14:paraId="48FF87E2">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29" w:type="dxa"/>
            <w:tcBorders>
              <w:top w:val="single" w:color="auto" w:sz="4" w:space="0"/>
              <w:left w:val="single" w:color="auto" w:sz="4" w:space="0"/>
              <w:bottom w:val="single" w:color="auto" w:sz="4" w:space="0"/>
              <w:right w:val="single" w:color="auto" w:sz="4" w:space="0"/>
            </w:tcBorders>
            <w:noWrap/>
            <w:vAlign w:val="center"/>
          </w:tcPr>
          <w:p w14:paraId="301192FF">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1.1.2.2</w:t>
            </w:r>
          </w:p>
        </w:tc>
        <w:tc>
          <w:tcPr>
            <w:tcW w:w="7707" w:type="dxa"/>
            <w:tcBorders>
              <w:top w:val="single" w:color="auto" w:sz="4" w:space="0"/>
              <w:left w:val="single" w:color="auto" w:sz="4" w:space="0"/>
              <w:bottom w:val="single" w:color="auto" w:sz="4" w:space="0"/>
              <w:right w:val="single" w:color="auto" w:sz="4" w:space="0"/>
            </w:tcBorders>
            <w:noWrap/>
            <w:vAlign w:val="center"/>
          </w:tcPr>
          <w:p w14:paraId="35FC7101">
            <w:pPr>
              <w:autoSpaceDE w:val="0"/>
              <w:adjustRightInd w:val="0"/>
              <w:snapToGrid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w:t>
            </w:r>
            <w:r>
              <w:rPr>
                <w:rFonts w:hint="eastAsia" w:ascii="宋体" w:hAnsi="宋体" w:eastAsia="宋体" w:cs="宋体"/>
                <w:color w:val="auto"/>
                <w:sz w:val="21"/>
                <w:szCs w:val="21"/>
                <w:highlight w:val="none"/>
                <w:lang w:val="en-US" w:eastAsia="zh-CN"/>
              </w:rPr>
              <w:t>新蔡</w:t>
            </w:r>
            <w:r>
              <w:rPr>
                <w:rFonts w:hint="eastAsia" w:ascii="宋体" w:hAnsi="宋体" w:eastAsia="宋体" w:cs="宋体"/>
                <w:color w:val="auto"/>
                <w:sz w:val="21"/>
                <w:szCs w:val="21"/>
                <w:highlight w:val="none"/>
                <w:lang w:eastAsia="zh-CN"/>
              </w:rPr>
              <w:t>县公路事业发展中心</w:t>
            </w:r>
          </w:p>
          <w:p w14:paraId="22C9C11D">
            <w:pPr>
              <w:autoSpaceDE w:val="0"/>
              <w:adjustRightInd w:val="0"/>
              <w:snapToGrid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lang w:eastAsia="zh-CN"/>
              </w:rPr>
              <w:t>新蔡县人民路南段</w:t>
            </w:r>
          </w:p>
          <w:p w14:paraId="295FF438">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编：463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00</w:t>
            </w:r>
          </w:p>
        </w:tc>
      </w:tr>
      <w:tr w14:paraId="10401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D21220C">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29" w:type="dxa"/>
            <w:tcBorders>
              <w:top w:val="single" w:color="auto" w:sz="4" w:space="0"/>
              <w:left w:val="single" w:color="auto" w:sz="4" w:space="0"/>
              <w:bottom w:val="single" w:color="auto" w:sz="4" w:space="0"/>
              <w:right w:val="single" w:color="auto" w:sz="4" w:space="0"/>
            </w:tcBorders>
            <w:noWrap/>
            <w:vAlign w:val="center"/>
          </w:tcPr>
          <w:p w14:paraId="1F72BB88">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1.1.2.6</w:t>
            </w:r>
          </w:p>
        </w:tc>
        <w:tc>
          <w:tcPr>
            <w:tcW w:w="7707" w:type="dxa"/>
            <w:tcBorders>
              <w:top w:val="single" w:color="auto" w:sz="4" w:space="0"/>
              <w:left w:val="single" w:color="auto" w:sz="4" w:space="0"/>
              <w:bottom w:val="single" w:color="auto" w:sz="4" w:space="0"/>
              <w:right w:val="single" w:color="auto" w:sz="4" w:space="0"/>
            </w:tcBorders>
            <w:noWrap/>
            <w:vAlign w:val="center"/>
          </w:tcPr>
          <w:p w14:paraId="185A563F">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w:t>
            </w:r>
            <w:r>
              <w:rPr>
                <w:rFonts w:hint="eastAsia" w:ascii="宋体" w:hAnsi="宋体" w:eastAsia="宋体" w:cs="宋体"/>
                <w:color w:val="auto"/>
                <w:sz w:val="21"/>
                <w:szCs w:val="21"/>
                <w:highlight w:val="none"/>
                <w:lang w:eastAsia="zh-CN"/>
              </w:rPr>
              <w:t>招标确定</w:t>
            </w:r>
            <w:r>
              <w:rPr>
                <w:rFonts w:hint="eastAsia" w:ascii="宋体" w:hAnsi="宋体" w:eastAsia="宋体" w:cs="宋体"/>
                <w:color w:val="auto"/>
                <w:sz w:val="21"/>
                <w:szCs w:val="21"/>
                <w:highlight w:val="none"/>
              </w:rPr>
              <w:t xml:space="preserve">       </w:t>
            </w:r>
          </w:p>
          <w:p w14:paraId="2AB4B14B">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待定</w:t>
            </w:r>
            <w:r>
              <w:rPr>
                <w:rFonts w:hint="eastAsia" w:ascii="宋体" w:hAnsi="宋体" w:eastAsia="宋体" w:cs="宋体"/>
                <w:color w:val="auto"/>
                <w:sz w:val="21"/>
                <w:szCs w:val="21"/>
                <w:highlight w:val="none"/>
              </w:rPr>
              <w:t xml:space="preserve">                </w:t>
            </w:r>
          </w:p>
          <w:p w14:paraId="0F222B4C">
            <w:pPr>
              <w:autoSpaceDE w:val="0"/>
              <w:adjustRightInd w:val="0"/>
              <w:snapToGrid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编：</w:t>
            </w:r>
            <w:r>
              <w:rPr>
                <w:rFonts w:hint="eastAsia" w:ascii="宋体" w:hAnsi="宋体" w:eastAsia="宋体" w:cs="宋体"/>
                <w:color w:val="auto"/>
                <w:sz w:val="21"/>
                <w:szCs w:val="21"/>
                <w:highlight w:val="none"/>
                <w:lang w:eastAsia="zh-CN"/>
              </w:rPr>
              <w:t>待定</w:t>
            </w:r>
          </w:p>
        </w:tc>
      </w:tr>
      <w:tr w14:paraId="5DAC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79E6699">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29" w:type="dxa"/>
            <w:tcBorders>
              <w:top w:val="single" w:color="auto" w:sz="4" w:space="0"/>
              <w:left w:val="single" w:color="auto" w:sz="4" w:space="0"/>
              <w:bottom w:val="single" w:color="auto" w:sz="4" w:space="0"/>
              <w:right w:val="single" w:color="auto" w:sz="4" w:space="0"/>
            </w:tcBorders>
            <w:noWrap/>
            <w:vAlign w:val="center"/>
          </w:tcPr>
          <w:p w14:paraId="6B9A9760">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1.1.4.5</w:t>
            </w:r>
          </w:p>
        </w:tc>
        <w:tc>
          <w:tcPr>
            <w:tcW w:w="7707" w:type="dxa"/>
            <w:tcBorders>
              <w:top w:val="single" w:color="auto" w:sz="4" w:space="0"/>
              <w:left w:val="single" w:color="auto" w:sz="4" w:space="0"/>
              <w:bottom w:val="single" w:color="auto" w:sz="4" w:space="0"/>
              <w:right w:val="single" w:color="auto" w:sz="4" w:space="0"/>
            </w:tcBorders>
            <w:noWrap/>
            <w:vAlign w:val="center"/>
          </w:tcPr>
          <w:p w14:paraId="01964E4F">
            <w:pPr>
              <w:autoSpaceD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缺陷责任期：自实际交工日期</w:t>
            </w:r>
            <w:r>
              <w:rPr>
                <w:rFonts w:hint="eastAsia" w:ascii="宋体" w:hAnsi="宋体" w:eastAsia="宋体" w:cs="宋体"/>
                <w:color w:val="000000" w:themeColor="text1"/>
                <w:sz w:val="21"/>
                <w:szCs w:val="21"/>
                <w:highlight w:val="none"/>
                <w14:textFill>
                  <w14:solidFill>
                    <w14:schemeClr w14:val="tx1"/>
                  </w14:solidFill>
                </w14:textFill>
              </w:rPr>
              <w:t>起计算</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24</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auto"/>
                <w:sz w:val="21"/>
                <w:szCs w:val="21"/>
                <w:highlight w:val="none"/>
              </w:rPr>
              <w:t xml:space="preserve">          </w:t>
            </w:r>
          </w:p>
        </w:tc>
      </w:tr>
      <w:tr w14:paraId="6DF98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42AC85B">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29" w:type="dxa"/>
            <w:tcBorders>
              <w:top w:val="single" w:color="auto" w:sz="4" w:space="0"/>
              <w:left w:val="single" w:color="auto" w:sz="4" w:space="0"/>
              <w:bottom w:val="single" w:color="auto" w:sz="4" w:space="0"/>
              <w:right w:val="single" w:color="auto" w:sz="4" w:space="0"/>
            </w:tcBorders>
            <w:noWrap/>
            <w:vAlign w:val="center"/>
          </w:tcPr>
          <w:p w14:paraId="6E3C2C5E">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1.6.3</w:t>
            </w:r>
          </w:p>
        </w:tc>
        <w:tc>
          <w:tcPr>
            <w:tcW w:w="7707" w:type="dxa"/>
            <w:tcBorders>
              <w:top w:val="single" w:color="auto" w:sz="4" w:space="0"/>
              <w:left w:val="single" w:color="auto" w:sz="4" w:space="0"/>
              <w:bottom w:val="single" w:color="auto" w:sz="4" w:space="0"/>
              <w:right w:val="single" w:color="auto" w:sz="4" w:space="0"/>
            </w:tcBorders>
            <w:noWrap/>
            <w:vAlign w:val="center"/>
          </w:tcPr>
          <w:p w14:paraId="7E3C612C">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图纸需要修改和补充的，应由监理人取得发包人同意后，在该工程或工程相应部位施工前</w:t>
            </w:r>
            <w:r>
              <w:rPr>
                <w:rFonts w:hint="eastAsia" w:ascii="宋体" w:hAnsi="宋体" w:eastAsia="宋体" w:cs="宋体"/>
                <w:color w:val="auto"/>
                <w:sz w:val="21"/>
                <w:szCs w:val="21"/>
                <w:highlight w:val="none"/>
                <w:u w:val="single"/>
              </w:rPr>
              <w:t>7</w:t>
            </w:r>
            <w:r>
              <w:rPr>
                <w:rFonts w:hint="eastAsia" w:ascii="宋体" w:hAnsi="宋体" w:eastAsia="宋体" w:cs="宋体"/>
                <w:color w:val="auto"/>
                <w:sz w:val="21"/>
                <w:szCs w:val="21"/>
                <w:highlight w:val="none"/>
              </w:rPr>
              <w:t>天签发图纸修改图给承包人</w:t>
            </w:r>
          </w:p>
        </w:tc>
      </w:tr>
      <w:tr w14:paraId="2B25F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BA07ACA">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229" w:type="dxa"/>
            <w:tcBorders>
              <w:top w:val="single" w:color="auto" w:sz="4" w:space="0"/>
              <w:left w:val="single" w:color="auto" w:sz="4" w:space="0"/>
              <w:bottom w:val="single" w:color="auto" w:sz="4" w:space="0"/>
              <w:right w:val="single" w:color="auto" w:sz="4" w:space="0"/>
            </w:tcBorders>
            <w:noWrap/>
            <w:vAlign w:val="center"/>
          </w:tcPr>
          <w:p w14:paraId="0EB2BA2E">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7707" w:type="dxa"/>
            <w:tcBorders>
              <w:top w:val="single" w:color="auto" w:sz="4" w:space="0"/>
              <w:left w:val="single" w:color="auto" w:sz="4" w:space="0"/>
              <w:bottom w:val="single" w:color="auto" w:sz="4" w:space="0"/>
              <w:right w:val="single" w:color="auto" w:sz="4" w:space="0"/>
            </w:tcBorders>
            <w:noWrap/>
            <w:vAlign w:val="center"/>
          </w:tcPr>
          <w:p w14:paraId="457DEEC6">
            <w:pPr>
              <w:autoSpaceDE w:val="0"/>
              <w:adjustRightInd w:val="0"/>
              <w:snapToGrid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所有变更按相关规定处理</w:t>
            </w:r>
          </w:p>
        </w:tc>
      </w:tr>
      <w:tr w14:paraId="275E0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2BFBC48">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229" w:type="dxa"/>
            <w:tcBorders>
              <w:top w:val="single" w:color="auto" w:sz="4" w:space="0"/>
              <w:left w:val="single" w:color="auto" w:sz="4" w:space="0"/>
              <w:bottom w:val="single" w:color="auto" w:sz="4" w:space="0"/>
              <w:right w:val="single" w:color="auto" w:sz="4" w:space="0"/>
            </w:tcBorders>
            <w:noWrap/>
            <w:vAlign w:val="center"/>
          </w:tcPr>
          <w:p w14:paraId="1C6A4ACA">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w:t>
            </w:r>
          </w:p>
        </w:tc>
        <w:tc>
          <w:tcPr>
            <w:tcW w:w="7707" w:type="dxa"/>
            <w:tcBorders>
              <w:top w:val="single" w:color="auto" w:sz="4" w:space="0"/>
              <w:left w:val="single" w:color="auto" w:sz="4" w:space="0"/>
              <w:bottom w:val="single" w:color="auto" w:sz="4" w:space="0"/>
              <w:right w:val="single" w:color="auto" w:sz="4" w:space="0"/>
            </w:tcBorders>
            <w:noWrap/>
            <w:vAlign w:val="center"/>
          </w:tcPr>
          <w:p w14:paraId="6B53C940">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发包人是否提供材料或工程设备：</w:t>
            </w:r>
            <w:r>
              <w:rPr>
                <w:rFonts w:hint="eastAsia" w:ascii="宋体" w:hAnsi="宋体" w:eastAsia="宋体" w:cs="宋体"/>
                <w:color w:val="auto"/>
                <w:sz w:val="21"/>
                <w:szCs w:val="21"/>
                <w:highlight w:val="none"/>
                <w:u w:val="single"/>
              </w:rPr>
              <w:t xml:space="preserve"> 否 </w:t>
            </w:r>
          </w:p>
        </w:tc>
      </w:tr>
      <w:tr w14:paraId="5CA80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DA72B67">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229" w:type="dxa"/>
            <w:tcBorders>
              <w:top w:val="single" w:color="auto" w:sz="4" w:space="0"/>
              <w:left w:val="single" w:color="auto" w:sz="4" w:space="0"/>
              <w:bottom w:val="single" w:color="auto" w:sz="4" w:space="0"/>
              <w:right w:val="single" w:color="auto" w:sz="4" w:space="0"/>
            </w:tcBorders>
            <w:noWrap/>
            <w:vAlign w:val="center"/>
          </w:tcPr>
          <w:p w14:paraId="09412B5E">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w:t>
            </w:r>
          </w:p>
        </w:tc>
        <w:tc>
          <w:tcPr>
            <w:tcW w:w="7707" w:type="dxa"/>
            <w:tcBorders>
              <w:top w:val="single" w:color="auto" w:sz="4" w:space="0"/>
              <w:left w:val="single" w:color="auto" w:sz="4" w:space="0"/>
              <w:bottom w:val="single" w:color="auto" w:sz="4" w:space="0"/>
              <w:right w:val="single" w:color="auto" w:sz="4" w:space="0"/>
            </w:tcBorders>
            <w:noWrap/>
            <w:vAlign w:val="center"/>
          </w:tcPr>
          <w:p w14:paraId="437D26B4">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发包人是否提供施工设备和临时设施：</w:t>
            </w:r>
            <w:r>
              <w:rPr>
                <w:rFonts w:hint="eastAsia" w:ascii="宋体" w:hAnsi="宋体" w:eastAsia="宋体" w:cs="宋体"/>
                <w:color w:val="auto"/>
                <w:sz w:val="21"/>
                <w:szCs w:val="21"/>
                <w:highlight w:val="none"/>
                <w:u w:val="single"/>
              </w:rPr>
              <w:t xml:space="preserve"> 否 </w:t>
            </w:r>
          </w:p>
        </w:tc>
      </w:tr>
      <w:tr w14:paraId="05D6C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4" w:type="dxa"/>
            <w:tcBorders>
              <w:top w:val="single" w:color="auto" w:sz="4" w:space="0"/>
              <w:left w:val="single" w:color="auto" w:sz="4" w:space="0"/>
              <w:bottom w:val="single" w:color="auto" w:sz="4" w:space="0"/>
              <w:right w:val="single" w:color="auto" w:sz="4" w:space="0"/>
            </w:tcBorders>
            <w:noWrap/>
            <w:vAlign w:val="center"/>
          </w:tcPr>
          <w:p w14:paraId="50A8CA1C">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229" w:type="dxa"/>
            <w:tcBorders>
              <w:top w:val="single" w:color="auto" w:sz="4" w:space="0"/>
              <w:left w:val="single" w:color="auto" w:sz="4" w:space="0"/>
              <w:bottom w:val="single" w:color="auto" w:sz="4" w:space="0"/>
              <w:right w:val="single" w:color="auto" w:sz="4" w:space="0"/>
            </w:tcBorders>
            <w:noWrap/>
            <w:vAlign w:val="center"/>
          </w:tcPr>
          <w:p w14:paraId="2017F959">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8.1.1</w:t>
            </w:r>
          </w:p>
        </w:tc>
        <w:tc>
          <w:tcPr>
            <w:tcW w:w="7707" w:type="dxa"/>
            <w:tcBorders>
              <w:top w:val="single" w:color="auto" w:sz="4" w:space="0"/>
              <w:left w:val="single" w:color="auto" w:sz="4" w:space="0"/>
              <w:bottom w:val="single" w:color="auto" w:sz="4" w:space="0"/>
              <w:right w:val="single" w:color="auto" w:sz="4" w:space="0"/>
            </w:tcBorders>
            <w:noWrap/>
            <w:vAlign w:val="center"/>
          </w:tcPr>
          <w:p w14:paraId="2B575DF5">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发包人提供测量基准点、基准线和水准点及其书面资料的期限：</w:t>
            </w:r>
            <w:r>
              <w:rPr>
                <w:rFonts w:hint="eastAsia" w:ascii="宋体" w:hAnsi="宋体" w:eastAsia="宋体" w:cs="宋体"/>
                <w:color w:val="auto"/>
                <w:sz w:val="21"/>
                <w:szCs w:val="21"/>
                <w:highlight w:val="none"/>
                <w:u w:val="single"/>
              </w:rPr>
              <w:t xml:space="preserve">开工日期7天前 </w:t>
            </w:r>
          </w:p>
          <w:p w14:paraId="4E041A3C">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承包人将施工控制网资料报送监理人审批的期限：</w:t>
            </w:r>
            <w:r>
              <w:rPr>
                <w:rFonts w:hint="eastAsia" w:ascii="宋体" w:hAnsi="宋体" w:eastAsia="宋体" w:cs="宋体"/>
                <w:color w:val="auto"/>
                <w:sz w:val="21"/>
                <w:szCs w:val="21"/>
                <w:highlight w:val="none"/>
                <w:u w:val="single"/>
              </w:rPr>
              <w:t xml:space="preserve">承包人在与发包人签订合同协议后的28天内提交给监理人 </w:t>
            </w:r>
          </w:p>
        </w:tc>
      </w:tr>
      <w:tr w14:paraId="2407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F4C753B">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229" w:type="dxa"/>
            <w:tcBorders>
              <w:top w:val="single" w:color="auto" w:sz="4" w:space="0"/>
              <w:left w:val="single" w:color="auto" w:sz="4" w:space="0"/>
              <w:bottom w:val="single" w:color="auto" w:sz="4" w:space="0"/>
              <w:right w:val="single" w:color="auto" w:sz="4" w:space="0"/>
            </w:tcBorders>
            <w:noWrap/>
            <w:vAlign w:val="center"/>
          </w:tcPr>
          <w:p w14:paraId="15FA22CB">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11.5（3）</w:t>
            </w:r>
          </w:p>
        </w:tc>
        <w:tc>
          <w:tcPr>
            <w:tcW w:w="7707" w:type="dxa"/>
            <w:tcBorders>
              <w:top w:val="single" w:color="auto" w:sz="4" w:space="0"/>
              <w:left w:val="single" w:color="auto" w:sz="4" w:space="0"/>
              <w:bottom w:val="single" w:color="auto" w:sz="4" w:space="0"/>
              <w:right w:val="single" w:color="auto" w:sz="4" w:space="0"/>
            </w:tcBorders>
            <w:noWrap/>
            <w:vAlign w:val="center"/>
          </w:tcPr>
          <w:p w14:paraId="146EA865">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逾期交工违约金：人民币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元/天</w:t>
            </w:r>
          </w:p>
        </w:tc>
      </w:tr>
      <w:tr w14:paraId="0376E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259EC89">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229" w:type="dxa"/>
            <w:tcBorders>
              <w:top w:val="single" w:color="auto" w:sz="4" w:space="0"/>
              <w:left w:val="single" w:color="auto" w:sz="4" w:space="0"/>
              <w:bottom w:val="single" w:color="auto" w:sz="4" w:space="0"/>
              <w:right w:val="single" w:color="auto" w:sz="4" w:space="0"/>
            </w:tcBorders>
            <w:noWrap/>
            <w:vAlign w:val="center"/>
          </w:tcPr>
          <w:p w14:paraId="3D42F53F">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11.5（3）</w:t>
            </w:r>
          </w:p>
        </w:tc>
        <w:tc>
          <w:tcPr>
            <w:tcW w:w="7707" w:type="dxa"/>
            <w:tcBorders>
              <w:top w:val="single" w:color="auto" w:sz="4" w:space="0"/>
              <w:left w:val="single" w:color="auto" w:sz="4" w:space="0"/>
              <w:bottom w:val="single" w:color="auto" w:sz="4" w:space="0"/>
              <w:right w:val="single" w:color="auto" w:sz="4" w:space="0"/>
            </w:tcBorders>
            <w:noWrap/>
            <w:vAlign w:val="center"/>
          </w:tcPr>
          <w:p w14:paraId="65F15575">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逾期交工违约金限额：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签约合同价</w:t>
            </w:r>
          </w:p>
        </w:tc>
      </w:tr>
      <w:tr w14:paraId="7D5E5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DE2DFAE">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229" w:type="dxa"/>
            <w:tcBorders>
              <w:top w:val="single" w:color="auto" w:sz="4" w:space="0"/>
              <w:left w:val="single" w:color="auto" w:sz="4" w:space="0"/>
              <w:bottom w:val="single" w:color="auto" w:sz="4" w:space="0"/>
              <w:right w:val="single" w:color="auto" w:sz="4" w:space="0"/>
            </w:tcBorders>
            <w:noWrap/>
            <w:vAlign w:val="center"/>
          </w:tcPr>
          <w:p w14:paraId="53B24DD8">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p>
        </w:tc>
        <w:tc>
          <w:tcPr>
            <w:tcW w:w="7707" w:type="dxa"/>
            <w:tcBorders>
              <w:top w:val="single" w:color="auto" w:sz="4" w:space="0"/>
              <w:left w:val="single" w:color="auto" w:sz="4" w:space="0"/>
              <w:bottom w:val="single" w:color="auto" w:sz="4" w:space="0"/>
              <w:right w:val="single" w:color="auto" w:sz="4" w:space="0"/>
            </w:tcBorders>
            <w:noWrap/>
            <w:vAlign w:val="center"/>
          </w:tcPr>
          <w:p w14:paraId="4FA38131">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提前交工的奖金：不适用</w:t>
            </w:r>
          </w:p>
        </w:tc>
      </w:tr>
      <w:tr w14:paraId="7194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02322607">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229" w:type="dxa"/>
            <w:tcBorders>
              <w:top w:val="single" w:color="auto" w:sz="4" w:space="0"/>
              <w:left w:val="single" w:color="auto" w:sz="4" w:space="0"/>
              <w:bottom w:val="single" w:color="auto" w:sz="4" w:space="0"/>
              <w:right w:val="single" w:color="auto" w:sz="4" w:space="0"/>
            </w:tcBorders>
            <w:noWrap/>
            <w:vAlign w:val="center"/>
          </w:tcPr>
          <w:p w14:paraId="7F9A957C">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w:t>
            </w:r>
          </w:p>
        </w:tc>
        <w:tc>
          <w:tcPr>
            <w:tcW w:w="7707" w:type="dxa"/>
            <w:tcBorders>
              <w:top w:val="single" w:color="auto" w:sz="4" w:space="0"/>
              <w:left w:val="single" w:color="auto" w:sz="4" w:space="0"/>
              <w:bottom w:val="single" w:color="auto" w:sz="4" w:space="0"/>
              <w:right w:val="single" w:color="auto" w:sz="4" w:space="0"/>
            </w:tcBorders>
            <w:noWrap/>
            <w:vAlign w:val="center"/>
          </w:tcPr>
          <w:p w14:paraId="6EEDB2B3">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提前交工的奖金限额：不适用</w:t>
            </w:r>
          </w:p>
        </w:tc>
      </w:tr>
      <w:tr w14:paraId="77F1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B57D8F3">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229" w:type="dxa"/>
            <w:tcBorders>
              <w:top w:val="single" w:color="auto" w:sz="4" w:space="0"/>
              <w:left w:val="single" w:color="auto" w:sz="4" w:space="0"/>
              <w:bottom w:val="single" w:color="auto" w:sz="4" w:space="0"/>
              <w:right w:val="single" w:color="auto" w:sz="4" w:space="0"/>
            </w:tcBorders>
            <w:noWrap/>
            <w:vAlign w:val="center"/>
          </w:tcPr>
          <w:p w14:paraId="4434FDED">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15.5.2</w:t>
            </w:r>
          </w:p>
        </w:tc>
        <w:tc>
          <w:tcPr>
            <w:tcW w:w="7707" w:type="dxa"/>
            <w:tcBorders>
              <w:top w:val="single" w:color="auto" w:sz="4" w:space="0"/>
              <w:left w:val="single" w:color="auto" w:sz="4" w:space="0"/>
              <w:bottom w:val="single" w:color="auto" w:sz="4" w:space="0"/>
              <w:right w:val="single" w:color="auto" w:sz="4" w:space="0"/>
            </w:tcBorders>
            <w:noWrap/>
            <w:vAlign w:val="center"/>
          </w:tcPr>
          <w:p w14:paraId="1F0F29EF">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承包人提出的合理化建议降低了合同价格或者提高了工程经济效益的，发包人按所节约成本的</w:t>
            </w:r>
            <w:r>
              <w:rPr>
                <w:rFonts w:hint="eastAsia" w:ascii="宋体" w:hAnsi="宋体" w:eastAsia="宋体" w:cs="宋体"/>
                <w:color w:val="auto"/>
                <w:sz w:val="21"/>
                <w:szCs w:val="21"/>
                <w:highlight w:val="none"/>
                <w:u w:val="single"/>
              </w:rPr>
              <w:t>0</w:t>
            </w:r>
            <w:r>
              <w:rPr>
                <w:rFonts w:hint="eastAsia" w:ascii="宋体" w:hAnsi="宋体" w:eastAsia="宋体" w:cs="宋体"/>
                <w:color w:val="auto"/>
                <w:sz w:val="21"/>
                <w:szCs w:val="21"/>
                <w:highlight w:val="none"/>
              </w:rPr>
              <w:t>%或增加收益的</w:t>
            </w:r>
            <w:r>
              <w:rPr>
                <w:rFonts w:hint="eastAsia" w:ascii="宋体" w:hAnsi="宋体" w:eastAsia="宋体" w:cs="宋体"/>
                <w:color w:val="auto"/>
                <w:sz w:val="21"/>
                <w:szCs w:val="21"/>
                <w:highlight w:val="none"/>
                <w:u w:val="single"/>
              </w:rPr>
              <w:t>0</w:t>
            </w:r>
            <w:r>
              <w:rPr>
                <w:rFonts w:hint="eastAsia" w:ascii="宋体" w:hAnsi="宋体" w:eastAsia="宋体" w:cs="宋体"/>
                <w:color w:val="auto"/>
                <w:sz w:val="21"/>
                <w:szCs w:val="21"/>
                <w:highlight w:val="none"/>
              </w:rPr>
              <w:t>%给予奖励</w:t>
            </w:r>
          </w:p>
        </w:tc>
      </w:tr>
      <w:tr w14:paraId="38C6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2F11605">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229" w:type="dxa"/>
            <w:tcBorders>
              <w:top w:val="single" w:color="auto" w:sz="4" w:space="0"/>
              <w:left w:val="single" w:color="auto" w:sz="4" w:space="0"/>
              <w:bottom w:val="single" w:color="auto" w:sz="4" w:space="0"/>
              <w:right w:val="single" w:color="auto" w:sz="4" w:space="0"/>
            </w:tcBorders>
            <w:noWrap/>
            <w:vAlign w:val="center"/>
          </w:tcPr>
          <w:p w14:paraId="52334D15">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w:t>
            </w:r>
          </w:p>
        </w:tc>
        <w:tc>
          <w:tcPr>
            <w:tcW w:w="7707" w:type="dxa"/>
            <w:tcBorders>
              <w:top w:val="single" w:color="auto" w:sz="4" w:space="0"/>
              <w:left w:val="single" w:color="auto" w:sz="4" w:space="0"/>
              <w:bottom w:val="single" w:color="auto" w:sz="4" w:space="0"/>
              <w:right w:val="single" w:color="auto" w:sz="4" w:space="0"/>
            </w:tcBorders>
            <w:noWrap/>
            <w:vAlign w:val="center"/>
          </w:tcPr>
          <w:p w14:paraId="3141C482">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☑合同期内不调价</w:t>
            </w:r>
          </w:p>
        </w:tc>
      </w:tr>
      <w:tr w14:paraId="281A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97CEE53">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229" w:type="dxa"/>
            <w:tcBorders>
              <w:top w:val="single" w:color="auto" w:sz="4" w:space="0"/>
              <w:left w:val="single" w:color="auto" w:sz="4" w:space="0"/>
              <w:bottom w:val="single" w:color="auto" w:sz="4" w:space="0"/>
              <w:right w:val="single" w:color="auto" w:sz="4" w:space="0"/>
            </w:tcBorders>
            <w:noWrap/>
            <w:vAlign w:val="center"/>
          </w:tcPr>
          <w:p w14:paraId="11EF30C5">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17.2.1（1）</w:t>
            </w:r>
          </w:p>
        </w:tc>
        <w:tc>
          <w:tcPr>
            <w:tcW w:w="7707" w:type="dxa"/>
            <w:tcBorders>
              <w:top w:val="single" w:color="auto" w:sz="4" w:space="0"/>
              <w:left w:val="single" w:color="auto" w:sz="4" w:space="0"/>
              <w:bottom w:val="single" w:color="auto" w:sz="4" w:space="0"/>
              <w:right w:val="single" w:color="auto" w:sz="4" w:space="0"/>
            </w:tcBorders>
            <w:noWrap/>
            <w:vAlign w:val="center"/>
          </w:tcPr>
          <w:p w14:paraId="56B73437">
            <w:pPr>
              <w:autoSpaceDE w:val="0"/>
              <w:adjustRightInd w:val="0"/>
              <w:snapToGrid w:val="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开工预付款比例：</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%签约合同价</w:t>
            </w:r>
          </w:p>
        </w:tc>
      </w:tr>
      <w:tr w14:paraId="41BFC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6236B97">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229" w:type="dxa"/>
            <w:tcBorders>
              <w:top w:val="single" w:color="auto" w:sz="4" w:space="0"/>
              <w:left w:val="single" w:color="auto" w:sz="4" w:space="0"/>
              <w:bottom w:val="single" w:color="auto" w:sz="4" w:space="0"/>
              <w:right w:val="single" w:color="auto" w:sz="4" w:space="0"/>
            </w:tcBorders>
            <w:noWrap/>
            <w:vAlign w:val="center"/>
          </w:tcPr>
          <w:p w14:paraId="1A90F37B">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17.2.1（2）</w:t>
            </w:r>
          </w:p>
        </w:tc>
        <w:tc>
          <w:tcPr>
            <w:tcW w:w="7707" w:type="dxa"/>
            <w:tcBorders>
              <w:top w:val="single" w:color="auto" w:sz="4" w:space="0"/>
              <w:left w:val="single" w:color="auto" w:sz="4" w:space="0"/>
              <w:bottom w:val="single" w:color="auto" w:sz="4" w:space="0"/>
              <w:right w:val="single" w:color="auto" w:sz="4" w:space="0"/>
            </w:tcBorders>
            <w:noWrap/>
            <w:vAlign w:val="center"/>
          </w:tcPr>
          <w:p w14:paraId="75A9FE3D">
            <w:pPr>
              <w:autoSpaceDE w:val="0"/>
              <w:adjustRightInd w:val="0"/>
              <w:snapToGrid w:val="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材料、设备预付款比例：</w:t>
            </w:r>
            <w:r>
              <w:rPr>
                <w:rFonts w:hint="eastAsia" w:ascii="宋体" w:hAnsi="宋体" w:eastAsia="宋体" w:cs="宋体"/>
                <w:color w:val="000000" w:themeColor="text1"/>
                <w:sz w:val="21"/>
                <w:szCs w:val="21"/>
                <w:highlight w:val="none"/>
                <w:u w:val="single"/>
                <w14:textFill>
                  <w14:solidFill>
                    <w14:schemeClr w14:val="tx1"/>
                  </w14:solidFill>
                </w14:textFill>
              </w:rPr>
              <w:t>进场的主要</w:t>
            </w:r>
            <w:r>
              <w:rPr>
                <w:rFonts w:hint="eastAsia" w:ascii="宋体" w:hAnsi="宋体" w:eastAsia="宋体" w:cs="宋体"/>
                <w:color w:val="000000" w:themeColor="text1"/>
                <w:sz w:val="21"/>
                <w:szCs w:val="21"/>
                <w:highlight w:val="none"/>
                <w14:textFill>
                  <w14:solidFill>
                    <w14:schemeClr w14:val="tx1"/>
                  </w14:solidFill>
                </w14:textFill>
              </w:rPr>
              <w:t>材料、设备单据所列费用的</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tc>
      </w:tr>
      <w:tr w14:paraId="6810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7CF2CA8A">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229" w:type="dxa"/>
            <w:tcBorders>
              <w:top w:val="single" w:color="auto" w:sz="4" w:space="0"/>
              <w:left w:val="single" w:color="auto" w:sz="4" w:space="0"/>
              <w:bottom w:val="single" w:color="auto" w:sz="4" w:space="0"/>
              <w:right w:val="single" w:color="auto" w:sz="4" w:space="0"/>
            </w:tcBorders>
            <w:noWrap/>
            <w:vAlign w:val="center"/>
          </w:tcPr>
          <w:p w14:paraId="07B96B7B">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17.3.2</w:t>
            </w:r>
          </w:p>
        </w:tc>
        <w:tc>
          <w:tcPr>
            <w:tcW w:w="7707" w:type="dxa"/>
            <w:tcBorders>
              <w:top w:val="single" w:color="auto" w:sz="4" w:space="0"/>
              <w:left w:val="single" w:color="auto" w:sz="4" w:space="0"/>
              <w:bottom w:val="single" w:color="auto" w:sz="4" w:space="0"/>
              <w:right w:val="single" w:color="auto" w:sz="4" w:space="0"/>
            </w:tcBorders>
            <w:noWrap/>
            <w:vAlign w:val="center"/>
          </w:tcPr>
          <w:p w14:paraId="6B2E64D3">
            <w:pPr>
              <w:pStyle w:val="34"/>
              <w:autoSpaceDN/>
              <w:spacing w:line="360" w:lineRule="exact"/>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承包人在每个付款周期末向监理人提交进度付款申请单的份数：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p>
        </w:tc>
      </w:tr>
      <w:tr w14:paraId="388F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7A8FE88">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1229" w:type="dxa"/>
            <w:tcBorders>
              <w:top w:val="single" w:color="auto" w:sz="4" w:space="0"/>
              <w:left w:val="single" w:color="auto" w:sz="4" w:space="0"/>
              <w:bottom w:val="single" w:color="auto" w:sz="4" w:space="0"/>
              <w:right w:val="single" w:color="auto" w:sz="4" w:space="0"/>
            </w:tcBorders>
            <w:noWrap/>
            <w:vAlign w:val="center"/>
          </w:tcPr>
          <w:p w14:paraId="1D640BA7">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17.3.3（1）</w:t>
            </w:r>
          </w:p>
        </w:tc>
        <w:tc>
          <w:tcPr>
            <w:tcW w:w="7707" w:type="dxa"/>
            <w:tcBorders>
              <w:top w:val="single" w:color="auto" w:sz="4" w:space="0"/>
              <w:left w:val="single" w:color="auto" w:sz="4" w:space="0"/>
              <w:bottom w:val="single" w:color="auto" w:sz="4" w:space="0"/>
              <w:right w:val="single" w:color="auto" w:sz="4" w:space="0"/>
            </w:tcBorders>
            <w:noWrap/>
            <w:vAlign w:val="center"/>
          </w:tcPr>
          <w:p w14:paraId="1F5448A4">
            <w:pPr>
              <w:autoSpaceDE w:val="0"/>
              <w:adjustRightInd w:val="0"/>
              <w:snapToGrid w:val="0"/>
              <w:spacing w:line="36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进度付款申请证书最低限额：</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 </w:t>
            </w:r>
          </w:p>
        </w:tc>
      </w:tr>
      <w:tr w14:paraId="4DD74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204961B">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1229" w:type="dxa"/>
            <w:tcBorders>
              <w:top w:val="single" w:color="auto" w:sz="4" w:space="0"/>
              <w:left w:val="single" w:color="auto" w:sz="4" w:space="0"/>
              <w:bottom w:val="single" w:color="auto" w:sz="4" w:space="0"/>
              <w:right w:val="single" w:color="auto" w:sz="4" w:space="0"/>
            </w:tcBorders>
            <w:noWrap/>
            <w:vAlign w:val="center"/>
          </w:tcPr>
          <w:p w14:paraId="33740D93">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17.3.3（2）</w:t>
            </w:r>
          </w:p>
        </w:tc>
        <w:tc>
          <w:tcPr>
            <w:tcW w:w="7707" w:type="dxa"/>
            <w:tcBorders>
              <w:top w:val="single" w:color="auto" w:sz="4" w:space="0"/>
              <w:left w:val="single" w:color="auto" w:sz="4" w:space="0"/>
              <w:bottom w:val="single" w:color="auto" w:sz="4" w:space="0"/>
              <w:right w:val="single" w:color="auto" w:sz="4" w:space="0"/>
            </w:tcBorders>
            <w:noWrap/>
            <w:vAlign w:val="center"/>
          </w:tcPr>
          <w:p w14:paraId="6D87A925">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逾期付款违约金的利率：</w:t>
            </w:r>
            <w:r>
              <w:rPr>
                <w:rFonts w:hint="eastAsia" w:ascii="宋体" w:hAnsi="宋体" w:eastAsia="宋体" w:cs="宋体"/>
                <w:color w:val="auto"/>
                <w:sz w:val="21"/>
                <w:szCs w:val="21"/>
                <w:highlight w:val="none"/>
                <w:u w:val="single"/>
              </w:rPr>
              <w:t>按同期贷款市场报价利率（LPR）一年期利率计算。</w:t>
            </w:r>
          </w:p>
        </w:tc>
      </w:tr>
      <w:tr w14:paraId="16490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25BF9521">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1229" w:type="dxa"/>
            <w:tcBorders>
              <w:top w:val="single" w:color="auto" w:sz="4" w:space="0"/>
              <w:left w:val="single" w:color="auto" w:sz="4" w:space="0"/>
              <w:bottom w:val="single" w:color="auto" w:sz="4" w:space="0"/>
              <w:right w:val="single" w:color="auto" w:sz="4" w:space="0"/>
            </w:tcBorders>
            <w:noWrap/>
            <w:vAlign w:val="center"/>
          </w:tcPr>
          <w:p w14:paraId="66A7F20A">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17.4.1</w:t>
            </w:r>
          </w:p>
        </w:tc>
        <w:tc>
          <w:tcPr>
            <w:tcW w:w="7707" w:type="dxa"/>
            <w:tcBorders>
              <w:top w:val="single" w:color="auto" w:sz="4" w:space="0"/>
              <w:left w:val="single" w:color="auto" w:sz="4" w:space="0"/>
              <w:bottom w:val="single" w:color="auto" w:sz="4" w:space="0"/>
              <w:right w:val="single" w:color="auto" w:sz="4" w:space="0"/>
            </w:tcBorders>
            <w:noWrap/>
            <w:vAlign w:val="center"/>
          </w:tcPr>
          <w:p w14:paraId="0F274079">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w:t>
            </w:r>
            <w:r>
              <w:rPr>
                <w:rFonts w:hint="eastAsia" w:ascii="宋体" w:hAnsi="宋体" w:eastAsia="宋体" w:cs="宋体"/>
                <w:color w:val="000000" w:themeColor="text1"/>
                <w:sz w:val="21"/>
                <w:szCs w:val="21"/>
                <w:highlight w:val="none"/>
                <w14:textFill>
                  <w14:solidFill>
                    <w14:schemeClr w14:val="tx1"/>
                  </w14:solidFill>
                </w14:textFill>
              </w:rPr>
              <w:t>金额：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  </w:t>
            </w:r>
            <w:r>
              <w:rPr>
                <w:rFonts w:hint="eastAsia" w:ascii="宋体" w:hAnsi="宋体" w:eastAsia="宋体" w:cs="宋体"/>
                <w:color w:val="000000" w:themeColor="text1"/>
                <w:sz w:val="21"/>
                <w:szCs w:val="21"/>
                <w:highlight w:val="none"/>
                <w14:textFill>
                  <w14:solidFill>
                    <w14:schemeClr w14:val="tx1"/>
                  </w14:solidFill>
                </w14:textFill>
              </w:rPr>
              <w:t>%合同</w:t>
            </w:r>
            <w:r>
              <w:rPr>
                <w:rFonts w:hint="eastAsia" w:ascii="宋体" w:hAnsi="宋体" w:eastAsia="宋体" w:cs="宋体"/>
                <w:color w:val="auto"/>
                <w:sz w:val="21"/>
                <w:szCs w:val="21"/>
                <w:highlight w:val="none"/>
              </w:rPr>
              <w:t>价格</w:t>
            </w:r>
          </w:p>
          <w:p w14:paraId="6C96F12C">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质量保证金是否计付利息：否</w:t>
            </w:r>
          </w:p>
        </w:tc>
      </w:tr>
      <w:tr w14:paraId="34306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838D7B5">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229" w:type="dxa"/>
            <w:tcBorders>
              <w:top w:val="single" w:color="auto" w:sz="4" w:space="0"/>
              <w:left w:val="single" w:color="auto" w:sz="4" w:space="0"/>
              <w:bottom w:val="single" w:color="auto" w:sz="4" w:space="0"/>
              <w:right w:val="single" w:color="auto" w:sz="4" w:space="0"/>
            </w:tcBorders>
            <w:noWrap/>
            <w:vAlign w:val="center"/>
          </w:tcPr>
          <w:p w14:paraId="2B05AAB2">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17.5.1（1）</w:t>
            </w:r>
          </w:p>
        </w:tc>
        <w:tc>
          <w:tcPr>
            <w:tcW w:w="7707" w:type="dxa"/>
            <w:tcBorders>
              <w:top w:val="single" w:color="auto" w:sz="4" w:space="0"/>
              <w:left w:val="single" w:color="auto" w:sz="4" w:space="0"/>
              <w:bottom w:val="single" w:color="auto" w:sz="4" w:space="0"/>
              <w:right w:val="single" w:color="auto" w:sz="4" w:space="0"/>
            </w:tcBorders>
            <w:noWrap/>
            <w:vAlign w:val="center"/>
          </w:tcPr>
          <w:p w14:paraId="5B424242">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承包人向监理人提交交工付款申请单（包括相关证明材料）的份数：</w:t>
            </w:r>
            <w:r>
              <w:rPr>
                <w:rFonts w:hint="eastAsia" w:ascii="宋体" w:hAnsi="宋体" w:eastAsia="宋体" w:cs="宋体"/>
                <w:color w:val="auto"/>
                <w:sz w:val="21"/>
                <w:szCs w:val="21"/>
                <w:highlight w:val="none"/>
                <w:u w:val="single"/>
              </w:rPr>
              <w:t xml:space="preserve"> 6</w:t>
            </w:r>
            <w:r>
              <w:rPr>
                <w:rFonts w:hint="eastAsia" w:ascii="宋体" w:hAnsi="宋体" w:eastAsia="宋体" w:cs="宋体"/>
                <w:color w:val="auto"/>
                <w:sz w:val="21"/>
                <w:szCs w:val="21"/>
                <w:highlight w:val="none"/>
              </w:rPr>
              <w:t>份</w:t>
            </w:r>
          </w:p>
        </w:tc>
      </w:tr>
      <w:tr w14:paraId="3C727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A8753D2">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229" w:type="dxa"/>
            <w:tcBorders>
              <w:top w:val="single" w:color="auto" w:sz="4" w:space="0"/>
              <w:left w:val="single" w:color="auto" w:sz="4" w:space="0"/>
              <w:bottom w:val="single" w:color="auto" w:sz="4" w:space="0"/>
              <w:right w:val="single" w:color="auto" w:sz="4" w:space="0"/>
            </w:tcBorders>
            <w:noWrap/>
            <w:vAlign w:val="center"/>
          </w:tcPr>
          <w:p w14:paraId="42B04563">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17.6.1（1）</w:t>
            </w:r>
          </w:p>
        </w:tc>
        <w:tc>
          <w:tcPr>
            <w:tcW w:w="7707" w:type="dxa"/>
            <w:tcBorders>
              <w:top w:val="single" w:color="auto" w:sz="4" w:space="0"/>
              <w:left w:val="single" w:color="auto" w:sz="4" w:space="0"/>
              <w:bottom w:val="single" w:color="auto" w:sz="4" w:space="0"/>
              <w:right w:val="single" w:color="auto" w:sz="4" w:space="0"/>
            </w:tcBorders>
            <w:noWrap/>
            <w:vAlign w:val="center"/>
          </w:tcPr>
          <w:p w14:paraId="66A7EF1B">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承包人向监理人提交最终结清申请单（包括相关证明材料）的份数：</w:t>
            </w:r>
            <w:r>
              <w:rPr>
                <w:rFonts w:hint="eastAsia" w:ascii="宋体" w:hAnsi="宋体" w:eastAsia="宋体" w:cs="宋体"/>
                <w:color w:val="auto"/>
                <w:sz w:val="21"/>
                <w:szCs w:val="21"/>
                <w:highlight w:val="none"/>
                <w:u w:val="single"/>
              </w:rPr>
              <w:t xml:space="preserve"> 6 </w:t>
            </w:r>
            <w:r>
              <w:rPr>
                <w:rFonts w:hint="eastAsia" w:ascii="宋体" w:hAnsi="宋体" w:eastAsia="宋体" w:cs="宋体"/>
                <w:color w:val="auto"/>
                <w:sz w:val="21"/>
                <w:szCs w:val="21"/>
                <w:highlight w:val="none"/>
              </w:rPr>
              <w:t>份</w:t>
            </w:r>
          </w:p>
        </w:tc>
      </w:tr>
      <w:tr w14:paraId="79FEF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38A45AA2">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p>
        </w:tc>
        <w:tc>
          <w:tcPr>
            <w:tcW w:w="1229" w:type="dxa"/>
            <w:tcBorders>
              <w:top w:val="single" w:color="auto" w:sz="4" w:space="0"/>
              <w:left w:val="single" w:color="auto" w:sz="4" w:space="0"/>
              <w:bottom w:val="single" w:color="auto" w:sz="4" w:space="0"/>
              <w:right w:val="single" w:color="auto" w:sz="4" w:space="0"/>
            </w:tcBorders>
            <w:noWrap/>
            <w:vAlign w:val="center"/>
          </w:tcPr>
          <w:p w14:paraId="68633BF9">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18.2（2）</w:t>
            </w:r>
          </w:p>
        </w:tc>
        <w:tc>
          <w:tcPr>
            <w:tcW w:w="7707" w:type="dxa"/>
            <w:tcBorders>
              <w:top w:val="single" w:color="auto" w:sz="4" w:space="0"/>
              <w:left w:val="single" w:color="auto" w:sz="4" w:space="0"/>
              <w:bottom w:val="single" w:color="auto" w:sz="4" w:space="0"/>
              <w:right w:val="single" w:color="auto" w:sz="4" w:space="0"/>
            </w:tcBorders>
            <w:noWrap/>
            <w:vAlign w:val="center"/>
          </w:tcPr>
          <w:p w14:paraId="405F5872">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竣工资料的份数：</w:t>
            </w:r>
            <w:r>
              <w:rPr>
                <w:rFonts w:hint="eastAsia"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rPr>
              <w:t>份</w:t>
            </w:r>
          </w:p>
        </w:tc>
      </w:tr>
      <w:tr w14:paraId="616CD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4CD7DF6F">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1229" w:type="dxa"/>
            <w:tcBorders>
              <w:top w:val="single" w:color="auto" w:sz="4" w:space="0"/>
              <w:left w:val="single" w:color="auto" w:sz="4" w:space="0"/>
              <w:bottom w:val="single" w:color="auto" w:sz="4" w:space="0"/>
              <w:right w:val="single" w:color="auto" w:sz="4" w:space="0"/>
            </w:tcBorders>
            <w:noWrap/>
            <w:vAlign w:val="center"/>
          </w:tcPr>
          <w:p w14:paraId="084D67D9">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18.5.1</w:t>
            </w:r>
          </w:p>
        </w:tc>
        <w:tc>
          <w:tcPr>
            <w:tcW w:w="7707" w:type="dxa"/>
            <w:tcBorders>
              <w:top w:val="single" w:color="auto" w:sz="4" w:space="0"/>
              <w:left w:val="single" w:color="auto" w:sz="4" w:space="0"/>
              <w:bottom w:val="single" w:color="auto" w:sz="4" w:space="0"/>
              <w:right w:val="single" w:color="auto" w:sz="4" w:space="0"/>
            </w:tcBorders>
            <w:noWrap/>
            <w:vAlign w:val="center"/>
          </w:tcPr>
          <w:p w14:paraId="5CDB7856">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单位工程或工程设备是否需投入施工期运行：</w:t>
            </w:r>
            <w:r>
              <w:rPr>
                <w:rFonts w:hint="eastAsia" w:ascii="宋体" w:hAnsi="宋体" w:eastAsia="宋体" w:cs="宋体"/>
                <w:color w:val="auto"/>
                <w:sz w:val="21"/>
                <w:szCs w:val="21"/>
                <w:highlight w:val="none"/>
                <w:u w:val="single"/>
              </w:rPr>
              <w:t>否</w:t>
            </w:r>
          </w:p>
        </w:tc>
      </w:tr>
      <w:tr w14:paraId="4A4BC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11EBD18">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1229" w:type="dxa"/>
            <w:tcBorders>
              <w:top w:val="single" w:color="auto" w:sz="4" w:space="0"/>
              <w:left w:val="single" w:color="auto" w:sz="4" w:space="0"/>
              <w:bottom w:val="single" w:color="auto" w:sz="4" w:space="0"/>
              <w:right w:val="single" w:color="auto" w:sz="4" w:space="0"/>
            </w:tcBorders>
            <w:noWrap/>
            <w:vAlign w:val="center"/>
          </w:tcPr>
          <w:p w14:paraId="284396A5">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18.6.1</w:t>
            </w:r>
          </w:p>
        </w:tc>
        <w:tc>
          <w:tcPr>
            <w:tcW w:w="7707" w:type="dxa"/>
            <w:tcBorders>
              <w:top w:val="single" w:color="auto" w:sz="4" w:space="0"/>
              <w:left w:val="single" w:color="auto" w:sz="4" w:space="0"/>
              <w:bottom w:val="single" w:color="auto" w:sz="4" w:space="0"/>
              <w:right w:val="single" w:color="auto" w:sz="4" w:space="0"/>
            </w:tcBorders>
            <w:noWrap/>
            <w:vAlign w:val="center"/>
          </w:tcPr>
          <w:p w14:paraId="4564B4E1">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本工程及工程设备是否进行试运行：</w:t>
            </w:r>
            <w:r>
              <w:rPr>
                <w:rFonts w:hint="eastAsia" w:ascii="宋体" w:hAnsi="宋体" w:eastAsia="宋体" w:cs="宋体"/>
                <w:color w:val="auto"/>
                <w:sz w:val="21"/>
                <w:szCs w:val="21"/>
                <w:highlight w:val="none"/>
                <w:u w:val="single"/>
              </w:rPr>
              <w:t>否</w:t>
            </w:r>
          </w:p>
        </w:tc>
      </w:tr>
      <w:tr w14:paraId="4867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DBC17AA">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w:t>
            </w:r>
          </w:p>
        </w:tc>
        <w:tc>
          <w:tcPr>
            <w:tcW w:w="1229" w:type="dxa"/>
            <w:tcBorders>
              <w:top w:val="single" w:color="auto" w:sz="4" w:space="0"/>
              <w:left w:val="single" w:color="auto" w:sz="4" w:space="0"/>
              <w:bottom w:val="single" w:color="auto" w:sz="4" w:space="0"/>
              <w:right w:val="single" w:color="auto" w:sz="4" w:space="0"/>
            </w:tcBorders>
            <w:noWrap/>
            <w:vAlign w:val="center"/>
          </w:tcPr>
          <w:p w14:paraId="6EF3292D">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19.7（1）</w:t>
            </w:r>
          </w:p>
        </w:tc>
        <w:tc>
          <w:tcPr>
            <w:tcW w:w="7707" w:type="dxa"/>
            <w:tcBorders>
              <w:top w:val="single" w:color="auto" w:sz="4" w:space="0"/>
              <w:left w:val="single" w:color="auto" w:sz="4" w:space="0"/>
              <w:bottom w:val="single" w:color="auto" w:sz="4" w:space="0"/>
              <w:right w:val="single" w:color="auto" w:sz="4" w:space="0"/>
            </w:tcBorders>
            <w:noWrap/>
            <w:vAlign w:val="center"/>
          </w:tcPr>
          <w:p w14:paraId="0B6825DB">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保修期：</w:t>
            </w:r>
            <w:r>
              <w:rPr>
                <w:rFonts w:hint="eastAsia" w:ascii="宋体" w:hAnsi="宋体" w:eastAsia="宋体" w:cs="宋体"/>
                <w:color w:val="auto"/>
                <w:sz w:val="21"/>
                <w:szCs w:val="21"/>
                <w:highlight w:val="none"/>
                <w:u w:val="single"/>
              </w:rPr>
              <w:t>不适用</w:t>
            </w:r>
          </w:p>
        </w:tc>
      </w:tr>
      <w:tr w14:paraId="386A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686D04A2">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w:t>
            </w:r>
          </w:p>
        </w:tc>
        <w:tc>
          <w:tcPr>
            <w:tcW w:w="1229" w:type="dxa"/>
            <w:tcBorders>
              <w:top w:val="single" w:color="auto" w:sz="4" w:space="0"/>
              <w:left w:val="single" w:color="auto" w:sz="4" w:space="0"/>
              <w:bottom w:val="single" w:color="auto" w:sz="4" w:space="0"/>
              <w:right w:val="single" w:color="auto" w:sz="4" w:space="0"/>
            </w:tcBorders>
            <w:noWrap/>
            <w:vAlign w:val="center"/>
          </w:tcPr>
          <w:p w14:paraId="77FEDE7D">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w:t>
            </w:r>
          </w:p>
        </w:tc>
        <w:tc>
          <w:tcPr>
            <w:tcW w:w="7707" w:type="dxa"/>
            <w:tcBorders>
              <w:top w:val="single" w:color="auto" w:sz="4" w:space="0"/>
              <w:left w:val="single" w:color="auto" w:sz="4" w:space="0"/>
              <w:bottom w:val="single" w:color="auto" w:sz="4" w:space="0"/>
              <w:right w:val="single" w:color="auto" w:sz="4" w:space="0"/>
            </w:tcBorders>
            <w:noWrap/>
            <w:vAlign w:val="center"/>
          </w:tcPr>
          <w:p w14:paraId="6934FF09">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建筑</w:t>
            </w:r>
            <w:r>
              <w:rPr>
                <w:rFonts w:hint="eastAsia" w:ascii="宋体" w:hAnsi="宋体" w:eastAsia="宋体" w:cs="宋体"/>
                <w:color w:val="auto"/>
                <w:sz w:val="21"/>
                <w:szCs w:val="21"/>
                <w:highlight w:val="none"/>
              </w:rPr>
              <w:t>工程一切险的保险费率：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14:paraId="04590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1120D6E1">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p>
        </w:tc>
        <w:tc>
          <w:tcPr>
            <w:tcW w:w="1229" w:type="dxa"/>
            <w:tcBorders>
              <w:top w:val="single" w:color="auto" w:sz="4" w:space="0"/>
              <w:left w:val="single" w:color="auto" w:sz="4" w:space="0"/>
              <w:bottom w:val="single" w:color="auto" w:sz="4" w:space="0"/>
              <w:right w:val="single" w:color="auto" w:sz="4" w:space="0"/>
            </w:tcBorders>
            <w:noWrap/>
            <w:vAlign w:val="center"/>
          </w:tcPr>
          <w:p w14:paraId="2A266286">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20.4.2</w:t>
            </w:r>
          </w:p>
        </w:tc>
        <w:tc>
          <w:tcPr>
            <w:tcW w:w="7707" w:type="dxa"/>
            <w:tcBorders>
              <w:top w:val="single" w:color="auto" w:sz="4" w:space="0"/>
              <w:left w:val="single" w:color="auto" w:sz="4" w:space="0"/>
              <w:bottom w:val="single" w:color="auto" w:sz="4" w:space="0"/>
              <w:right w:val="single" w:color="auto" w:sz="4" w:space="0"/>
            </w:tcBorders>
            <w:noWrap/>
            <w:vAlign w:val="center"/>
          </w:tcPr>
          <w:p w14:paraId="0667908D">
            <w:pPr>
              <w:autoSpaceDE w:val="0"/>
              <w:adjustRightInd w:val="0"/>
              <w:snapToGrid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第三者责任的最低投保金额：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万元人民币，事故次数不限（不计免赔额）保险费率：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tc>
      </w:tr>
      <w:tr w14:paraId="5E2A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4" w:type="dxa"/>
            <w:tcBorders>
              <w:top w:val="single" w:color="auto" w:sz="4" w:space="0"/>
              <w:left w:val="single" w:color="auto" w:sz="4" w:space="0"/>
              <w:bottom w:val="single" w:color="auto" w:sz="4" w:space="0"/>
              <w:right w:val="single" w:color="auto" w:sz="4" w:space="0"/>
            </w:tcBorders>
            <w:noWrap/>
            <w:vAlign w:val="center"/>
          </w:tcPr>
          <w:p w14:paraId="5354DC59">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w:t>
            </w:r>
          </w:p>
        </w:tc>
        <w:tc>
          <w:tcPr>
            <w:tcW w:w="1229" w:type="dxa"/>
            <w:tcBorders>
              <w:top w:val="single" w:color="auto" w:sz="4" w:space="0"/>
              <w:left w:val="single" w:color="auto" w:sz="4" w:space="0"/>
              <w:bottom w:val="single" w:color="auto" w:sz="4" w:space="0"/>
              <w:right w:val="single" w:color="auto" w:sz="4" w:space="0"/>
            </w:tcBorders>
            <w:noWrap/>
            <w:vAlign w:val="center"/>
          </w:tcPr>
          <w:p w14:paraId="50563304">
            <w:pPr>
              <w:autoSpaceDE w:val="0"/>
              <w:adjustRightInd w:val="0"/>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w:t>
            </w:r>
          </w:p>
        </w:tc>
        <w:tc>
          <w:tcPr>
            <w:tcW w:w="7707" w:type="dxa"/>
            <w:tcBorders>
              <w:top w:val="single" w:color="auto" w:sz="4" w:space="0"/>
              <w:left w:val="single" w:color="auto" w:sz="4" w:space="0"/>
              <w:bottom w:val="single" w:color="auto" w:sz="4" w:space="0"/>
              <w:right w:val="single" w:color="auto" w:sz="4" w:space="0"/>
            </w:tcBorders>
            <w:noWrap/>
            <w:vAlign w:val="center"/>
          </w:tcPr>
          <w:p w14:paraId="2AE2C261">
            <w:pPr>
              <w:autoSpaceDE w:val="0"/>
              <w:adjustRightInd w:val="0"/>
              <w:snapToGrid w:val="0"/>
              <w:spacing w:line="36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争议的最终解决方式：</w:t>
            </w:r>
            <w:r>
              <w:rPr>
                <w:rFonts w:hint="eastAsia" w:ascii="宋体" w:hAnsi="宋体" w:eastAsia="宋体" w:cs="宋体"/>
                <w:color w:val="auto"/>
                <w:sz w:val="21"/>
                <w:szCs w:val="21"/>
                <w:highlight w:val="none"/>
                <w:u w:val="single"/>
              </w:rPr>
              <w:t>诉讼</w:t>
            </w:r>
          </w:p>
        </w:tc>
      </w:tr>
    </w:tbl>
    <w:p w14:paraId="1C9E64E7">
      <w:pPr>
        <w:adjustRightInd w:val="0"/>
        <w:snapToGrid w:val="0"/>
        <w:spacing w:beforeLines="50" w:afterLines="50"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5450AD8D">
      <w:pPr>
        <w:autoSpaceDE w:val="0"/>
        <w:adjustRightInd w:val="0"/>
        <w:snapToGrid w:val="0"/>
        <w:spacing w:beforeLines="50" w:afterLines="50" w:line="348" w:lineRule="auto"/>
        <w:jc w:val="center"/>
        <w:rPr>
          <w:rFonts w:ascii="宋体" w:hAnsi="宋体"/>
          <w:color w:val="auto"/>
          <w:sz w:val="21"/>
          <w:szCs w:val="21"/>
          <w:highlight w:val="none"/>
        </w:rPr>
      </w:pPr>
      <w:r>
        <w:rPr>
          <w:rFonts w:hint="eastAsia" w:ascii="宋体" w:hAnsi="宋体"/>
          <w:color w:val="auto"/>
          <w:sz w:val="21"/>
          <w:szCs w:val="21"/>
          <w:highlight w:val="none"/>
        </w:rPr>
        <w:br w:type="page"/>
      </w:r>
      <w:r>
        <w:rPr>
          <w:rFonts w:hint="eastAsia" w:ascii="宋体" w:hAnsi="宋体"/>
          <w:b/>
          <w:bCs/>
          <w:color w:val="auto"/>
          <w:sz w:val="24"/>
          <w:szCs w:val="24"/>
          <w:highlight w:val="none"/>
        </w:rPr>
        <w:t>项目专用合同条款</w:t>
      </w:r>
    </w:p>
    <w:p w14:paraId="400B5685">
      <w:pPr>
        <w:keepNext w:val="0"/>
        <w:keepLines w:val="0"/>
        <w:pageBreakBefore w:val="0"/>
        <w:widowControl w:val="0"/>
        <w:kinsoku/>
        <w:wordWrap/>
        <w:overflowPunct/>
        <w:topLinePunct w:val="0"/>
        <w:autoSpaceDE w:val="0"/>
        <w:autoSpaceDN/>
        <w:bidi w:val="0"/>
        <w:adjustRightInd w:val="0"/>
        <w:snapToGrid w:val="0"/>
        <w:spacing w:after="0" w:afterLines="100" w:line="400" w:lineRule="exact"/>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说明：本部分所列的项目专用合同条款是对“公路工程专用合同条款”中规定必须在项目专用合同条款中明确的内容的集中，招标人编制的“项目专用合同条款”不限于本部分所列内容。</w:t>
      </w:r>
    </w:p>
    <w:p w14:paraId="1B0AD8D0">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4.1 承包人的一般义务</w:t>
      </w:r>
    </w:p>
    <w:p w14:paraId="42E1D919">
      <w:pPr>
        <w:keepNext w:val="0"/>
        <w:keepLines w:val="0"/>
        <w:pageBreakBefore w:val="0"/>
        <w:widowControl w:val="0"/>
        <w:kinsoku/>
        <w:wordWrap/>
        <w:overflowPunct/>
        <w:topLinePunct w:val="0"/>
        <w:autoSpaceDE w:val="0"/>
        <w:autoSpaceDN/>
        <w:bidi w:val="0"/>
        <w:adjustRightInd w:val="0"/>
        <w:snapToGrid w:val="0"/>
        <w:spacing w:line="360" w:lineRule="auto"/>
        <w:ind w:firstLine="422" w:firstLineChars="200"/>
        <w:textAlignment w:val="auto"/>
        <w:rPr>
          <w:rFonts w:ascii="宋体" w:hAnsi="宋体"/>
          <w:b/>
          <w:bCs/>
          <w:color w:val="auto"/>
          <w:sz w:val="21"/>
          <w:szCs w:val="21"/>
          <w:highlight w:val="none"/>
        </w:rPr>
      </w:pPr>
      <w:r>
        <w:rPr>
          <w:rFonts w:hint="eastAsia" w:ascii="宋体" w:hAnsi="宋体"/>
          <w:b/>
          <w:bCs/>
          <w:color w:val="auto"/>
          <w:sz w:val="21"/>
          <w:szCs w:val="21"/>
          <w:highlight w:val="none"/>
        </w:rPr>
        <w:t>4.1.10 其他义务</w:t>
      </w:r>
    </w:p>
    <w:p w14:paraId="78077DC0">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ascii="宋体" w:hAnsi="宋体"/>
          <w:color w:val="auto"/>
          <w:sz w:val="21"/>
          <w:szCs w:val="21"/>
          <w:highlight w:val="none"/>
          <w:u w:val="single"/>
        </w:rPr>
      </w:pPr>
      <w:r>
        <w:rPr>
          <w:rFonts w:hint="eastAsia" w:ascii="宋体" w:hAnsi="宋体"/>
          <w:color w:val="auto"/>
          <w:sz w:val="21"/>
          <w:szCs w:val="21"/>
          <w:highlight w:val="none"/>
        </w:rPr>
        <w:t>（4）承包人应履行的其他义务：</w:t>
      </w:r>
      <w:r>
        <w:rPr>
          <w:rFonts w:hint="eastAsia" w:ascii="宋体" w:hAnsi="宋体"/>
          <w:color w:val="auto"/>
          <w:sz w:val="21"/>
          <w:szCs w:val="21"/>
          <w:highlight w:val="none"/>
          <w:u w:val="single"/>
        </w:rPr>
        <w:t>承包人应主动维护发包人和监理人的一切合法权利，不得损害发包人和监理人的利益</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u w:val="single"/>
        </w:rPr>
        <w:tab/>
      </w:r>
    </w:p>
    <w:p w14:paraId="6F3EDE82">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1"/>
          <w:szCs w:val="21"/>
          <w:highlight w:val="none"/>
          <w:u w:val="single"/>
        </w:rPr>
      </w:pPr>
      <w:r>
        <w:rPr>
          <w:rFonts w:hint="eastAsia" w:ascii="宋体" w:hAnsi="宋体"/>
          <w:color w:val="auto"/>
          <w:sz w:val="21"/>
          <w:szCs w:val="21"/>
          <w:highlight w:val="none"/>
        </w:rPr>
        <w:t>4.11 不利物质条件</w:t>
      </w:r>
    </w:p>
    <w:p w14:paraId="0FC2B490">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ascii="宋体" w:hAnsi="宋体"/>
          <w:color w:val="auto"/>
          <w:sz w:val="21"/>
          <w:szCs w:val="21"/>
          <w:highlight w:val="none"/>
          <w:u w:val="single"/>
        </w:rPr>
      </w:pPr>
      <w:r>
        <w:rPr>
          <w:rFonts w:hint="eastAsia" w:ascii="宋体" w:hAnsi="宋体"/>
          <w:color w:val="auto"/>
          <w:sz w:val="21"/>
          <w:szCs w:val="21"/>
          <w:highlight w:val="none"/>
        </w:rPr>
        <w:t>4.11.1 不利物质条件的范围：</w:t>
      </w:r>
      <w:r>
        <w:rPr>
          <w:rFonts w:hint="eastAsia" w:ascii="宋体" w:hAnsi="宋体"/>
          <w:color w:val="auto"/>
          <w:sz w:val="21"/>
          <w:szCs w:val="21"/>
          <w:highlight w:val="none"/>
          <w:u w:val="single"/>
        </w:rPr>
        <w:t xml:space="preserve"> 山体滑坡和泥石流，软弱路基和高填方沉降，地下水影响和溶洞涌流、流沙</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u w:val="single"/>
        </w:rPr>
        <w:t xml:space="preserve"> </w:t>
      </w:r>
    </w:p>
    <w:p w14:paraId="48AC9754">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10.1 合同进度计划</w:t>
      </w:r>
    </w:p>
    <w:p w14:paraId="63B74C33">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承包人编制施工方案的内容：</w:t>
      </w:r>
      <w:r>
        <w:rPr>
          <w:rFonts w:hint="eastAsia" w:ascii="宋体" w:hAnsi="宋体"/>
          <w:color w:val="auto"/>
          <w:sz w:val="21"/>
          <w:szCs w:val="21"/>
          <w:highlight w:val="none"/>
          <w:u w:val="single"/>
        </w:rPr>
        <w:t xml:space="preserve"> 按照部颁公路工程施工技术操作规程和资格后审文件中规定的机械设备型号编制的符合本工程特点的详细的施工组织设计内容实施</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u w:val="single"/>
        </w:rPr>
        <w:tab/>
      </w:r>
    </w:p>
    <w:p w14:paraId="42AB79AF">
      <w:pPr>
        <w:pStyle w:val="15"/>
        <w:keepNext w:val="0"/>
        <w:keepLines w:val="0"/>
        <w:pageBreakBefore w:val="0"/>
        <w:widowControl w:val="0"/>
        <w:kinsoku/>
        <w:wordWrap/>
        <w:overflowPunct/>
        <w:topLinePunct w:val="0"/>
        <w:autoSpaceDE w:val="0"/>
        <w:autoSpaceDN/>
        <w:bidi w:val="0"/>
        <w:spacing w:line="360" w:lineRule="auto"/>
        <w:ind w:firstLine="0" w:firstLineChars="0"/>
        <w:jc w:val="both"/>
        <w:textAlignment w:val="auto"/>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11.4 异常恶劣的气候条件</w:t>
      </w:r>
    </w:p>
    <w:p w14:paraId="36D4FFF5">
      <w:pPr>
        <w:pStyle w:val="15"/>
        <w:keepNext w:val="0"/>
        <w:keepLines w:val="0"/>
        <w:pageBreakBefore w:val="0"/>
        <w:widowControl w:val="0"/>
        <w:kinsoku/>
        <w:wordWrap/>
        <w:overflowPunct/>
        <w:topLinePunct w:val="0"/>
        <w:autoSpaceDE w:val="0"/>
        <w:autoSpaceDN/>
        <w:bidi w:val="0"/>
        <w:spacing w:line="360" w:lineRule="auto"/>
        <w:ind w:firstLine="420" w:firstLineChars="200"/>
        <w:jc w:val="both"/>
        <w:textAlignment w:val="auto"/>
        <w:rPr>
          <w:rFonts w:ascii="宋体" w:hAnsi="宋体" w:eastAsia="宋体"/>
          <w:b w:val="0"/>
          <w:bCs/>
          <w:color w:val="auto"/>
          <w:sz w:val="21"/>
          <w:szCs w:val="21"/>
          <w:highlight w:val="none"/>
          <w:u w:val="single"/>
        </w:rPr>
      </w:pPr>
      <w:r>
        <w:rPr>
          <w:rFonts w:hint="eastAsia" w:ascii="宋体" w:hAnsi="宋体" w:eastAsia="宋体"/>
          <w:b w:val="0"/>
          <w:bCs/>
          <w:color w:val="auto"/>
          <w:sz w:val="21"/>
          <w:szCs w:val="21"/>
          <w:highlight w:val="none"/>
        </w:rPr>
        <w:t>异常恶劣的气候条件的范围：</w:t>
      </w:r>
      <w:r>
        <w:rPr>
          <w:rFonts w:hint="eastAsia" w:ascii="宋体" w:hAnsi="宋体" w:eastAsia="宋体"/>
          <w:b w:val="0"/>
          <w:bCs/>
          <w:color w:val="auto"/>
          <w:sz w:val="21"/>
          <w:szCs w:val="21"/>
          <w:highlight w:val="none"/>
          <w:u w:val="single"/>
        </w:rPr>
        <w:t xml:space="preserve"> / </w:t>
      </w:r>
    </w:p>
    <w:p w14:paraId="5866B130">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12.1 承包人暂停</w:t>
      </w:r>
      <w:r>
        <w:rPr>
          <w:rFonts w:hint="eastAsia" w:ascii="宋体" w:hAnsi="宋体"/>
          <w:color w:val="auto"/>
          <w:sz w:val="21"/>
          <w:szCs w:val="21"/>
          <w:highlight w:val="none"/>
          <w:lang w:eastAsia="zh-CN"/>
        </w:rPr>
        <w:t>施</w:t>
      </w:r>
      <w:r>
        <w:rPr>
          <w:rFonts w:hint="eastAsia" w:ascii="宋体" w:hAnsi="宋体"/>
          <w:color w:val="auto"/>
          <w:sz w:val="21"/>
          <w:szCs w:val="21"/>
          <w:highlight w:val="none"/>
        </w:rPr>
        <w:t xml:space="preserve">工的责任  </w:t>
      </w:r>
    </w:p>
    <w:p w14:paraId="5BE1D3A3">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rPr>
        <w:t>12.1（6）由承包人承担的其他暂停施工</w:t>
      </w:r>
      <w:r>
        <w:rPr>
          <w:rFonts w:hint="eastAsia" w:ascii="宋体" w:hAnsi="宋体"/>
          <w:color w:val="auto"/>
          <w:sz w:val="21"/>
          <w:szCs w:val="21"/>
          <w:highlight w:val="none"/>
          <w:u w:val="single"/>
        </w:rPr>
        <w:t>影响分项工程进度计划的按照11.5项处罚</w:t>
      </w:r>
      <w:r>
        <w:rPr>
          <w:rFonts w:hint="eastAsia" w:ascii="宋体" w:hAnsi="宋体"/>
          <w:color w:val="auto"/>
          <w:sz w:val="21"/>
          <w:szCs w:val="21"/>
          <w:highlight w:val="none"/>
          <w:u w:val="single"/>
          <w:lang w:eastAsia="zh-CN"/>
        </w:rPr>
        <w:t>。</w:t>
      </w:r>
    </w:p>
    <w:p w14:paraId="559A2181">
      <w:pPr>
        <w:pStyle w:val="15"/>
        <w:keepNext w:val="0"/>
        <w:keepLines w:val="0"/>
        <w:pageBreakBefore w:val="0"/>
        <w:widowControl w:val="0"/>
        <w:tabs>
          <w:tab w:val="center" w:pos="4538"/>
        </w:tabs>
        <w:kinsoku/>
        <w:wordWrap/>
        <w:overflowPunct/>
        <w:topLinePunct w:val="0"/>
        <w:autoSpaceDE w:val="0"/>
        <w:autoSpaceDN/>
        <w:bidi w:val="0"/>
        <w:spacing w:line="360" w:lineRule="auto"/>
        <w:ind w:firstLine="0" w:firstLineChars="0"/>
        <w:jc w:val="both"/>
        <w:textAlignment w:val="auto"/>
        <w:rPr>
          <w:rFonts w:hint="eastAsia" w:ascii="宋体" w:hAnsi="宋体" w:eastAsia="宋体"/>
          <w:b w:val="0"/>
          <w:bCs/>
          <w:color w:val="auto"/>
          <w:sz w:val="21"/>
          <w:szCs w:val="21"/>
          <w:highlight w:val="none"/>
          <w:lang w:eastAsia="zh-CN"/>
        </w:rPr>
      </w:pPr>
      <w:r>
        <w:rPr>
          <w:rFonts w:hint="eastAsia" w:ascii="宋体" w:hAnsi="宋体" w:eastAsia="宋体"/>
          <w:b w:val="0"/>
          <w:bCs/>
          <w:color w:val="auto"/>
          <w:sz w:val="21"/>
          <w:szCs w:val="21"/>
          <w:highlight w:val="none"/>
        </w:rPr>
        <w:t>17.1 计量</w:t>
      </w:r>
      <w:r>
        <w:rPr>
          <w:rFonts w:hint="eastAsia" w:ascii="宋体" w:hAnsi="宋体" w:eastAsia="宋体"/>
          <w:b w:val="0"/>
          <w:bCs/>
          <w:color w:val="auto"/>
          <w:sz w:val="21"/>
          <w:szCs w:val="21"/>
          <w:highlight w:val="none"/>
          <w:lang w:eastAsia="zh-CN"/>
        </w:rPr>
        <w:tab/>
      </w:r>
    </w:p>
    <w:p w14:paraId="32F67575">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auto"/>
          <w:sz w:val="21"/>
          <w:szCs w:val="21"/>
          <w:highlight w:val="none"/>
        </w:rPr>
        <w:t>17.1.5 本项目工程量清单中总额价子目的支付原</w:t>
      </w:r>
      <w:r>
        <w:rPr>
          <w:rFonts w:hint="eastAsia" w:ascii="宋体" w:hAnsi="宋体"/>
          <w:color w:val="000000" w:themeColor="text1"/>
          <w:sz w:val="21"/>
          <w:szCs w:val="21"/>
          <w:highlight w:val="none"/>
          <w14:textFill>
            <w14:solidFill>
              <w14:schemeClr w14:val="tx1"/>
            </w14:solidFill>
          </w14:textFill>
        </w:rPr>
        <w:t>则和支付进度：</w:t>
      </w:r>
      <w:r>
        <w:rPr>
          <w:rFonts w:hint="eastAsia" w:ascii="宋体" w:hAnsi="宋体"/>
          <w:color w:val="000000" w:themeColor="text1"/>
          <w:sz w:val="21"/>
          <w:szCs w:val="21"/>
          <w:highlight w:val="none"/>
          <w:u w:val="single"/>
          <w14:textFill>
            <w14:solidFill>
              <w14:schemeClr w14:val="tx1"/>
            </w14:solidFill>
          </w14:textFill>
        </w:rPr>
        <w:t>按通用条款</w:t>
      </w:r>
      <w:r>
        <w:rPr>
          <w:rFonts w:hint="eastAsia" w:ascii="宋体" w:hAnsi="宋体"/>
          <w:color w:val="000000" w:themeColor="text1"/>
          <w:sz w:val="21"/>
          <w:szCs w:val="21"/>
          <w:highlight w:val="none"/>
          <w:u w:val="single"/>
          <w:lang w:eastAsia="zh-CN"/>
          <w14:textFill>
            <w14:solidFill>
              <w14:schemeClr w14:val="tx1"/>
            </w14:solidFill>
          </w14:textFill>
        </w:rPr>
        <w:t>。</w:t>
      </w:r>
    </w:p>
    <w:p w14:paraId="3290EEFF">
      <w:pPr>
        <w:pStyle w:val="15"/>
        <w:keepNext w:val="0"/>
        <w:keepLines w:val="0"/>
        <w:pageBreakBefore w:val="0"/>
        <w:widowControl w:val="0"/>
        <w:kinsoku/>
        <w:wordWrap/>
        <w:overflowPunct/>
        <w:topLinePunct w:val="0"/>
        <w:autoSpaceDE w:val="0"/>
        <w:autoSpaceDN/>
        <w:bidi w:val="0"/>
        <w:spacing w:line="360" w:lineRule="auto"/>
        <w:ind w:firstLine="0" w:firstLineChars="0"/>
        <w:jc w:val="both"/>
        <w:textAlignment w:val="auto"/>
        <w:rPr>
          <w:rFonts w:hint="eastAsia" w:ascii="宋体" w:hAnsi="宋体"/>
          <w:color w:val="000000" w:themeColor="text1"/>
          <w:sz w:val="21"/>
          <w:szCs w:val="21"/>
          <w:highlight w:val="yellow"/>
          <w:lang w:val="en-US" w:eastAsia="zh-CN"/>
          <w14:textFill>
            <w14:solidFill>
              <w14:schemeClr w14:val="tx1"/>
            </w14:solidFill>
          </w14:textFill>
        </w:rPr>
      </w:pPr>
      <w:r>
        <w:rPr>
          <w:rFonts w:hint="eastAsia" w:ascii="宋体" w:hAnsi="宋体" w:eastAsia="宋体"/>
          <w:b w:val="0"/>
          <w:bCs/>
          <w:color w:val="000000" w:themeColor="text1"/>
          <w:sz w:val="21"/>
          <w:szCs w:val="21"/>
          <w:highlight w:val="none"/>
          <w14:textFill>
            <w14:solidFill>
              <w14:schemeClr w14:val="tx1"/>
            </w14:solidFill>
          </w14:textFill>
        </w:rPr>
        <w:t>17.3 工程进度付款</w:t>
      </w:r>
    </w:p>
    <w:p w14:paraId="3EC31341">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17.3.5 农民工工资保证金的缴存时间：</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u w:val="single"/>
          <w:lang w:eastAsia="zh-CN"/>
          <w14:textFill>
            <w14:solidFill>
              <w14:schemeClr w14:val="tx1"/>
            </w14:solidFill>
          </w14:textFill>
        </w:rPr>
        <w:t>开工报告批复之日起20个工作日内</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w:t>
      </w:r>
    </w:p>
    <w:p w14:paraId="7F73C7EE">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hint="default" w:ascii="宋体" w:hAnsi="宋体" w:eastAsia="宋体"/>
          <w:color w:val="000000" w:themeColor="text1"/>
          <w:sz w:val="21"/>
          <w:szCs w:val="21"/>
          <w:highlight w:val="none"/>
          <w:u w:val="singl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农民工工资保证金的缴存金额：</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 签约合同价的2%。 </w:t>
      </w:r>
    </w:p>
    <w:p w14:paraId="340CDAA1">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农民工工资保证金的扣留条件：</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u w:val="single"/>
          <w:lang w:eastAsia="zh-CN"/>
          <w14:textFill>
            <w14:solidFill>
              <w14:schemeClr w14:val="tx1"/>
            </w14:solidFill>
          </w14:textFill>
        </w:rPr>
        <w:t>存在拖欠农民工工资的情况。</w:t>
      </w:r>
      <w:r>
        <w:rPr>
          <w:rFonts w:hint="eastAsia" w:ascii="宋体" w:hAnsi="宋体"/>
          <w:color w:val="000000" w:themeColor="text1"/>
          <w:sz w:val="21"/>
          <w:szCs w:val="21"/>
          <w:highlight w:val="none"/>
          <w:u w:val="single"/>
          <w14:textFill>
            <w14:solidFill>
              <w14:schemeClr w14:val="tx1"/>
            </w14:solidFill>
          </w14:textFill>
        </w:rPr>
        <w:t xml:space="preserve"> </w:t>
      </w:r>
    </w:p>
    <w:p w14:paraId="534CA7E2">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hint="eastAsia" w:ascii="宋体" w:hAnsi="宋体"/>
          <w:color w:val="auto"/>
          <w:sz w:val="21"/>
          <w:szCs w:val="21"/>
          <w:highlight w:val="none"/>
          <w:u w:val="single"/>
        </w:rPr>
      </w:pPr>
      <w:r>
        <w:rPr>
          <w:rFonts w:hint="eastAsia" w:ascii="宋体" w:hAnsi="宋体"/>
          <w:color w:val="000000" w:themeColor="text1"/>
          <w:sz w:val="21"/>
          <w:szCs w:val="21"/>
          <w:highlight w:val="none"/>
          <w14:textFill>
            <w14:solidFill>
              <w14:schemeClr w14:val="tx1"/>
            </w14:solidFill>
          </w14:textFill>
        </w:rPr>
        <w:t>农民工工资保证金的返还时间：</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u w:val="single"/>
          <w:lang w:eastAsia="zh-CN"/>
          <w14:textFill>
            <w14:solidFill>
              <w14:schemeClr w14:val="tx1"/>
            </w14:solidFill>
          </w14:textFill>
        </w:rPr>
        <w:t>按照</w:t>
      </w:r>
      <w:r>
        <w:rPr>
          <w:rFonts w:hint="eastAsia" w:ascii="宋体" w:hAnsi="宋体"/>
          <w:color w:val="000000" w:themeColor="text1"/>
          <w:sz w:val="21"/>
          <w:szCs w:val="21"/>
          <w:highlight w:val="none"/>
          <w:u w:val="single"/>
          <w14:textFill>
            <w14:solidFill>
              <w14:schemeClr w14:val="tx1"/>
            </w14:solidFill>
          </w14:textFill>
        </w:rPr>
        <w:t>人社部发〔2021〕65号</w:t>
      </w:r>
      <w:r>
        <w:rPr>
          <w:rFonts w:hint="eastAsia" w:ascii="宋体" w:hAnsi="宋体"/>
          <w:color w:val="000000" w:themeColor="text1"/>
          <w:sz w:val="21"/>
          <w:szCs w:val="21"/>
          <w:highlight w:val="none"/>
          <w:u w:val="single"/>
          <w:lang w:eastAsia="zh-CN"/>
          <w14:textFill>
            <w14:solidFill>
              <w14:schemeClr w14:val="tx1"/>
            </w14:solidFill>
          </w14:textFill>
        </w:rPr>
        <w:t>《工程建设领域农民</w:t>
      </w:r>
      <w:r>
        <w:rPr>
          <w:rFonts w:hint="eastAsia" w:ascii="宋体" w:hAnsi="宋体"/>
          <w:color w:val="auto"/>
          <w:sz w:val="21"/>
          <w:szCs w:val="21"/>
          <w:highlight w:val="none"/>
          <w:u w:val="single"/>
          <w:lang w:eastAsia="zh-CN"/>
        </w:rPr>
        <w:t>工工资保证金规定》执行。</w:t>
      </w:r>
      <w:r>
        <w:rPr>
          <w:rFonts w:hint="eastAsia" w:ascii="宋体" w:hAnsi="宋体"/>
          <w:color w:val="auto"/>
          <w:sz w:val="21"/>
          <w:szCs w:val="21"/>
          <w:highlight w:val="none"/>
          <w:u w:val="single"/>
        </w:rPr>
        <w:t xml:space="preserve"> </w:t>
      </w:r>
    </w:p>
    <w:p w14:paraId="6DBFA3FE">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21.1不可抗力的确认</w:t>
      </w:r>
    </w:p>
    <w:p w14:paraId="5C7BDCAB">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ascii="宋体" w:hAnsi="宋体"/>
          <w:color w:val="auto"/>
          <w:sz w:val="21"/>
          <w:szCs w:val="21"/>
          <w:highlight w:val="none"/>
          <w:u w:val="single"/>
        </w:rPr>
      </w:pPr>
      <w:r>
        <w:rPr>
          <w:rFonts w:hint="eastAsia" w:ascii="宋体" w:hAnsi="宋体"/>
          <w:color w:val="auto"/>
          <w:sz w:val="21"/>
          <w:szCs w:val="21"/>
          <w:highlight w:val="none"/>
        </w:rPr>
        <w:t>21.1.1（6）不可抗力的其他形式：</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w:t>
      </w:r>
      <w:r>
        <w:rPr>
          <w:rFonts w:hint="eastAsia" w:ascii="宋体" w:hAnsi="宋体"/>
          <w:color w:val="auto"/>
          <w:sz w:val="21"/>
          <w:szCs w:val="21"/>
          <w:highlight w:val="none"/>
          <w:u w:val="single"/>
        </w:rPr>
        <w:tab/>
      </w:r>
    </w:p>
    <w:p w14:paraId="2D37458F">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22.1 承包人违约</w:t>
      </w:r>
    </w:p>
    <w:p w14:paraId="6006DA02">
      <w:pPr>
        <w:spacing w:line="400" w:lineRule="exact"/>
        <w:ind w:right="120" w:firstLine="420" w:firstLineChars="200"/>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22.1.2 当承包人发生第22.1.1项约定的违约情况时，发包人有权向承包人课以违约金，具体约定如下：</w:t>
      </w:r>
      <w:r>
        <w:rPr>
          <w:rFonts w:hint="eastAsia" w:ascii="宋体" w:hAnsi="宋体" w:cs="Times New Roman"/>
          <w:color w:val="auto"/>
          <w:sz w:val="21"/>
          <w:szCs w:val="21"/>
          <w:highlight w:val="none"/>
        </w:rPr>
        <w:t>无论发包人是否解除合同，发包人均有权向承包人课以项目专用合同条款中规定的违约金，</w:t>
      </w:r>
      <w:r>
        <w:rPr>
          <w:rFonts w:hint="eastAsia" w:ascii="宋体" w:hAnsi="宋体" w:cs="Times New Roman"/>
          <w:color w:val="000000" w:themeColor="text1"/>
          <w:sz w:val="21"/>
          <w:szCs w:val="21"/>
          <w:highlight w:val="none"/>
          <w14:textFill>
            <w14:solidFill>
              <w14:schemeClr w14:val="tx1"/>
            </w14:solidFill>
          </w14:textFill>
        </w:rPr>
        <w:t>并由发包人将其违约行为上报省级交通运输主管部门，作为不良记录纳入公路建设市场信用信息管理系统。</w:t>
      </w:r>
    </w:p>
    <w:p w14:paraId="101A8172">
      <w:pPr>
        <w:keepNext w:val="0"/>
        <w:keepLines w:val="0"/>
        <w:pageBreakBefore w:val="0"/>
        <w:widowControl w:val="0"/>
        <w:kinsoku/>
        <w:wordWrap/>
        <w:overflowPunct/>
        <w:topLinePunct w:val="0"/>
        <w:autoSpaceDE w:val="0"/>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22.2 发包人违约</w:t>
      </w:r>
    </w:p>
    <w:p w14:paraId="7315D8B6">
      <w:pPr>
        <w:keepNext w:val="0"/>
        <w:keepLines w:val="0"/>
        <w:pageBreakBefore w:val="0"/>
        <w:widowControl w:val="0"/>
        <w:kinsoku/>
        <w:wordWrap/>
        <w:overflowPunct/>
        <w:topLinePunct w:val="0"/>
        <w:autoSpaceDE w:val="0"/>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22.2.2 发包人无正当理由不按时返还履约保证金、质量保证金或农民工工资保证金的，发包人应向承包人支付的违约金如下：  </w:t>
      </w:r>
      <w:r>
        <w:rPr>
          <w:rFonts w:hint="eastAsia" w:ascii="宋体" w:hAnsi="宋体"/>
          <w:color w:val="auto"/>
          <w:sz w:val="21"/>
          <w:szCs w:val="21"/>
          <w:highlight w:val="none"/>
          <w:u w:val="single"/>
        </w:rPr>
        <w:tab/>
      </w:r>
      <w:r>
        <w:rPr>
          <w:rFonts w:hint="eastAsia" w:ascii="宋体" w:hAnsi="宋体"/>
          <w:color w:val="auto"/>
          <w:sz w:val="21"/>
          <w:szCs w:val="21"/>
          <w:highlight w:val="none"/>
          <w:u w:val="single"/>
        </w:rPr>
        <w:t>/</w:t>
      </w:r>
      <w:r>
        <w:rPr>
          <w:rFonts w:hint="eastAsia" w:ascii="宋体" w:hAnsi="宋体"/>
          <w:color w:val="auto"/>
          <w:sz w:val="21"/>
          <w:szCs w:val="21"/>
          <w:highlight w:val="none"/>
          <w:u w:val="single"/>
        </w:rPr>
        <w:tab/>
      </w:r>
    </w:p>
    <w:p w14:paraId="7FC21A06">
      <w:pPr>
        <w:pStyle w:val="18"/>
        <w:snapToGrid w:val="0"/>
        <w:spacing w:line="300" w:lineRule="auto"/>
        <w:jc w:val="center"/>
        <w:outlineLvl w:val="1"/>
        <w:rPr>
          <w:rFonts w:hAnsi="宋体"/>
          <w:b/>
          <w:bCs/>
          <w:color w:val="auto"/>
          <w:sz w:val="21"/>
          <w:szCs w:val="21"/>
          <w:highlight w:val="none"/>
        </w:rPr>
      </w:pPr>
      <w:r>
        <w:rPr>
          <w:rFonts w:hint="eastAsia" w:hAnsi="宋体"/>
          <w:bCs/>
          <w:color w:val="auto"/>
          <w:sz w:val="21"/>
          <w:szCs w:val="21"/>
          <w:highlight w:val="none"/>
        </w:rPr>
        <w:br w:type="page"/>
      </w:r>
      <w:bookmarkStart w:id="530" w:name="_Toc391"/>
      <w:bookmarkEnd w:id="530"/>
      <w:bookmarkStart w:id="531" w:name="_Toc16683"/>
      <w:r>
        <w:rPr>
          <w:rStyle w:val="39"/>
          <w:rFonts w:hint="eastAsia" w:ascii="宋体" w:hAnsi="宋体" w:eastAsia="宋体"/>
          <w:b/>
          <w:bCs/>
          <w:color w:val="auto"/>
          <w:sz w:val="24"/>
          <w:szCs w:val="24"/>
          <w:highlight w:val="none"/>
        </w:rPr>
        <w:t>第三节  合同附件格式</w:t>
      </w:r>
      <w:bookmarkEnd w:id="531"/>
    </w:p>
    <w:p w14:paraId="65E0A5E0">
      <w:pPr>
        <w:pStyle w:val="18"/>
        <w:snapToGrid w:val="0"/>
        <w:spacing w:line="300" w:lineRule="auto"/>
        <w:rPr>
          <w:rFonts w:ascii="宋体" w:hAnsi="宋体"/>
          <w:color w:val="auto"/>
          <w:sz w:val="21"/>
          <w:szCs w:val="21"/>
          <w:highlight w:val="none"/>
        </w:rPr>
      </w:pPr>
      <w:r>
        <w:rPr>
          <w:rFonts w:hint="eastAsia" w:hAnsi="宋体"/>
          <w:b/>
          <w:bCs/>
          <w:color w:val="auto"/>
          <w:sz w:val="21"/>
          <w:szCs w:val="21"/>
          <w:highlight w:val="none"/>
        </w:rPr>
        <w:t xml:space="preserve"> </w:t>
      </w:r>
      <w:r>
        <w:rPr>
          <w:rFonts w:hint="eastAsia" w:ascii="宋体" w:hAnsi="宋体"/>
          <w:b/>
          <w:bCs/>
          <w:color w:val="auto"/>
          <w:sz w:val="21"/>
          <w:szCs w:val="21"/>
          <w:highlight w:val="none"/>
        </w:rPr>
        <w:t>附件一 合同协议书</w:t>
      </w:r>
    </w:p>
    <w:p w14:paraId="3D8F03C3">
      <w:pPr>
        <w:keepNext w:val="0"/>
        <w:keepLines w:val="0"/>
        <w:pageBreakBefore w:val="0"/>
        <w:widowControl w:val="0"/>
        <w:kinsoku/>
        <w:wordWrap/>
        <w:overflowPunct/>
        <w:topLinePunct w:val="0"/>
        <w:autoSpaceDE/>
        <w:autoSpaceDN/>
        <w:bidi w:val="0"/>
        <w:adjustRightInd w:val="0"/>
        <w:snapToGrid w:val="0"/>
        <w:spacing w:beforeLines="100" w:afterLines="100" w:line="360" w:lineRule="auto"/>
        <w:jc w:val="center"/>
        <w:textAlignment w:val="auto"/>
        <w:rPr>
          <w:rFonts w:ascii="宋体" w:hAnsi="宋体"/>
          <w:b/>
          <w:bCs/>
          <w:color w:val="auto"/>
          <w:sz w:val="21"/>
          <w:szCs w:val="21"/>
          <w:highlight w:val="none"/>
        </w:rPr>
      </w:pPr>
      <w:r>
        <w:rPr>
          <w:rFonts w:hint="eastAsia" w:ascii="宋体" w:hAnsi="宋体"/>
          <w:b/>
          <w:bCs/>
          <w:color w:val="auto"/>
          <w:sz w:val="21"/>
          <w:szCs w:val="21"/>
          <w:highlight w:val="none"/>
        </w:rPr>
        <w:t>合同协议书</w:t>
      </w:r>
    </w:p>
    <w:p w14:paraId="79D4FC8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（发包人名称，以下简称“发包人”）为实施</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（项目名称），已接受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（承包人名称，以下简称“承包人”）对该项目</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标段施工的投标。发包人和承包人共同达成如下协议。</w:t>
      </w:r>
    </w:p>
    <w:p w14:paraId="3A9DBF3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标段由K</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至K</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十</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，长约</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km，公路等级为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，设计速度为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路面。有</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立交</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处；特大桥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座，计长</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m,大中桥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座，计长</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m；隧道</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座，计长</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m以及其他构造物工程等。</w:t>
      </w:r>
    </w:p>
    <w:p w14:paraId="31AE30B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2．下列文件应视为构成合同文件的组成部分：</w:t>
      </w:r>
    </w:p>
    <w:p w14:paraId="3F85995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（1）本协议书及各种合同附件（含评标期间和合同谈判过程中的澄清文件和补充资料）；</w:t>
      </w:r>
    </w:p>
    <w:p w14:paraId="1C72FC49">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（2）中标通知书；</w:t>
      </w:r>
    </w:p>
    <w:p w14:paraId="7628EC66">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（3）投标函及投标函附录；</w:t>
      </w:r>
    </w:p>
    <w:p w14:paraId="079640DD">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（4）项目专用合同条款；</w:t>
      </w:r>
    </w:p>
    <w:p w14:paraId="3D1DC551">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（5）公路工程专用合同条款；</w:t>
      </w:r>
    </w:p>
    <w:p w14:paraId="119B21AB">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（6）通用合同条款；</w:t>
      </w:r>
    </w:p>
    <w:p w14:paraId="2613B92C">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（7）工程量清单计量规则；</w:t>
      </w:r>
    </w:p>
    <w:p w14:paraId="79FD3812">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（8）技术规范；</w:t>
      </w:r>
    </w:p>
    <w:p w14:paraId="0242052E">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（9）图纸；</w:t>
      </w:r>
    </w:p>
    <w:p w14:paraId="7CD64726">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（10）已标价工程量清单；</w:t>
      </w:r>
    </w:p>
    <w:p w14:paraId="7D8E7F70">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（11）承包人有关人员、设备投入的承诺及投标文件中的施工组织设计；</w:t>
      </w:r>
    </w:p>
    <w:p w14:paraId="77A8CC82">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（12）其他合同文件。</w:t>
      </w:r>
    </w:p>
    <w:p w14:paraId="4830AB26">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上述合同文件互相补充和解释。如果合同文件之间存在矛盾或不一致之处，以上述文件的排列顺序在先者为准。</w:t>
      </w:r>
    </w:p>
    <w:p w14:paraId="7CEB4791">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3．根据工程量清单所列的预计数量和单价或总额价计算的签约合同价：人民币（大写）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35A3005">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4．承包人项目经理：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。承包人项目总工：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180B62B1">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5．工程质量符合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标准。工程安全目标：</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54EE8499">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6．承包人承诺按合同约定承担工程的实施、完成及缺陷修复。</w:t>
      </w:r>
    </w:p>
    <w:p w14:paraId="21994560">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7．发包人承诺按合同约定的条件、时间和方式向承包人支付合同价款。</w:t>
      </w:r>
    </w:p>
    <w:p w14:paraId="387978AC">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8．承包人应按照监理人指示开工，工期为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日历天。</w:t>
      </w:r>
    </w:p>
    <w:p w14:paraId="3EC790C4">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9．本协议书在承包人提供履约担保后，由双方法定代表人或其委托代理人签署与加盖公章后生效。全部工程完工后经交工验收合格、缺陷责任期满签发缺陷责任终止证书后失效。</w:t>
      </w:r>
    </w:p>
    <w:p w14:paraId="43696A3B">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10．本协议书正本二份、副本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份，合同双方各执正本一份，副本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份，当正本与副本的内容不一致时，以正本为准。</w:t>
      </w:r>
    </w:p>
    <w:p w14:paraId="404E89FA">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11．合同未尽事宜，双方另行签订补充协议。补充协议是合同的组成部分。</w:t>
      </w:r>
    </w:p>
    <w:p w14:paraId="6BF6639E">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627C342B">
      <w:pPr>
        <w:autoSpaceDE w:val="0"/>
        <w:adjustRightInd w:val="0"/>
        <w:snapToGrid w:val="0"/>
        <w:spacing w:line="360" w:lineRule="auto"/>
        <w:ind w:right="-693" w:rightChars="-330"/>
        <w:rPr>
          <w:rFonts w:ascii="宋体" w:hAnsi="宋体"/>
          <w:color w:val="auto"/>
          <w:sz w:val="21"/>
          <w:szCs w:val="21"/>
          <w:highlight w:val="none"/>
        </w:rPr>
      </w:pPr>
      <w:r>
        <w:rPr>
          <w:rFonts w:hint="eastAsia" w:ascii="宋体" w:hAnsi="宋体"/>
          <w:color w:val="auto"/>
          <w:sz w:val="21"/>
          <w:szCs w:val="21"/>
          <w:highlight w:val="none"/>
        </w:rPr>
        <w:t>发包人：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（盖单位公章）  承包人：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（盖单位公章）</w:t>
      </w:r>
    </w:p>
    <w:p w14:paraId="1E27B01F">
      <w:pPr>
        <w:autoSpaceDE w:val="0"/>
        <w:adjustRightInd w:val="0"/>
        <w:snapToGrid w:val="0"/>
        <w:spacing w:line="360" w:lineRule="auto"/>
        <w:rPr>
          <w:rFonts w:ascii="宋体" w:hAnsi="宋体"/>
          <w:color w:val="auto"/>
          <w:sz w:val="21"/>
          <w:szCs w:val="21"/>
          <w:highlight w:val="none"/>
        </w:rPr>
      </w:pPr>
      <w:r>
        <w:rPr>
          <w:rFonts w:hint="eastAsia" w:ascii="宋体" w:hAnsi="宋体"/>
          <w:color w:val="auto"/>
          <w:sz w:val="21"/>
          <w:szCs w:val="21"/>
          <w:highlight w:val="none"/>
        </w:rPr>
        <w:t>法定代表人或其委托代理人：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（签字）  法定代表人或其委托代理人：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（签字）</w:t>
      </w:r>
    </w:p>
    <w:p w14:paraId="72127A05">
      <w:pPr>
        <w:autoSpaceDE w:val="0"/>
        <w:adjustRightInd w:val="0"/>
        <w:snapToGrid w:val="0"/>
        <w:spacing w:line="360" w:lineRule="auto"/>
        <w:ind w:firstLine="1470" w:firstLineChars="700"/>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w:t>
      </w:r>
    </w:p>
    <w:p w14:paraId="0977F961">
      <w:pPr>
        <w:adjustRightInd w:val="0"/>
        <w:snapToGrid w:val="0"/>
        <w:spacing w:line="360" w:lineRule="auto"/>
        <w:ind w:firstLine="420" w:firstLineChars="200"/>
        <w:rPr>
          <w:rFonts w:ascii="宋体" w:hAnsi="宋体"/>
          <w:color w:val="auto"/>
          <w:sz w:val="21"/>
          <w:szCs w:val="21"/>
          <w:highlight w:val="none"/>
        </w:rPr>
      </w:pPr>
    </w:p>
    <w:p w14:paraId="0A3DB107">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29BF1DFD">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24BC639F">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44A5A736">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338F1F2C">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6E76FA72">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7A146F70">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3DAD0E98">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0BD31FBC">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00C5F120">
      <w:pPr>
        <w:adjustRightInd w:val="0"/>
        <w:snapToGrid w:val="0"/>
        <w:spacing w:line="360" w:lineRule="auto"/>
        <w:rPr>
          <w:rFonts w:hint="eastAsia" w:ascii="宋体" w:hAnsi="宋体"/>
          <w:color w:val="auto"/>
          <w:sz w:val="21"/>
          <w:szCs w:val="21"/>
          <w:highlight w:val="none"/>
        </w:rPr>
      </w:pPr>
    </w:p>
    <w:p w14:paraId="52689F85">
      <w:pPr>
        <w:adjustRightInd w:val="0"/>
        <w:snapToGrid w:val="0"/>
        <w:spacing w:line="360" w:lineRule="auto"/>
        <w:rPr>
          <w:rFonts w:hint="eastAsia" w:ascii="宋体" w:hAnsi="宋体"/>
          <w:color w:val="auto"/>
          <w:sz w:val="21"/>
          <w:szCs w:val="21"/>
          <w:highlight w:val="none"/>
        </w:rPr>
      </w:pPr>
    </w:p>
    <w:p w14:paraId="1DF203E7">
      <w:pPr>
        <w:adjustRightInd w:val="0"/>
        <w:snapToGrid w:val="0"/>
        <w:spacing w:line="360" w:lineRule="auto"/>
        <w:rPr>
          <w:rFonts w:hint="eastAsia" w:ascii="宋体" w:hAnsi="宋体"/>
          <w:color w:val="auto"/>
          <w:sz w:val="21"/>
          <w:szCs w:val="21"/>
          <w:highlight w:val="none"/>
        </w:rPr>
      </w:pPr>
    </w:p>
    <w:p w14:paraId="66F45733">
      <w:pPr>
        <w:adjustRightInd w:val="0"/>
        <w:snapToGrid w:val="0"/>
        <w:spacing w:line="360" w:lineRule="auto"/>
        <w:rPr>
          <w:rFonts w:hint="eastAsia" w:ascii="宋体" w:hAnsi="宋体"/>
          <w:color w:val="auto"/>
          <w:sz w:val="21"/>
          <w:szCs w:val="21"/>
          <w:highlight w:val="none"/>
        </w:rPr>
      </w:pPr>
    </w:p>
    <w:p w14:paraId="14012A74">
      <w:pPr>
        <w:adjustRightInd w:val="0"/>
        <w:snapToGrid w:val="0"/>
        <w:spacing w:line="360" w:lineRule="auto"/>
        <w:rPr>
          <w:rFonts w:hint="eastAsia" w:ascii="宋体" w:hAnsi="宋体"/>
          <w:color w:val="auto"/>
          <w:sz w:val="21"/>
          <w:szCs w:val="21"/>
          <w:highlight w:val="none"/>
        </w:rPr>
      </w:pPr>
    </w:p>
    <w:p w14:paraId="07AE05A2">
      <w:pPr>
        <w:adjustRightInd w:val="0"/>
        <w:snapToGrid w:val="0"/>
        <w:spacing w:line="360" w:lineRule="auto"/>
        <w:rPr>
          <w:rFonts w:hint="eastAsia" w:ascii="宋体" w:hAnsi="宋体"/>
          <w:color w:val="auto"/>
          <w:sz w:val="21"/>
          <w:szCs w:val="21"/>
          <w:highlight w:val="none"/>
        </w:rPr>
      </w:pPr>
    </w:p>
    <w:p w14:paraId="793633FC">
      <w:pPr>
        <w:adjustRightInd w:val="0"/>
        <w:snapToGrid w:val="0"/>
        <w:spacing w:line="360" w:lineRule="auto"/>
        <w:rPr>
          <w:rFonts w:hint="eastAsia" w:ascii="宋体" w:hAnsi="宋体"/>
          <w:color w:val="auto"/>
          <w:sz w:val="21"/>
          <w:szCs w:val="21"/>
          <w:highlight w:val="none"/>
        </w:rPr>
      </w:pPr>
    </w:p>
    <w:p w14:paraId="37A14332">
      <w:pPr>
        <w:adjustRightInd w:val="0"/>
        <w:snapToGrid w:val="0"/>
        <w:spacing w:line="360" w:lineRule="auto"/>
        <w:rPr>
          <w:rFonts w:hint="eastAsia" w:ascii="宋体" w:hAnsi="宋体"/>
          <w:color w:val="auto"/>
          <w:sz w:val="21"/>
          <w:szCs w:val="21"/>
          <w:highlight w:val="none"/>
        </w:rPr>
      </w:pPr>
    </w:p>
    <w:p w14:paraId="6A2FF06E">
      <w:pPr>
        <w:adjustRightInd w:val="0"/>
        <w:snapToGrid w:val="0"/>
        <w:spacing w:line="360" w:lineRule="auto"/>
        <w:rPr>
          <w:rFonts w:hint="eastAsia" w:ascii="宋体" w:hAnsi="宋体"/>
          <w:color w:val="auto"/>
          <w:sz w:val="21"/>
          <w:szCs w:val="21"/>
          <w:highlight w:val="none"/>
        </w:rPr>
      </w:pPr>
    </w:p>
    <w:p w14:paraId="7D47C469">
      <w:pPr>
        <w:adjustRightInd w:val="0"/>
        <w:snapToGrid w:val="0"/>
        <w:spacing w:line="360" w:lineRule="auto"/>
        <w:rPr>
          <w:rFonts w:hint="eastAsia" w:ascii="宋体" w:hAnsi="宋体"/>
          <w:color w:val="auto"/>
          <w:sz w:val="21"/>
          <w:szCs w:val="21"/>
          <w:highlight w:val="none"/>
        </w:rPr>
      </w:pPr>
    </w:p>
    <w:p w14:paraId="34D332AA">
      <w:pPr>
        <w:adjustRightInd w:val="0"/>
        <w:snapToGrid w:val="0"/>
        <w:spacing w:line="360" w:lineRule="auto"/>
        <w:rPr>
          <w:rFonts w:hint="eastAsia" w:ascii="宋体" w:hAnsi="宋体"/>
          <w:color w:val="auto"/>
          <w:sz w:val="21"/>
          <w:szCs w:val="21"/>
          <w:highlight w:val="none"/>
        </w:rPr>
      </w:pPr>
    </w:p>
    <w:p w14:paraId="5707870C">
      <w:pPr>
        <w:adjustRightInd w:val="0"/>
        <w:snapToGrid w:val="0"/>
        <w:spacing w:line="360" w:lineRule="auto"/>
        <w:rPr>
          <w:rFonts w:hint="eastAsia" w:ascii="宋体" w:hAnsi="宋体"/>
          <w:color w:val="auto"/>
          <w:sz w:val="21"/>
          <w:szCs w:val="21"/>
          <w:highlight w:val="none"/>
        </w:rPr>
      </w:pPr>
    </w:p>
    <w:p w14:paraId="250A6561">
      <w:pPr>
        <w:adjustRightInd w:val="0"/>
        <w:snapToGrid w:val="0"/>
        <w:spacing w:line="360" w:lineRule="auto"/>
        <w:rPr>
          <w:rFonts w:hint="eastAsia" w:ascii="宋体" w:hAnsi="宋体"/>
          <w:color w:val="auto"/>
          <w:sz w:val="21"/>
          <w:szCs w:val="21"/>
          <w:highlight w:val="none"/>
        </w:rPr>
      </w:pPr>
    </w:p>
    <w:p w14:paraId="23C7B3EE">
      <w:pPr>
        <w:adjustRightInd w:val="0"/>
        <w:snapToGrid w:val="0"/>
        <w:spacing w:line="360" w:lineRule="auto"/>
        <w:rPr>
          <w:rFonts w:hint="eastAsia" w:ascii="宋体" w:hAnsi="宋体"/>
          <w:color w:val="auto"/>
          <w:sz w:val="21"/>
          <w:szCs w:val="21"/>
          <w:highlight w:val="none"/>
        </w:rPr>
      </w:pPr>
    </w:p>
    <w:p w14:paraId="50B74174">
      <w:pPr>
        <w:adjustRightInd w:val="0"/>
        <w:snapToGrid w:val="0"/>
        <w:spacing w:line="360" w:lineRule="auto"/>
        <w:rPr>
          <w:rFonts w:hint="eastAsia" w:ascii="宋体" w:hAnsi="宋体"/>
          <w:color w:val="auto"/>
          <w:sz w:val="21"/>
          <w:szCs w:val="21"/>
          <w:highlight w:val="none"/>
        </w:rPr>
      </w:pPr>
    </w:p>
    <w:p w14:paraId="67FB19D6">
      <w:pPr>
        <w:adjustRightInd w:val="0"/>
        <w:snapToGrid w:val="0"/>
        <w:spacing w:line="360" w:lineRule="auto"/>
        <w:rPr>
          <w:rFonts w:hint="eastAsia" w:ascii="宋体" w:hAnsi="宋体"/>
          <w:color w:val="auto"/>
          <w:sz w:val="21"/>
          <w:szCs w:val="21"/>
          <w:highlight w:val="none"/>
        </w:rPr>
      </w:pPr>
    </w:p>
    <w:p w14:paraId="17FAE219">
      <w:pPr>
        <w:adjustRightInd w:val="0"/>
        <w:snapToGrid w:val="0"/>
        <w:spacing w:line="360" w:lineRule="auto"/>
        <w:rPr>
          <w:rFonts w:hint="eastAsia" w:ascii="宋体" w:hAnsi="宋体"/>
          <w:color w:val="auto"/>
          <w:sz w:val="21"/>
          <w:szCs w:val="21"/>
          <w:highlight w:val="none"/>
        </w:rPr>
      </w:pPr>
    </w:p>
    <w:p w14:paraId="4F6CCA3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color w:val="auto"/>
          <w:sz w:val="21"/>
          <w:szCs w:val="21"/>
          <w:highlight w:val="none"/>
        </w:rPr>
      </w:pPr>
      <w:r>
        <w:rPr>
          <w:rFonts w:hint="eastAsia" w:ascii="宋体" w:hAnsi="宋体"/>
          <w:b/>
          <w:bCs/>
          <w:color w:val="auto"/>
          <w:sz w:val="21"/>
          <w:szCs w:val="21"/>
          <w:highlight w:val="none"/>
        </w:rPr>
        <w:t>附件二 廉政合同</w:t>
      </w:r>
    </w:p>
    <w:p w14:paraId="0B251D05">
      <w:pPr>
        <w:keepNext w:val="0"/>
        <w:keepLines w:val="0"/>
        <w:pageBreakBefore w:val="0"/>
        <w:widowControl w:val="0"/>
        <w:kinsoku/>
        <w:wordWrap/>
        <w:overflowPunct/>
        <w:topLinePunct w:val="0"/>
        <w:autoSpaceDE/>
        <w:autoSpaceDN/>
        <w:bidi w:val="0"/>
        <w:adjustRightInd w:val="0"/>
        <w:snapToGrid w:val="0"/>
        <w:spacing w:after="0" w:afterLines="50" w:line="240" w:lineRule="auto"/>
        <w:jc w:val="center"/>
        <w:textAlignment w:val="auto"/>
        <w:rPr>
          <w:rFonts w:ascii="宋体" w:hAnsi="宋体"/>
          <w:color w:val="auto"/>
          <w:sz w:val="21"/>
          <w:szCs w:val="21"/>
          <w:highlight w:val="none"/>
        </w:rPr>
      </w:pPr>
      <w:r>
        <w:rPr>
          <w:rFonts w:hint="eastAsia" w:ascii="宋体" w:hAnsi="宋体"/>
          <w:b/>
          <w:bCs/>
          <w:color w:val="auto"/>
          <w:sz w:val="21"/>
          <w:szCs w:val="21"/>
          <w:highlight w:val="none"/>
        </w:rPr>
        <w:t>廉 政 合 同</w:t>
      </w:r>
    </w:p>
    <w:p w14:paraId="7CA4A8F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（项目名称）的项目法人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（项目法人名称，以下简称“发包人”）与该项目</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标段的施工单位（施工单位，以下简称“承包人”），特订立如下合同。</w:t>
      </w:r>
    </w:p>
    <w:p w14:paraId="0D42301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1．发包人和承包人双方的权利和义务</w:t>
      </w:r>
    </w:p>
    <w:p w14:paraId="7CA7E9D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（1）严格遵守党的政策规定和国家有关法律法规及交通部的有关规定。</w:t>
      </w:r>
    </w:p>
    <w:p w14:paraId="79DECAE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（2）严格执行</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（项目名称）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标段施工的合同文件，自觉按合同办事。</w:t>
      </w:r>
    </w:p>
    <w:p w14:paraId="5D9005E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（3）双方的业务活动坚持公开、公正、诚信、透明的原则（法律认定的商业秘密和合同文件另有规定除外），不得损害国家和集体利益，违反工程建设管理规章制度。</w:t>
      </w:r>
    </w:p>
    <w:p w14:paraId="60600B7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（4）建立健全廉政制度，开展廉政教育，设立廉政告示牌，公布举报电话，监督并认真查处违法违纪行为。</w:t>
      </w:r>
    </w:p>
    <w:p w14:paraId="3EEBBC8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（5）发现对方在业务活动中有违反廉政规定的行为，有及时提醒对方纠正的权利和义务。</w:t>
      </w:r>
    </w:p>
    <w:p w14:paraId="7F0E7FA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（6）发现对方严重违反本合同义务条款的行为，有向其上级有关部门举报、建议给予处理并要求告知处理结果的权利；</w:t>
      </w:r>
    </w:p>
    <w:p w14:paraId="37B2C31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2．发包人的义务</w:t>
      </w:r>
    </w:p>
    <w:p w14:paraId="5807AD5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（1）发包人及其工作人员不得索要或接受承包人的礼金、有价证券和贵重物品，不得</w:t>
      </w:r>
      <w:r>
        <w:rPr>
          <w:rFonts w:hint="eastAsia" w:ascii="宋体" w:hAnsi="宋体"/>
          <w:color w:val="auto"/>
          <w:sz w:val="21"/>
          <w:szCs w:val="21"/>
          <w:highlight w:val="none"/>
          <w:lang w:eastAsia="zh-CN"/>
        </w:rPr>
        <w:t>让</w:t>
      </w:r>
      <w:r>
        <w:rPr>
          <w:rFonts w:hint="eastAsia" w:ascii="宋体" w:hAnsi="宋体"/>
          <w:color w:val="auto"/>
          <w:sz w:val="21"/>
          <w:szCs w:val="21"/>
          <w:highlight w:val="none"/>
        </w:rPr>
        <w:t>承包人报销任何应由发包人或发包人工作人员个人支付的费用等。</w:t>
      </w:r>
    </w:p>
    <w:p w14:paraId="5AD82E4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（2）发包人工作人员不得参加承包人安排的超标准宴请和娱乐活动；不得接受承包人提供的通讯工具、交通工具和高档办公用品等。</w:t>
      </w:r>
    </w:p>
    <w:p w14:paraId="142CF57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（3）发包人及其工作人员不得要求或者接受承包人为其住房装修、婚丧嫁娶活动、配偶子女的工作安排以及出国出境、旅游等提供方便等。</w:t>
      </w:r>
    </w:p>
    <w:p w14:paraId="5C5F1B9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（4）发包人工作人员及其配偶、子女不得从事与发包</w:t>
      </w:r>
      <w:r>
        <w:rPr>
          <w:rFonts w:hint="eastAsia" w:ascii="宋体" w:hAnsi="宋体"/>
          <w:color w:val="auto"/>
          <w:sz w:val="21"/>
          <w:szCs w:val="21"/>
          <w:highlight w:val="none"/>
          <w:lang w:eastAsia="zh-CN"/>
        </w:rPr>
        <w:t>人</w:t>
      </w:r>
      <w:r>
        <w:rPr>
          <w:rFonts w:hint="eastAsia" w:ascii="宋体" w:hAnsi="宋体"/>
          <w:color w:val="auto"/>
          <w:sz w:val="21"/>
          <w:szCs w:val="21"/>
          <w:highlight w:val="none"/>
        </w:rPr>
        <w:t>工程有关的材料设备供应、工程分包、劳务等经济活动等。</w:t>
      </w:r>
    </w:p>
    <w:p w14:paraId="3880D71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（5）发包人及其工作人员不得以任何理由向承包人推荐分包单位或推销材料，不得要求承包人购买合同规定外的材料和设备。</w:t>
      </w:r>
    </w:p>
    <w:p w14:paraId="56FD98C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（6）发包人工作人员要秉公办事，不准营私舞弊，不准利用职权从事各种个人有偿中介活动和安排个人施工队伍。</w:t>
      </w:r>
    </w:p>
    <w:p w14:paraId="70A50B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3．承包人的义务</w:t>
      </w:r>
    </w:p>
    <w:p w14:paraId="17C498D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（1）承包人不得以任何理由向发包人及其工作人员行贿或馈赠礼金、有价证券、贵重礼品。</w:t>
      </w:r>
    </w:p>
    <w:p w14:paraId="6F8C11E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（2）承包人不得以任何名义为发包人及其工作人员报销应由发包人单位或个人支付的任何费用。</w:t>
      </w:r>
    </w:p>
    <w:p w14:paraId="57C53C6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（3）承包人不得以任何理由安排发包人工作人员参加超标准宴请及娱乐活动。</w:t>
      </w:r>
    </w:p>
    <w:p w14:paraId="286B7B1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（4）承包人不得为发包人单位和个人购置或提供通讯工具、交通工具和高档办公用品等。</w:t>
      </w:r>
    </w:p>
    <w:p w14:paraId="7F80BD5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4．违约责任</w:t>
      </w:r>
    </w:p>
    <w:p w14:paraId="18C3108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（1）发包人及其工作人员违反本合同第1、2条，按管理权限，依据有关规定给予党纪、政纪或组织处理；涉嫌犯罪的，移交司法机关追究刑事责任；给承包人单位造成经济损失的，应予以赔偿。</w:t>
      </w:r>
    </w:p>
    <w:p w14:paraId="0D94543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2）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交通工程建设市场的处罚。</w:t>
      </w:r>
    </w:p>
    <w:p w14:paraId="4D3849B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7D08C0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6．本合同有效期为发包人和承包人签署之日起至该工程项目竣工验收后止。</w:t>
      </w:r>
    </w:p>
    <w:p w14:paraId="607C51D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7．本合同作为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（项目名称）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标段施工合同的附件，与工程施工合同具有同等的法律效力，经合同双方签署立即生效。</w:t>
      </w:r>
    </w:p>
    <w:p w14:paraId="712F3D3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8．本合同一式四份，由发包人和承包人双方各执一份，送交发包人和承包人的监督单位各一份。</w:t>
      </w:r>
    </w:p>
    <w:p w14:paraId="5064E43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发包人：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（盖单位章）  承包人：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（盖单位章）</w:t>
      </w:r>
    </w:p>
    <w:p w14:paraId="2BEE04E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法定代表人或其委托代理人：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（签字）  法定代表人或其委托代理人：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（签字）</w:t>
      </w:r>
    </w:p>
    <w:p w14:paraId="5FBBC410">
      <w:pPr>
        <w:keepNext w:val="0"/>
        <w:keepLines w:val="0"/>
        <w:pageBreakBefore w:val="0"/>
        <w:widowControl w:val="0"/>
        <w:kinsoku/>
        <w:wordWrap/>
        <w:overflowPunct/>
        <w:topLinePunct w:val="0"/>
        <w:autoSpaceDE/>
        <w:autoSpaceDN/>
        <w:bidi w:val="0"/>
        <w:adjustRightInd w:val="0"/>
        <w:snapToGrid w:val="0"/>
        <w:spacing w:line="360" w:lineRule="auto"/>
        <w:ind w:firstLine="1890" w:firstLineChars="900"/>
        <w:textAlignment w:val="auto"/>
        <w:rPr>
          <w:rFonts w:ascii="宋体" w:hAnsi="宋体"/>
          <w:color w:val="auto"/>
          <w:sz w:val="21"/>
          <w:szCs w:val="21"/>
          <w:highlight w:val="none"/>
        </w:rPr>
      </w:pPr>
      <w:r>
        <w:rPr>
          <w:rFonts w:hint="eastAsia" w:ascii="宋体" w:hAnsi="宋体"/>
          <w:color w:val="auto"/>
          <w:sz w:val="21"/>
          <w:szCs w:val="21"/>
          <w:highlight w:val="none"/>
        </w:rPr>
        <w:t>_____年____月____日                  _____年_____月____日</w:t>
      </w:r>
    </w:p>
    <w:p w14:paraId="209082A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发包人监督单位：</w:t>
      </w:r>
      <w:r>
        <w:rPr>
          <w:rFonts w:hint="eastAsia" w:ascii="宋体" w:hAnsi="宋体"/>
          <w:color w:val="auto"/>
          <w:sz w:val="21"/>
          <w:szCs w:val="21"/>
          <w:highlight w:val="none"/>
          <w:u w:val="single"/>
        </w:rPr>
        <w:t>（全称）（盖单位章）</w:t>
      </w:r>
      <w:r>
        <w:rPr>
          <w:rFonts w:hint="eastAsia" w:ascii="宋体" w:hAnsi="宋体"/>
          <w:color w:val="auto"/>
          <w:sz w:val="21"/>
          <w:szCs w:val="21"/>
          <w:highlight w:val="none"/>
        </w:rPr>
        <w:t xml:space="preserve">    </w:t>
      </w:r>
      <w:r>
        <w:rPr>
          <w:rFonts w:hint="eastAsia" w:ascii="宋体" w:hAnsi="宋体"/>
          <w:color w:val="auto"/>
          <w:sz w:val="21"/>
          <w:szCs w:val="21"/>
          <w:highlight w:val="none"/>
          <w:u w:val="none"/>
        </w:rPr>
        <w:t>承包人监督单位：</w:t>
      </w:r>
      <w:r>
        <w:rPr>
          <w:rFonts w:hint="eastAsia" w:ascii="宋体" w:hAnsi="宋体"/>
          <w:color w:val="auto"/>
          <w:sz w:val="21"/>
          <w:szCs w:val="21"/>
          <w:highlight w:val="none"/>
          <w:u w:val="single"/>
        </w:rPr>
        <w:t>（全称）（盖单位章）</w:t>
      </w:r>
      <w:r>
        <w:rPr>
          <w:rFonts w:hint="eastAsia" w:ascii="宋体" w:hAnsi="宋体"/>
          <w:color w:val="auto"/>
          <w:sz w:val="21"/>
          <w:szCs w:val="21"/>
          <w:highlight w:val="none"/>
        </w:rPr>
        <w:br w:type="page"/>
      </w:r>
      <w:r>
        <w:rPr>
          <w:rFonts w:hint="eastAsia" w:ascii="宋体" w:hAnsi="宋体"/>
          <w:b/>
          <w:bCs/>
          <w:color w:val="auto"/>
          <w:sz w:val="21"/>
          <w:szCs w:val="21"/>
          <w:highlight w:val="none"/>
        </w:rPr>
        <w:t>附件三 安全生产合同</w:t>
      </w:r>
    </w:p>
    <w:p w14:paraId="2B1F3AEF">
      <w:pPr>
        <w:autoSpaceDE w:val="0"/>
        <w:adjustRightInd w:val="0"/>
        <w:snapToGrid w:val="0"/>
        <w:spacing w:afterLines="50" w:line="331" w:lineRule="auto"/>
        <w:jc w:val="center"/>
        <w:rPr>
          <w:rFonts w:ascii="宋体" w:hAnsi="宋体"/>
          <w:color w:val="auto"/>
          <w:sz w:val="21"/>
          <w:szCs w:val="21"/>
          <w:highlight w:val="none"/>
        </w:rPr>
      </w:pPr>
      <w:r>
        <w:rPr>
          <w:rFonts w:hint="eastAsia" w:ascii="宋体" w:hAnsi="宋体"/>
          <w:b/>
          <w:bCs/>
          <w:color w:val="auto"/>
          <w:sz w:val="21"/>
          <w:szCs w:val="21"/>
          <w:highlight w:val="none"/>
        </w:rPr>
        <w:t>安全生产合同</w:t>
      </w:r>
    </w:p>
    <w:p w14:paraId="1420866D">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为在</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（项目名称）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标段施工合同的实施过程中创造安全、高效的施工环境，切实搞好本项目的安全管理工作，本项目发包人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（发包人名称，以下简称“发包人”）与承包人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（承包人名称，以下简称“承包人” ）特此签订安全生产合同。</w:t>
      </w:r>
    </w:p>
    <w:p w14:paraId="6AEE962D">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1、发包人职责</w:t>
      </w:r>
    </w:p>
    <w:p w14:paraId="6476426F">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（1）严格遵守国家有关安全生产的法律法规，认真执行工程承包合同中的有关安全要求。</w:t>
      </w:r>
    </w:p>
    <w:p w14:paraId="2F01DBCF">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（2）按照“安全第一、预防为主”和坚持“管生产必须管安全”的原则进行安全生产管理，做到生产与安全工作同时计划、布置、检查、总结和评比。</w:t>
      </w:r>
    </w:p>
    <w:p w14:paraId="63040E57">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（3）重要的安全设施必须坚持与主体工程“三同时”的原则，即：同时设计、审批，同时施工，同时验收，投入使用。</w:t>
      </w:r>
    </w:p>
    <w:p w14:paraId="2B879E18">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（4）定期召开安全生产调度会，及时传达中央及地方有关安全生产的精神。</w:t>
      </w:r>
    </w:p>
    <w:p w14:paraId="01E0D9CC">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（5）组织对承包人施工现场安全生产检查，监督承包人及时处理发现的各种安全隐患。</w:t>
      </w:r>
    </w:p>
    <w:p w14:paraId="15E8079E">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2、承包人职责</w:t>
      </w:r>
    </w:p>
    <w:p w14:paraId="63A734EE">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p>
    <w:p w14:paraId="75F6FBCA">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4F5D03F2">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52FBBEAE">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（4）承包人在任何时候都应采取各种合理的预防措施，防止其员工发生任何违法、违禁、暴力或妨碍治安的行为。</w:t>
      </w:r>
    </w:p>
    <w:p w14:paraId="6B19AD6C">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101FB09A">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78153B8D">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（7）操作人员上岗，必须按规定穿戴防护用品。施工负责人和安全检查员应随时检查劳动防护用品的穿戴情况，不按规定穿戴防护用品的人员不得上岗。</w:t>
      </w:r>
    </w:p>
    <w:p w14:paraId="57453091">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（8）所有施工机具设备和高空作业的设备均应定期检查，并有安全员的签字记录，保证其经常处于完好状态；不合格的机具、设备和劳动保护用品严禁使用。</w:t>
      </w:r>
    </w:p>
    <w:p w14:paraId="0859D55A">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（9）施工中采用新技术、新工艺、新设备、新材料时，必须制定相应的安全技术措施，施工现场必须具有相关的安全标志牌。</w:t>
      </w:r>
    </w:p>
    <w:p w14:paraId="46F264C2">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2ECEA9CA">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（11）安全生产费用按照《公路水运工程安全生产监督管理办法》的规定使用和管理。</w:t>
      </w:r>
    </w:p>
    <w:p w14:paraId="2FDFAA34">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3、违约责任</w:t>
      </w:r>
    </w:p>
    <w:p w14:paraId="1762D73B">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如因发包人或承包人违约造成安全事故，将依法追究责任。</w:t>
      </w:r>
    </w:p>
    <w:p w14:paraId="37B55162">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4、本合同由双方法定代表人或其授权的代理人签署与加盖公章后生效，全部工程竣工验收后失效。</w:t>
      </w:r>
    </w:p>
    <w:p w14:paraId="15684852">
      <w:pPr>
        <w:autoSpaceDE w:val="0"/>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5、本合同正本二份，副本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份，合同双方各执正本一份，副本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份，当正本与副本的内容不一致时，以正本为准。</w:t>
      </w:r>
    </w:p>
    <w:p w14:paraId="23D346F4">
      <w:pPr>
        <w:pStyle w:val="13"/>
        <w:ind w:firstLine="240"/>
        <w:rPr>
          <w:rFonts w:ascii="宋体"/>
          <w:color w:val="auto"/>
          <w:sz w:val="21"/>
          <w:szCs w:val="21"/>
          <w:highlight w:val="none"/>
        </w:rPr>
      </w:pPr>
      <w:r>
        <w:rPr>
          <w:rFonts w:hint="eastAsia" w:ascii="宋体"/>
          <w:color w:val="auto"/>
          <w:sz w:val="21"/>
          <w:szCs w:val="21"/>
          <w:highlight w:val="none"/>
        </w:rPr>
        <w:t xml:space="preserve"> </w:t>
      </w:r>
    </w:p>
    <w:p w14:paraId="0BEDBE79">
      <w:pPr>
        <w:rPr>
          <w:rFonts w:ascii="宋体" w:hAnsi="宋体"/>
          <w:color w:val="auto"/>
          <w:sz w:val="21"/>
          <w:szCs w:val="21"/>
          <w:highlight w:val="none"/>
        </w:rPr>
      </w:pPr>
      <w:r>
        <w:rPr>
          <w:rFonts w:hint="eastAsia" w:ascii="宋体" w:hAnsi="宋体"/>
          <w:color w:val="auto"/>
          <w:sz w:val="21"/>
          <w:szCs w:val="21"/>
          <w:highlight w:val="none"/>
        </w:rPr>
        <w:t xml:space="preserve"> </w:t>
      </w:r>
    </w:p>
    <w:p w14:paraId="47A7AE87">
      <w:pPr>
        <w:autoSpaceDE w:val="0"/>
        <w:adjustRightInd w:val="0"/>
        <w:snapToGrid w:val="0"/>
        <w:spacing w:line="360" w:lineRule="auto"/>
        <w:rPr>
          <w:rFonts w:ascii="宋体" w:hAnsi="宋体"/>
          <w:color w:val="auto"/>
          <w:sz w:val="21"/>
          <w:szCs w:val="21"/>
          <w:highlight w:val="none"/>
        </w:rPr>
      </w:pPr>
      <w:r>
        <w:rPr>
          <w:rFonts w:hint="eastAsia" w:ascii="宋体" w:hAnsi="宋体"/>
          <w:color w:val="auto"/>
          <w:sz w:val="21"/>
          <w:szCs w:val="21"/>
          <w:highlight w:val="none"/>
        </w:rPr>
        <w:t>发包人：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（盖单位章）    承包人：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（盖单位章）</w:t>
      </w:r>
    </w:p>
    <w:p w14:paraId="47655EBE">
      <w:pPr>
        <w:autoSpaceDE w:val="0"/>
        <w:adjustRightInd w:val="0"/>
        <w:snapToGrid w:val="0"/>
        <w:spacing w:line="360" w:lineRule="auto"/>
        <w:rPr>
          <w:rFonts w:ascii="宋体" w:hAnsi="宋体"/>
          <w:color w:val="auto"/>
          <w:sz w:val="21"/>
          <w:szCs w:val="21"/>
          <w:highlight w:val="none"/>
        </w:rPr>
      </w:pPr>
      <w:r>
        <w:rPr>
          <w:rFonts w:hint="eastAsia" w:ascii="宋体" w:hAnsi="宋体"/>
          <w:color w:val="auto"/>
          <w:sz w:val="21"/>
          <w:szCs w:val="21"/>
          <w:highlight w:val="none"/>
        </w:rPr>
        <w:t>法定代表人或其委托代理人：___（签字）   法定代表人或其委托代理人：___（签字）</w:t>
      </w:r>
    </w:p>
    <w:p w14:paraId="7B54F3A7">
      <w:pPr>
        <w:autoSpaceDE w:val="0"/>
        <w:adjustRightInd w:val="0"/>
        <w:snapToGrid w:val="0"/>
        <w:spacing w:line="360" w:lineRule="auto"/>
        <w:ind w:firstLine="1890" w:firstLineChars="900"/>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年___月___日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年___月___日</w:t>
      </w:r>
    </w:p>
    <w:p w14:paraId="61C14C53">
      <w:pPr>
        <w:pStyle w:val="13"/>
        <w:ind w:firstLine="240"/>
        <w:rPr>
          <w:rFonts w:ascii="宋体"/>
          <w:color w:val="auto"/>
          <w:sz w:val="21"/>
          <w:szCs w:val="21"/>
          <w:highlight w:val="none"/>
        </w:rPr>
      </w:pPr>
      <w:r>
        <w:rPr>
          <w:rFonts w:hint="eastAsia" w:ascii="宋体"/>
          <w:color w:val="auto"/>
          <w:sz w:val="21"/>
          <w:szCs w:val="21"/>
          <w:highlight w:val="none"/>
        </w:rPr>
        <w:t xml:space="preserve"> </w:t>
      </w:r>
    </w:p>
    <w:p w14:paraId="1153A800">
      <w:pPr>
        <w:rPr>
          <w:rFonts w:ascii="宋体" w:hAnsi="宋体"/>
          <w:color w:val="auto"/>
          <w:sz w:val="21"/>
          <w:szCs w:val="21"/>
          <w:highlight w:val="none"/>
        </w:rPr>
      </w:pPr>
      <w:r>
        <w:rPr>
          <w:rFonts w:hint="eastAsia" w:ascii="宋体" w:hAnsi="宋体"/>
          <w:color w:val="auto"/>
          <w:sz w:val="21"/>
          <w:szCs w:val="21"/>
          <w:highlight w:val="none"/>
        </w:rPr>
        <w:t xml:space="preserve"> </w:t>
      </w:r>
    </w:p>
    <w:p w14:paraId="4B539814">
      <w:pPr>
        <w:pStyle w:val="13"/>
        <w:ind w:firstLine="240"/>
        <w:rPr>
          <w:rFonts w:ascii="宋体"/>
          <w:color w:val="auto"/>
          <w:sz w:val="21"/>
          <w:szCs w:val="21"/>
          <w:highlight w:val="none"/>
        </w:rPr>
      </w:pPr>
      <w:r>
        <w:rPr>
          <w:rFonts w:hint="eastAsia" w:ascii="宋体"/>
          <w:color w:val="auto"/>
          <w:sz w:val="21"/>
          <w:szCs w:val="21"/>
          <w:highlight w:val="none"/>
        </w:rPr>
        <w:t xml:space="preserve"> </w:t>
      </w:r>
    </w:p>
    <w:p w14:paraId="16714973">
      <w:pPr>
        <w:rPr>
          <w:rFonts w:ascii="宋体" w:hAnsi="宋体"/>
          <w:color w:val="auto"/>
          <w:sz w:val="21"/>
          <w:szCs w:val="21"/>
          <w:highlight w:val="none"/>
        </w:rPr>
      </w:pPr>
      <w:r>
        <w:rPr>
          <w:rFonts w:hint="eastAsia" w:ascii="宋体" w:hAnsi="宋体"/>
          <w:color w:val="auto"/>
          <w:sz w:val="21"/>
          <w:szCs w:val="21"/>
          <w:highlight w:val="none"/>
        </w:rPr>
        <w:t xml:space="preserve"> </w:t>
      </w:r>
    </w:p>
    <w:p w14:paraId="6670051C">
      <w:pPr>
        <w:pStyle w:val="13"/>
        <w:ind w:firstLine="240"/>
        <w:rPr>
          <w:rFonts w:ascii="宋体"/>
          <w:color w:val="auto"/>
          <w:sz w:val="21"/>
          <w:szCs w:val="21"/>
          <w:highlight w:val="none"/>
        </w:rPr>
      </w:pPr>
      <w:r>
        <w:rPr>
          <w:rFonts w:hint="eastAsia" w:ascii="宋体"/>
          <w:color w:val="auto"/>
          <w:sz w:val="21"/>
          <w:szCs w:val="21"/>
          <w:highlight w:val="none"/>
        </w:rPr>
        <w:t xml:space="preserve"> </w:t>
      </w:r>
    </w:p>
    <w:p w14:paraId="053345B3">
      <w:pPr>
        <w:rPr>
          <w:rFonts w:ascii="宋体" w:hAnsi="宋体"/>
          <w:color w:val="auto"/>
          <w:sz w:val="21"/>
          <w:szCs w:val="21"/>
          <w:highlight w:val="none"/>
        </w:rPr>
      </w:pPr>
      <w:r>
        <w:rPr>
          <w:rFonts w:hint="eastAsia" w:ascii="宋体" w:hAnsi="宋体"/>
          <w:color w:val="auto"/>
          <w:sz w:val="21"/>
          <w:szCs w:val="21"/>
          <w:highlight w:val="none"/>
        </w:rPr>
        <w:t xml:space="preserve"> </w:t>
      </w:r>
    </w:p>
    <w:p w14:paraId="3419A59C">
      <w:pPr>
        <w:pStyle w:val="13"/>
        <w:ind w:firstLine="240"/>
        <w:rPr>
          <w:rFonts w:ascii="宋体"/>
          <w:color w:val="auto"/>
          <w:sz w:val="21"/>
          <w:szCs w:val="21"/>
          <w:highlight w:val="none"/>
        </w:rPr>
      </w:pPr>
      <w:r>
        <w:rPr>
          <w:rFonts w:hint="eastAsia" w:ascii="宋体"/>
          <w:color w:val="auto"/>
          <w:sz w:val="21"/>
          <w:szCs w:val="21"/>
          <w:highlight w:val="none"/>
        </w:rPr>
        <w:t xml:space="preserve"> </w:t>
      </w:r>
    </w:p>
    <w:p w14:paraId="18B6C173">
      <w:pPr>
        <w:rPr>
          <w:rFonts w:ascii="宋体" w:hAnsi="宋体"/>
          <w:color w:val="auto"/>
          <w:sz w:val="21"/>
          <w:szCs w:val="21"/>
          <w:highlight w:val="none"/>
        </w:rPr>
      </w:pPr>
      <w:r>
        <w:rPr>
          <w:rFonts w:hint="eastAsia" w:ascii="宋体" w:hAnsi="宋体"/>
          <w:color w:val="auto"/>
          <w:sz w:val="21"/>
          <w:szCs w:val="21"/>
          <w:highlight w:val="none"/>
        </w:rPr>
        <w:t xml:space="preserve"> </w:t>
      </w:r>
    </w:p>
    <w:p w14:paraId="44218386">
      <w:pPr>
        <w:pStyle w:val="13"/>
        <w:ind w:firstLine="240"/>
        <w:rPr>
          <w:rFonts w:ascii="宋体"/>
          <w:color w:val="auto"/>
          <w:sz w:val="21"/>
          <w:szCs w:val="21"/>
          <w:highlight w:val="none"/>
        </w:rPr>
      </w:pPr>
      <w:r>
        <w:rPr>
          <w:rFonts w:hint="eastAsia" w:ascii="宋体"/>
          <w:color w:val="auto"/>
          <w:sz w:val="21"/>
          <w:szCs w:val="21"/>
          <w:highlight w:val="none"/>
        </w:rPr>
        <w:t xml:space="preserve"> </w:t>
      </w:r>
    </w:p>
    <w:p w14:paraId="625EBF24">
      <w:pPr>
        <w:rPr>
          <w:rFonts w:ascii="宋体" w:hAnsi="宋体"/>
          <w:color w:val="auto"/>
          <w:sz w:val="21"/>
          <w:szCs w:val="21"/>
          <w:highlight w:val="none"/>
        </w:rPr>
      </w:pPr>
      <w:r>
        <w:rPr>
          <w:rFonts w:hint="eastAsia" w:ascii="宋体" w:hAnsi="宋体"/>
          <w:color w:val="auto"/>
          <w:sz w:val="21"/>
          <w:szCs w:val="21"/>
          <w:highlight w:val="none"/>
        </w:rPr>
        <w:t xml:space="preserve"> </w:t>
      </w:r>
    </w:p>
    <w:p w14:paraId="4CCC5192">
      <w:pPr>
        <w:pStyle w:val="13"/>
        <w:ind w:firstLine="240"/>
        <w:rPr>
          <w:rFonts w:ascii="宋体" w:hAnsi="宋体"/>
          <w:color w:val="auto"/>
          <w:sz w:val="21"/>
          <w:szCs w:val="21"/>
          <w:highlight w:val="none"/>
        </w:rPr>
      </w:pPr>
      <w:r>
        <w:rPr>
          <w:rFonts w:hint="eastAsia" w:ascii="宋体"/>
          <w:color w:val="auto"/>
          <w:sz w:val="21"/>
          <w:szCs w:val="21"/>
          <w:highlight w:val="none"/>
        </w:rPr>
        <w:t xml:space="preserve"> </w:t>
      </w:r>
    </w:p>
    <w:p w14:paraId="68AB276E">
      <w:pPr>
        <w:adjustRightInd w:val="0"/>
        <w:snapToGrid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 </w:t>
      </w:r>
      <w:r>
        <w:rPr>
          <w:rFonts w:hint="eastAsia" w:ascii="宋体" w:hAnsi="宋体"/>
          <w:b/>
          <w:color w:val="auto"/>
          <w:sz w:val="21"/>
          <w:szCs w:val="21"/>
          <w:highlight w:val="none"/>
        </w:rPr>
        <w:t>附件</w:t>
      </w:r>
      <w:r>
        <w:rPr>
          <w:rFonts w:hint="eastAsia" w:ascii="宋体" w:hAnsi="宋体"/>
          <w:b/>
          <w:color w:val="auto"/>
          <w:sz w:val="21"/>
          <w:szCs w:val="21"/>
          <w:highlight w:val="none"/>
          <w:lang w:eastAsia="zh-CN"/>
        </w:rPr>
        <w:t>四</w:t>
      </w:r>
      <w:r>
        <w:rPr>
          <w:rFonts w:hint="eastAsia" w:ascii="宋体" w:hAnsi="宋体"/>
          <w:b/>
          <w:color w:val="auto"/>
          <w:sz w:val="21"/>
          <w:szCs w:val="21"/>
          <w:highlight w:val="none"/>
        </w:rPr>
        <w:t xml:space="preserve"> 项目经理委任书</w:t>
      </w:r>
    </w:p>
    <w:p w14:paraId="09611002">
      <w:pPr>
        <w:adjustRightInd w:val="0"/>
        <w:snapToGrid w:val="0"/>
        <w:spacing w:line="360" w:lineRule="auto"/>
        <w:jc w:val="center"/>
        <w:rPr>
          <w:rFonts w:ascii="宋体" w:hAnsi="宋体"/>
          <w:color w:val="auto"/>
          <w:sz w:val="21"/>
          <w:szCs w:val="21"/>
          <w:highlight w:val="none"/>
          <w:u w:val="single"/>
        </w:rPr>
      </w:pPr>
      <w:r>
        <w:rPr>
          <w:rFonts w:hint="eastAsia" w:ascii="宋体" w:hAnsi="宋体"/>
          <w:color w:val="auto"/>
          <w:sz w:val="21"/>
          <w:szCs w:val="21"/>
          <w:highlight w:val="none"/>
          <w:u w:val="single"/>
        </w:rPr>
        <w:t>（承包人全称）</w:t>
      </w:r>
    </w:p>
    <w:p w14:paraId="486C24F6">
      <w:pPr>
        <w:adjustRightInd w:val="0"/>
        <w:snapToGrid w:val="0"/>
        <w:spacing w:line="360" w:lineRule="auto"/>
        <w:jc w:val="center"/>
        <w:rPr>
          <w:rFonts w:ascii="宋体" w:hAnsi="宋体"/>
          <w:color w:val="auto"/>
          <w:sz w:val="21"/>
          <w:szCs w:val="21"/>
          <w:highlight w:val="none"/>
        </w:rPr>
      </w:pPr>
      <w:r>
        <w:rPr>
          <w:rFonts w:hint="eastAsia" w:ascii="宋体" w:hAnsi="宋体"/>
          <w:color w:val="auto"/>
          <w:sz w:val="21"/>
          <w:szCs w:val="21"/>
          <w:highlight w:val="none"/>
          <w:u w:val="single"/>
        </w:rPr>
        <w:t>（合同工程名称）</w:t>
      </w:r>
      <w:r>
        <w:rPr>
          <w:rFonts w:hint="eastAsia" w:ascii="宋体" w:hAnsi="宋体"/>
          <w:color w:val="auto"/>
          <w:sz w:val="21"/>
          <w:szCs w:val="21"/>
          <w:highlight w:val="none"/>
        </w:rPr>
        <w:t>项目经理委任书</w:t>
      </w:r>
    </w:p>
    <w:p w14:paraId="4044CA91">
      <w:pPr>
        <w:adjustRightInd w:val="0"/>
        <w:snapToGrid w:val="0"/>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 xml:space="preserve"> </w:t>
      </w:r>
    </w:p>
    <w:p w14:paraId="4A9EDEE5">
      <w:pPr>
        <w:adjustRightInd w:val="0"/>
        <w:snapToGrid w:val="0"/>
        <w:spacing w:line="360" w:lineRule="auto"/>
        <w:jc w:val="left"/>
        <w:rPr>
          <w:rFonts w:ascii="宋体" w:hAnsi="宋体"/>
          <w:color w:val="auto"/>
          <w:sz w:val="21"/>
          <w:szCs w:val="21"/>
          <w:highlight w:val="none"/>
        </w:rPr>
      </w:pPr>
      <w:r>
        <w:rPr>
          <w:rFonts w:hint="eastAsia" w:ascii="宋体" w:hAnsi="宋体"/>
          <w:color w:val="auto"/>
          <w:sz w:val="21"/>
          <w:szCs w:val="21"/>
          <w:highlight w:val="none"/>
        </w:rPr>
        <w:t>致：</w:t>
      </w:r>
      <w:r>
        <w:rPr>
          <w:rFonts w:hint="eastAsia" w:ascii="宋体" w:hAnsi="宋体"/>
          <w:color w:val="auto"/>
          <w:sz w:val="21"/>
          <w:szCs w:val="21"/>
          <w:highlight w:val="none"/>
          <w:u w:val="single"/>
        </w:rPr>
        <w:t>（发包人全称）</w:t>
      </w:r>
    </w:p>
    <w:p w14:paraId="72010F8B">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u w:val="single"/>
        </w:rPr>
        <w:t xml:space="preserve">  （承包人全称）  </w:t>
      </w:r>
      <w:r>
        <w:rPr>
          <w:rFonts w:hint="eastAsia" w:ascii="宋体" w:hAnsi="宋体"/>
          <w:color w:val="auto"/>
          <w:sz w:val="21"/>
          <w:szCs w:val="21"/>
          <w:highlight w:val="none"/>
        </w:rPr>
        <w:t>法定代表人</w:t>
      </w:r>
      <w:r>
        <w:rPr>
          <w:rFonts w:hint="eastAsia" w:ascii="宋体" w:hAnsi="宋体"/>
          <w:color w:val="auto"/>
          <w:sz w:val="21"/>
          <w:szCs w:val="21"/>
          <w:highlight w:val="none"/>
          <w:u w:val="single"/>
        </w:rPr>
        <w:t xml:space="preserve">  （职务、姓名）  </w:t>
      </w:r>
      <w:r>
        <w:rPr>
          <w:rFonts w:hint="eastAsia" w:ascii="宋体" w:hAnsi="宋体"/>
          <w:color w:val="auto"/>
          <w:sz w:val="21"/>
          <w:szCs w:val="21"/>
          <w:highlight w:val="none"/>
        </w:rPr>
        <w:t>代表本单位委任</w:t>
      </w:r>
      <w:r>
        <w:rPr>
          <w:rFonts w:hint="eastAsia" w:ascii="宋体" w:hAnsi="宋体"/>
          <w:color w:val="auto"/>
          <w:sz w:val="21"/>
          <w:szCs w:val="21"/>
          <w:highlight w:val="none"/>
          <w:u w:val="single"/>
        </w:rPr>
        <w:t xml:space="preserve">  （职务、姓名）  </w:t>
      </w:r>
      <w:r>
        <w:rPr>
          <w:rFonts w:hint="eastAsia" w:ascii="宋体" w:hAnsi="宋体"/>
          <w:color w:val="auto"/>
          <w:sz w:val="21"/>
          <w:szCs w:val="21"/>
          <w:highlight w:val="none"/>
        </w:rPr>
        <w:t>为</w:t>
      </w:r>
      <w:r>
        <w:rPr>
          <w:rFonts w:hint="eastAsia" w:ascii="宋体" w:hAnsi="宋体"/>
          <w:color w:val="auto"/>
          <w:sz w:val="21"/>
          <w:szCs w:val="21"/>
          <w:highlight w:val="none"/>
          <w:u w:val="single"/>
        </w:rPr>
        <w:t xml:space="preserve">  （合同工程名称）  </w:t>
      </w:r>
      <w:r>
        <w:rPr>
          <w:rFonts w:hint="eastAsia" w:ascii="宋体" w:hAnsi="宋体"/>
          <w:color w:val="auto"/>
          <w:sz w:val="21"/>
          <w:szCs w:val="21"/>
          <w:highlight w:val="none"/>
        </w:rPr>
        <w:t>的项目经理。凡本合同执行中的有关技术、工程进度、现场管理、质量检验、结算与支付等方面工作，由</w:t>
      </w:r>
      <w:r>
        <w:rPr>
          <w:rFonts w:hint="eastAsia" w:ascii="宋体" w:hAnsi="宋体"/>
          <w:color w:val="auto"/>
          <w:sz w:val="21"/>
          <w:szCs w:val="21"/>
          <w:highlight w:val="none"/>
          <w:u w:val="single"/>
        </w:rPr>
        <w:t xml:space="preserve">   （姓名）  </w:t>
      </w:r>
      <w:r>
        <w:rPr>
          <w:rFonts w:hint="eastAsia" w:ascii="宋体" w:hAnsi="宋体"/>
          <w:color w:val="auto"/>
          <w:sz w:val="21"/>
          <w:szCs w:val="21"/>
          <w:highlight w:val="none"/>
        </w:rPr>
        <w:t>代表本单位全面负责。</w:t>
      </w:r>
    </w:p>
    <w:p w14:paraId="49C0B4F0">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43447FE5">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6D9843F0">
      <w:pPr>
        <w:adjustRightInd w:val="0"/>
        <w:snapToGrid w:val="0"/>
        <w:spacing w:line="360" w:lineRule="auto"/>
        <w:ind w:firstLine="4200" w:firstLineChars="2000"/>
        <w:rPr>
          <w:rFonts w:ascii="宋体" w:hAnsi="宋体"/>
          <w:color w:val="auto"/>
          <w:sz w:val="21"/>
          <w:szCs w:val="21"/>
          <w:highlight w:val="none"/>
        </w:rPr>
      </w:pPr>
      <w:r>
        <w:rPr>
          <w:rFonts w:hint="eastAsia" w:ascii="宋体" w:hAnsi="宋体"/>
          <w:color w:val="auto"/>
          <w:sz w:val="21"/>
          <w:szCs w:val="21"/>
          <w:highlight w:val="none"/>
        </w:rPr>
        <w:t xml:space="preserve">承 包 人：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（盖单位章） </w:t>
      </w:r>
    </w:p>
    <w:p w14:paraId="2CF5B380">
      <w:pPr>
        <w:adjustRightInd w:val="0"/>
        <w:snapToGrid w:val="0"/>
        <w:spacing w:line="360" w:lineRule="auto"/>
        <w:ind w:firstLine="4200" w:firstLineChars="2000"/>
        <w:rPr>
          <w:rFonts w:ascii="宋体" w:hAnsi="宋体"/>
          <w:color w:val="auto"/>
          <w:sz w:val="21"/>
          <w:szCs w:val="21"/>
          <w:highlight w:val="none"/>
        </w:rPr>
      </w:pPr>
      <w:r>
        <w:rPr>
          <w:rFonts w:hint="eastAsia" w:ascii="宋体" w:hAnsi="宋体"/>
          <w:color w:val="auto"/>
          <w:sz w:val="21"/>
          <w:szCs w:val="21"/>
          <w:highlight w:val="none"/>
        </w:rPr>
        <w:t>法定代表人：</w:t>
      </w:r>
      <w:r>
        <w:rPr>
          <w:rFonts w:hint="eastAsia" w:ascii="宋体" w:hAnsi="宋体"/>
          <w:color w:val="auto"/>
          <w:sz w:val="21"/>
          <w:szCs w:val="21"/>
          <w:highlight w:val="none"/>
          <w:u w:val="single"/>
        </w:rPr>
        <w:t xml:space="preserve">       （职务）       </w:t>
      </w:r>
    </w:p>
    <w:p w14:paraId="1AAA8F26">
      <w:pPr>
        <w:adjustRightInd w:val="0"/>
        <w:snapToGrid w:val="0"/>
        <w:spacing w:line="360" w:lineRule="auto"/>
        <w:ind w:firstLine="5460" w:firstLineChars="2600"/>
        <w:rPr>
          <w:rFonts w:ascii="宋体" w:hAnsi="宋体"/>
          <w:color w:val="auto"/>
          <w:sz w:val="21"/>
          <w:szCs w:val="21"/>
          <w:highlight w:val="none"/>
          <w:u w:val="single"/>
        </w:rPr>
      </w:pPr>
      <w:r>
        <w:rPr>
          <w:rFonts w:hint="eastAsia" w:ascii="宋体" w:hAnsi="宋体"/>
          <w:color w:val="auto"/>
          <w:sz w:val="21"/>
          <w:szCs w:val="21"/>
          <w:highlight w:val="none"/>
          <w:u w:val="single"/>
        </w:rPr>
        <w:t xml:space="preserve">       （姓名）       </w:t>
      </w:r>
    </w:p>
    <w:p w14:paraId="71F07AFC">
      <w:pPr>
        <w:adjustRightInd w:val="0"/>
        <w:snapToGrid w:val="0"/>
        <w:spacing w:line="360" w:lineRule="auto"/>
        <w:ind w:firstLine="5460" w:firstLineChars="2600"/>
        <w:rPr>
          <w:rFonts w:ascii="宋体" w:hAnsi="宋体"/>
          <w:color w:val="auto"/>
          <w:sz w:val="21"/>
          <w:szCs w:val="21"/>
          <w:highlight w:val="none"/>
        </w:rPr>
      </w:pPr>
      <w:r>
        <w:rPr>
          <w:rFonts w:hint="eastAsia" w:ascii="宋体" w:hAnsi="宋体"/>
          <w:color w:val="auto"/>
          <w:sz w:val="21"/>
          <w:szCs w:val="21"/>
          <w:highlight w:val="none"/>
          <w:u w:val="single"/>
        </w:rPr>
        <w:t xml:space="preserve">       （签字）       </w:t>
      </w:r>
    </w:p>
    <w:p w14:paraId="60844395">
      <w:pPr>
        <w:adjustRightInd w:val="0"/>
        <w:snapToGrid w:val="0"/>
        <w:spacing w:line="360" w:lineRule="auto"/>
        <w:ind w:firstLine="6090" w:firstLineChars="2900"/>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w:t>
      </w:r>
    </w:p>
    <w:p w14:paraId="138D4F4A">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4E0C54BC">
      <w:pPr>
        <w:adjustRightInd w:val="0"/>
        <w:snapToGrid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p>
    <w:p w14:paraId="799FDFAF">
      <w:pPr>
        <w:adjustRightInd w:val="0"/>
        <w:snapToGrid w:val="0"/>
        <w:spacing w:line="360" w:lineRule="auto"/>
        <w:rPr>
          <w:rFonts w:ascii="宋体" w:hAnsi="宋体"/>
          <w:color w:val="auto"/>
          <w:sz w:val="21"/>
          <w:szCs w:val="21"/>
          <w:highlight w:val="none"/>
        </w:rPr>
      </w:pPr>
      <w:r>
        <w:rPr>
          <w:rFonts w:hint="eastAsia" w:ascii="宋体" w:hAnsi="宋体"/>
          <w:color w:val="auto"/>
          <w:sz w:val="21"/>
          <w:szCs w:val="21"/>
          <w:highlight w:val="none"/>
        </w:rPr>
        <w:t>抄送：</w:t>
      </w:r>
      <w:r>
        <w:rPr>
          <w:rFonts w:hint="eastAsia" w:ascii="宋体" w:hAnsi="宋体"/>
          <w:color w:val="auto"/>
          <w:sz w:val="21"/>
          <w:szCs w:val="21"/>
          <w:highlight w:val="none"/>
          <w:u w:val="single"/>
        </w:rPr>
        <w:t xml:space="preserve">   （监理人）   </w:t>
      </w:r>
    </w:p>
    <w:p w14:paraId="50054215">
      <w:pPr>
        <w:adjustRightInd w:val="0"/>
        <w:snapToGrid w:val="0"/>
        <w:spacing w:line="360" w:lineRule="auto"/>
        <w:rPr>
          <w:rFonts w:ascii="宋体" w:hAnsi="宋体"/>
          <w:b/>
          <w:bCs/>
          <w:color w:val="auto"/>
          <w:sz w:val="21"/>
          <w:szCs w:val="21"/>
          <w:highlight w:val="none"/>
        </w:rPr>
      </w:pPr>
      <w:r>
        <w:rPr>
          <w:rFonts w:hint="eastAsia" w:ascii="宋体" w:hAnsi="宋体"/>
          <w:color w:val="auto"/>
          <w:sz w:val="21"/>
          <w:szCs w:val="21"/>
          <w:highlight w:val="none"/>
        </w:rPr>
        <w:br w:type="page"/>
      </w:r>
      <w:r>
        <w:rPr>
          <w:rFonts w:hint="eastAsia" w:ascii="宋体" w:hAnsi="宋体"/>
          <w:b/>
          <w:bCs/>
          <w:color w:val="auto"/>
          <w:sz w:val="21"/>
          <w:szCs w:val="21"/>
          <w:highlight w:val="none"/>
        </w:rPr>
        <w:t>附件</w:t>
      </w:r>
      <w:r>
        <w:rPr>
          <w:rFonts w:hint="eastAsia" w:ascii="宋体" w:hAnsi="宋体"/>
          <w:b/>
          <w:bCs/>
          <w:color w:val="auto"/>
          <w:sz w:val="21"/>
          <w:szCs w:val="21"/>
          <w:highlight w:val="none"/>
          <w:lang w:eastAsia="zh-CN"/>
        </w:rPr>
        <w:t>五</w:t>
      </w:r>
      <w:r>
        <w:rPr>
          <w:rFonts w:hint="eastAsia" w:ascii="宋体" w:hAnsi="宋体"/>
          <w:b/>
          <w:bCs/>
          <w:color w:val="auto"/>
          <w:sz w:val="21"/>
          <w:szCs w:val="21"/>
          <w:highlight w:val="none"/>
        </w:rPr>
        <w:t xml:space="preserve"> 履约保证金格式</w:t>
      </w:r>
    </w:p>
    <w:p w14:paraId="281F3723">
      <w:pPr>
        <w:adjustRightInd w:val="0"/>
        <w:snapToGrid w:val="0"/>
        <w:spacing w:line="360" w:lineRule="auto"/>
        <w:rPr>
          <w:rFonts w:ascii="宋体" w:hAnsi="宋体"/>
          <w:color w:val="auto"/>
          <w:sz w:val="21"/>
          <w:szCs w:val="21"/>
          <w:highlight w:val="none"/>
        </w:rPr>
      </w:pPr>
      <w:r>
        <w:rPr>
          <w:rFonts w:hint="eastAsia" w:ascii="宋体" w:hAnsi="宋体"/>
          <w:color w:val="auto"/>
          <w:sz w:val="21"/>
          <w:szCs w:val="21"/>
          <w:highlight w:val="none"/>
        </w:rPr>
        <w:t>如采用银行保函，格式如下。</w:t>
      </w:r>
    </w:p>
    <w:p w14:paraId="06DF83D7">
      <w:pPr>
        <w:adjustRightInd w:val="0"/>
        <w:snapToGrid w:val="0"/>
        <w:spacing w:beforeLines="100" w:afterLines="100" w:line="360" w:lineRule="auto"/>
        <w:jc w:val="center"/>
        <w:rPr>
          <w:rFonts w:ascii="宋体" w:hAnsi="宋体"/>
          <w:color w:val="auto"/>
          <w:sz w:val="21"/>
          <w:szCs w:val="21"/>
          <w:highlight w:val="none"/>
        </w:rPr>
      </w:pPr>
      <w:r>
        <w:rPr>
          <w:rFonts w:hint="eastAsia" w:ascii="宋体" w:hAnsi="宋体"/>
          <w:color w:val="auto"/>
          <w:sz w:val="21"/>
          <w:szCs w:val="21"/>
          <w:highlight w:val="none"/>
        </w:rPr>
        <w:t>履约保证金</w:t>
      </w:r>
    </w:p>
    <w:p w14:paraId="4D71B2FE">
      <w:pPr>
        <w:adjustRightInd w:val="0"/>
        <w:snapToGrid w:val="0"/>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（发包人名称）：</w:t>
      </w:r>
    </w:p>
    <w:p w14:paraId="45C301BC">
      <w:pPr>
        <w:pStyle w:val="13"/>
        <w:ind w:firstLine="240"/>
        <w:rPr>
          <w:rFonts w:ascii="宋体"/>
          <w:color w:val="auto"/>
          <w:sz w:val="21"/>
          <w:szCs w:val="21"/>
          <w:highlight w:val="none"/>
        </w:rPr>
      </w:pPr>
      <w:r>
        <w:rPr>
          <w:rFonts w:hint="eastAsia" w:ascii="宋体"/>
          <w:color w:val="auto"/>
          <w:sz w:val="21"/>
          <w:szCs w:val="21"/>
          <w:highlight w:val="none"/>
        </w:rPr>
        <w:t xml:space="preserve"> </w:t>
      </w:r>
    </w:p>
    <w:p w14:paraId="6EB2EB05">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鉴于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（发包人名称，以下简称“发包人”）接受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（承包人名称，以下称“承包人”）于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（项目名称）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标段施工的投标。我方愿意无条件地、不可撤销地就承包人履行与你方订立的合同，向你方提供担保。</w:t>
      </w:r>
    </w:p>
    <w:p w14:paraId="3311C2AB">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1．担保金额人民币（大写）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05A981C5">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2．担保有效期自发包人与承包人签订的合同生效之日起至发包人签发交工验收证书且承包人按照合同约定缴纳质量保证金之日止。</w:t>
      </w:r>
    </w:p>
    <w:p w14:paraId="60FFA017">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3．在本担保有效期内，因承包人违反合同约定的义务给你方造成经济损失时，我方在收到你方以书面形式提出的在担保金额内的赔偿要求后，在7天内无条件支付，无须你方出具证明或陈述理由。</w:t>
      </w:r>
    </w:p>
    <w:p w14:paraId="36FFE69B">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4．发包人和承包人按合同条款第15条变更合同时，无论我方是否收到该变更，我方承担本担保规定的义务不变。</w:t>
      </w:r>
    </w:p>
    <w:p w14:paraId="55856406">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4D9C189A">
      <w:pPr>
        <w:adjustRightInd w:val="0"/>
        <w:snapToGrid w:val="0"/>
        <w:spacing w:line="360" w:lineRule="auto"/>
        <w:ind w:firstLine="420" w:firstLineChars="200"/>
        <w:rPr>
          <w:rFonts w:ascii="宋体" w:hAnsi="宋体"/>
          <w:color w:val="auto"/>
          <w:sz w:val="21"/>
          <w:szCs w:val="21"/>
          <w:highlight w:val="none"/>
        </w:rPr>
      </w:pPr>
      <w:r>
        <w:rPr>
          <w:rFonts w:hint="eastAsia" w:ascii="宋体" w:hAnsi="宋体"/>
          <w:color w:val="auto"/>
          <w:sz w:val="21"/>
          <w:szCs w:val="21"/>
          <w:highlight w:val="none"/>
        </w:rPr>
        <w:t xml:space="preserve"> </w:t>
      </w:r>
    </w:p>
    <w:p w14:paraId="77E69BA7">
      <w:pPr>
        <w:adjustRightInd w:val="0"/>
        <w:snapToGrid w:val="0"/>
        <w:spacing w:line="360" w:lineRule="auto"/>
        <w:ind w:firstLine="3360" w:firstLineChars="1600"/>
        <w:rPr>
          <w:rFonts w:ascii="宋体" w:hAnsi="宋体"/>
          <w:color w:val="auto"/>
          <w:sz w:val="21"/>
          <w:szCs w:val="21"/>
          <w:highlight w:val="none"/>
        </w:rPr>
      </w:pPr>
      <w:r>
        <w:rPr>
          <w:rFonts w:hint="eastAsia" w:ascii="宋体" w:hAnsi="宋体"/>
          <w:color w:val="auto"/>
          <w:sz w:val="21"/>
          <w:szCs w:val="21"/>
          <w:highlight w:val="none"/>
        </w:rPr>
        <w:t>担保人名称：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（盖单位章）</w:t>
      </w:r>
    </w:p>
    <w:p w14:paraId="7A7B6022">
      <w:pPr>
        <w:adjustRightInd w:val="0"/>
        <w:snapToGrid w:val="0"/>
        <w:spacing w:line="360" w:lineRule="auto"/>
        <w:ind w:firstLine="3355" w:firstLineChars="1598"/>
        <w:rPr>
          <w:rFonts w:ascii="宋体" w:hAnsi="宋体"/>
          <w:color w:val="auto"/>
          <w:sz w:val="21"/>
          <w:szCs w:val="21"/>
          <w:highlight w:val="none"/>
        </w:rPr>
      </w:pPr>
      <w:r>
        <w:rPr>
          <w:rFonts w:hint="eastAsia" w:ascii="宋体" w:hAnsi="宋体"/>
          <w:color w:val="auto"/>
          <w:sz w:val="21"/>
          <w:szCs w:val="21"/>
          <w:highlight w:val="none"/>
        </w:rPr>
        <w:t>法定代表人或其委托代理人：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（签字）</w:t>
      </w:r>
    </w:p>
    <w:p w14:paraId="62851B08">
      <w:pPr>
        <w:adjustRightInd w:val="0"/>
        <w:snapToGrid w:val="0"/>
        <w:spacing w:line="360" w:lineRule="auto"/>
        <w:ind w:firstLine="3355" w:firstLineChars="1598"/>
        <w:rPr>
          <w:rFonts w:ascii="宋体" w:hAnsi="宋体"/>
          <w:color w:val="auto"/>
          <w:sz w:val="21"/>
          <w:szCs w:val="21"/>
          <w:highlight w:val="none"/>
          <w:u w:val="single"/>
        </w:rPr>
      </w:pPr>
      <w:r>
        <w:rPr>
          <w:rFonts w:hint="eastAsia" w:ascii="宋体" w:hAnsi="宋体"/>
          <w:color w:val="auto"/>
          <w:sz w:val="21"/>
          <w:szCs w:val="21"/>
          <w:highlight w:val="none"/>
        </w:rPr>
        <w:t>地    址：</w:t>
      </w:r>
      <w:r>
        <w:rPr>
          <w:rFonts w:hint="eastAsia" w:ascii="宋体" w:hAnsi="宋体"/>
          <w:color w:val="auto"/>
          <w:sz w:val="21"/>
          <w:szCs w:val="21"/>
          <w:highlight w:val="none"/>
          <w:u w:val="single"/>
        </w:rPr>
        <w:t xml:space="preserve">                                 </w:t>
      </w:r>
    </w:p>
    <w:p w14:paraId="04262B76">
      <w:pPr>
        <w:adjustRightInd w:val="0"/>
        <w:snapToGrid w:val="0"/>
        <w:spacing w:line="360" w:lineRule="auto"/>
        <w:ind w:firstLine="3355" w:firstLineChars="1598"/>
        <w:rPr>
          <w:rFonts w:ascii="宋体" w:hAnsi="宋体"/>
          <w:color w:val="auto"/>
          <w:sz w:val="21"/>
          <w:szCs w:val="21"/>
          <w:highlight w:val="none"/>
          <w:u w:val="single"/>
        </w:rPr>
      </w:pPr>
      <w:r>
        <w:rPr>
          <w:rFonts w:hint="eastAsia" w:ascii="宋体" w:hAnsi="宋体"/>
          <w:color w:val="auto"/>
          <w:sz w:val="21"/>
          <w:szCs w:val="21"/>
          <w:highlight w:val="none"/>
        </w:rPr>
        <w:t>邮政编码：</w:t>
      </w:r>
      <w:r>
        <w:rPr>
          <w:rFonts w:hint="eastAsia" w:ascii="宋体" w:hAnsi="宋体"/>
          <w:color w:val="auto"/>
          <w:sz w:val="21"/>
          <w:szCs w:val="21"/>
          <w:highlight w:val="none"/>
          <w:u w:val="single"/>
        </w:rPr>
        <w:t xml:space="preserve">                                 </w:t>
      </w:r>
    </w:p>
    <w:p w14:paraId="17AABD93">
      <w:pPr>
        <w:adjustRightInd w:val="0"/>
        <w:snapToGrid w:val="0"/>
        <w:spacing w:line="360" w:lineRule="auto"/>
        <w:ind w:firstLine="3355" w:firstLineChars="1598"/>
        <w:rPr>
          <w:rFonts w:ascii="宋体" w:hAnsi="宋体"/>
          <w:color w:val="auto"/>
          <w:sz w:val="21"/>
          <w:szCs w:val="21"/>
          <w:highlight w:val="none"/>
          <w:u w:val="single"/>
        </w:rPr>
      </w:pPr>
      <w:r>
        <w:rPr>
          <w:rFonts w:hint="eastAsia" w:ascii="宋体" w:hAnsi="宋体"/>
          <w:color w:val="auto"/>
          <w:sz w:val="21"/>
          <w:szCs w:val="21"/>
          <w:highlight w:val="none"/>
        </w:rPr>
        <w:t>电    话：</w:t>
      </w:r>
      <w:r>
        <w:rPr>
          <w:rFonts w:hint="eastAsia" w:ascii="宋体" w:hAnsi="宋体"/>
          <w:color w:val="auto"/>
          <w:sz w:val="21"/>
          <w:szCs w:val="21"/>
          <w:highlight w:val="none"/>
          <w:u w:val="single"/>
        </w:rPr>
        <w:t xml:space="preserve">                                 </w:t>
      </w:r>
    </w:p>
    <w:p w14:paraId="07513F2D">
      <w:pPr>
        <w:adjustRightInd w:val="0"/>
        <w:snapToGrid w:val="0"/>
        <w:spacing w:line="360" w:lineRule="auto"/>
        <w:ind w:firstLine="3355" w:firstLineChars="1598"/>
        <w:rPr>
          <w:rFonts w:ascii="宋体" w:hAnsi="宋体"/>
          <w:color w:val="auto"/>
          <w:sz w:val="21"/>
          <w:szCs w:val="21"/>
          <w:highlight w:val="none"/>
          <w:u w:val="single"/>
        </w:rPr>
      </w:pPr>
      <w:r>
        <w:rPr>
          <w:rFonts w:hint="eastAsia" w:ascii="宋体" w:hAnsi="宋体"/>
          <w:color w:val="auto"/>
          <w:sz w:val="21"/>
          <w:szCs w:val="21"/>
          <w:highlight w:val="none"/>
        </w:rPr>
        <w:t>传    真：</w:t>
      </w:r>
      <w:r>
        <w:rPr>
          <w:rFonts w:hint="eastAsia" w:ascii="宋体" w:hAnsi="宋体"/>
          <w:color w:val="auto"/>
          <w:sz w:val="21"/>
          <w:szCs w:val="21"/>
          <w:highlight w:val="none"/>
          <w:u w:val="single"/>
        </w:rPr>
        <w:t xml:space="preserve">                                 </w:t>
      </w:r>
    </w:p>
    <w:p w14:paraId="3F45DA13">
      <w:pPr>
        <w:adjustRightInd w:val="0"/>
        <w:snapToGrid w:val="0"/>
        <w:spacing w:line="360" w:lineRule="auto"/>
        <w:ind w:firstLine="6090" w:firstLineChars="2900"/>
        <w:rPr>
          <w:rFonts w:ascii="宋体" w:hAnsi="宋体"/>
          <w:color w:val="auto"/>
          <w:sz w:val="24"/>
          <w:szCs w:val="24"/>
          <w:highlight w:val="none"/>
        </w:rPr>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日</w:t>
      </w:r>
    </w:p>
    <w:p w14:paraId="0EA498B9">
      <w:pPr>
        <w:pStyle w:val="18"/>
        <w:autoSpaceDE w:val="0"/>
        <w:snapToGrid w:val="0"/>
        <w:spacing w:line="400" w:lineRule="exact"/>
        <w:ind w:firstLine="3360" w:firstLineChars="1400"/>
        <w:jc w:val="left"/>
        <w:rPr>
          <w:rFonts w:hAnsi="宋体"/>
          <w:color w:val="auto"/>
          <w:sz w:val="24"/>
          <w:szCs w:val="24"/>
          <w:highlight w:val="none"/>
        </w:rPr>
      </w:pPr>
      <w:r>
        <w:rPr>
          <w:rFonts w:hint="eastAsia" w:ascii="宋体" w:hAnsi="宋体"/>
          <w:color w:val="auto"/>
          <w:sz w:val="24"/>
          <w:szCs w:val="24"/>
          <w:highlight w:val="none"/>
        </w:rPr>
        <w:br w:type="page"/>
      </w:r>
    </w:p>
    <w:p w14:paraId="24A23F69">
      <w:pPr>
        <w:pStyle w:val="27"/>
        <w:spacing w:before="240" w:beforeLines="0" w:after="60" w:afterLines="0"/>
        <w:rPr>
          <w:rFonts w:hint="eastAsia" w:ascii="宋体" w:hAnsi="宋体" w:eastAsia="宋体" w:cs="宋体"/>
          <w:color w:val="auto"/>
          <w:highlight w:val="none"/>
        </w:rPr>
      </w:pPr>
      <w:bookmarkStart w:id="532" w:name="_Toc23375"/>
      <w:bookmarkEnd w:id="532"/>
      <w:r>
        <w:rPr>
          <w:rFonts w:hint="eastAsia" w:ascii="宋体" w:hAnsi="宋体" w:eastAsia="宋体" w:cs="宋体"/>
          <w:color w:val="auto"/>
          <w:highlight w:val="none"/>
        </w:rPr>
        <w:t xml:space="preserve"> </w:t>
      </w:r>
      <w:bookmarkStart w:id="533" w:name="_Toc82772086"/>
      <w:bookmarkStart w:id="534" w:name="_Toc19316"/>
      <w:bookmarkStart w:id="535" w:name="_Toc18381"/>
      <w:r>
        <w:rPr>
          <w:rFonts w:hint="eastAsia" w:ascii="宋体" w:hAnsi="宋体" w:eastAsia="宋体" w:cs="宋体"/>
          <w:color w:val="auto"/>
          <w:highlight w:val="none"/>
        </w:rPr>
        <w:t>第</w:t>
      </w:r>
      <w:r>
        <w:rPr>
          <w:rFonts w:hint="eastAsia" w:ascii="宋体" w:hAnsi="宋体" w:eastAsia="宋体" w:cs="宋体"/>
          <w:color w:val="auto"/>
          <w:highlight w:val="none"/>
          <w:lang w:eastAsia="zh-CN"/>
        </w:rPr>
        <w:t>六</w:t>
      </w:r>
      <w:r>
        <w:rPr>
          <w:rFonts w:hint="eastAsia" w:ascii="宋体" w:hAnsi="宋体" w:eastAsia="宋体" w:cs="宋体"/>
          <w:color w:val="auto"/>
          <w:highlight w:val="none"/>
        </w:rPr>
        <w:t>章  工程量清单</w:t>
      </w:r>
      <w:bookmarkEnd w:id="533"/>
      <w:bookmarkEnd w:id="534"/>
      <w:bookmarkEnd w:id="535"/>
    </w:p>
    <w:p w14:paraId="2302B97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0"/>
        <w:rPr>
          <w:rFonts w:ascii="宋体" w:hAnsi="宋体"/>
          <w:color w:val="auto"/>
          <w:sz w:val="21"/>
          <w:szCs w:val="21"/>
          <w:highlight w:val="none"/>
        </w:rPr>
      </w:pPr>
      <w:bookmarkStart w:id="536" w:name="_Toc32430"/>
      <w:r>
        <w:rPr>
          <w:rFonts w:hint="eastAsia" w:ascii="宋体" w:hAnsi="宋体"/>
          <w:b/>
          <w:bCs/>
          <w:color w:val="auto"/>
          <w:sz w:val="21"/>
          <w:szCs w:val="21"/>
          <w:highlight w:val="none"/>
        </w:rPr>
        <w:t>1. 工程量清单说明</w:t>
      </w:r>
      <w:bookmarkEnd w:id="536"/>
    </w:p>
    <w:p w14:paraId="7993D142">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1.1 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p>
    <w:p w14:paraId="14325C22">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1.2 本工程量清单应与招标文件中的投标人须知、通用合同条款、专用合同条款、工程量清单计量规则、技术规范及图纸等一起阅读和理解。</w:t>
      </w:r>
    </w:p>
    <w:p w14:paraId="24BA60F9">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1.3 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p>
    <w:p w14:paraId="70BEFEAC">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1.4 工程量清单各章是按第</w:t>
      </w:r>
      <w:r>
        <w:rPr>
          <w:rFonts w:hint="eastAsia" w:ascii="宋体" w:hAnsi="宋体"/>
          <w:color w:val="auto"/>
          <w:sz w:val="21"/>
          <w:szCs w:val="21"/>
          <w:highlight w:val="none"/>
          <w:lang w:val="en-US" w:eastAsia="zh-CN"/>
        </w:rPr>
        <w:t>九</w:t>
      </w:r>
      <w:r>
        <w:rPr>
          <w:rFonts w:hint="eastAsia" w:ascii="宋体" w:hAnsi="宋体"/>
          <w:color w:val="auto"/>
          <w:sz w:val="21"/>
          <w:szCs w:val="21"/>
          <w:highlight w:val="none"/>
        </w:rPr>
        <w:t>章“工程量清单计量规则”、第</w:t>
      </w:r>
      <w:r>
        <w:rPr>
          <w:rFonts w:hint="eastAsia" w:ascii="宋体" w:hAnsi="宋体"/>
          <w:color w:val="auto"/>
          <w:sz w:val="21"/>
          <w:szCs w:val="21"/>
          <w:highlight w:val="none"/>
          <w:lang w:val="en-US" w:eastAsia="zh-CN"/>
        </w:rPr>
        <w:t>八</w:t>
      </w:r>
      <w:r>
        <w:rPr>
          <w:rFonts w:hint="eastAsia" w:ascii="宋体" w:hAnsi="宋体"/>
          <w:color w:val="auto"/>
          <w:sz w:val="21"/>
          <w:szCs w:val="21"/>
          <w:highlight w:val="none"/>
        </w:rPr>
        <w:t>章“技术规范”的相应章次编号的，因此，工程量清单中各章的工程子目的范围与计量等应与“工程量清单计量规则”、“技术规范”相应章节的范围、计量与支付条款结合起来理解或解释。</w:t>
      </w:r>
    </w:p>
    <w:p w14:paraId="242A6E90">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1.5 对作业和材料的一般说明或规定，未重复写入工程量清单内，在给工程量清单各子目标价前，应参阅第</w:t>
      </w:r>
      <w:r>
        <w:rPr>
          <w:rFonts w:hint="eastAsia" w:ascii="宋体" w:hAnsi="宋体"/>
          <w:color w:val="auto"/>
          <w:sz w:val="21"/>
          <w:szCs w:val="21"/>
          <w:highlight w:val="none"/>
          <w:lang w:val="en-US" w:eastAsia="zh-CN"/>
        </w:rPr>
        <w:t>八</w:t>
      </w:r>
      <w:r>
        <w:rPr>
          <w:rFonts w:hint="eastAsia" w:ascii="宋体" w:hAnsi="宋体"/>
          <w:color w:val="auto"/>
          <w:sz w:val="21"/>
          <w:szCs w:val="21"/>
          <w:highlight w:val="none"/>
        </w:rPr>
        <w:t>章“技术规范”的有关内容。</w:t>
      </w:r>
    </w:p>
    <w:p w14:paraId="5E5C5F0D">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1.6 工程量清单中所列工程量的变动，丝毫不会降低或影响合同条款的效力，也不免除承包人按规定的标准进行施工和修复缺陷的责任。</w:t>
      </w:r>
    </w:p>
    <w:p w14:paraId="2FF06449">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1.7 图纸中所列的工程数量表及数量汇总表仅是提供资料，不是工程量清单的外延。当图纸与工程量清单所列数量不一致时，以工程量清单所列数量作为报价的依据。</w:t>
      </w:r>
    </w:p>
    <w:p w14:paraId="3CF8A219">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0"/>
        <w:rPr>
          <w:rFonts w:ascii="宋体" w:hAnsi="宋体"/>
          <w:b/>
          <w:bCs/>
          <w:color w:val="auto"/>
          <w:sz w:val="21"/>
          <w:szCs w:val="21"/>
          <w:highlight w:val="none"/>
        </w:rPr>
      </w:pPr>
      <w:bookmarkStart w:id="537" w:name="_Toc31456"/>
      <w:r>
        <w:rPr>
          <w:rFonts w:hint="eastAsia" w:ascii="宋体" w:hAnsi="宋体"/>
          <w:b/>
          <w:bCs/>
          <w:color w:val="auto"/>
          <w:sz w:val="21"/>
          <w:szCs w:val="21"/>
          <w:highlight w:val="none"/>
        </w:rPr>
        <w:t>2. 投标报价说明</w:t>
      </w:r>
      <w:bookmarkEnd w:id="537"/>
    </w:p>
    <w:p w14:paraId="017A48B4">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2.1 工程量清单中的每一子目须填入单价或价格，且只允许有一个报价。</w:t>
      </w:r>
    </w:p>
    <w:p w14:paraId="3AAFF47B">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2.2 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4FF6A4CD">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sz w:val="21"/>
          <w:szCs w:val="21"/>
          <w:highlight w:val="none"/>
        </w:rPr>
      </w:pPr>
      <w:r>
        <w:rPr>
          <w:rFonts w:hint="eastAsia" w:ascii="宋体" w:hAnsi="宋体"/>
          <w:color w:val="auto"/>
          <w:sz w:val="21"/>
          <w:szCs w:val="21"/>
          <w:highlight w:val="none"/>
        </w:rPr>
        <w:t>2.3 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0BD0F113">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2.4 符合合同条款规定的全部费用应认为已被计入有标价的工程量清单所列各子目之中，未列子目不予计量的工作，其费用应视为已分摊在本合同工程的有关子目的单价或总额价之中。</w:t>
      </w:r>
    </w:p>
    <w:p w14:paraId="01673753">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2.5 承包人用于本合同工程的各类装备的提供、运输、维护、拆卸、拼装等支付的费用，已包括在工程量清单的单价与总额价之中。</w:t>
      </w:r>
    </w:p>
    <w:p w14:paraId="49D385F4">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2.6 工程量清单中各项金额均以人民币（元）结算。</w:t>
      </w:r>
    </w:p>
    <w:p w14:paraId="40518196">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2.7 暂列金额（不含计日工总额）的数量及拟用子目的说明：</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u w:val="single"/>
          <w:lang w:val="en-US" w:eastAsia="zh-CN"/>
        </w:rPr>
        <w:t>/</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594C3B6B">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2.8 暂估价的数量及拟用子目的说明：</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u w:val="single"/>
          <w:lang w:val="en-US" w:eastAsia="zh-CN"/>
        </w:rPr>
        <w:t>/</w:t>
      </w:r>
      <w:r>
        <w:rPr>
          <w:rFonts w:hint="eastAsia" w:ascii="宋体" w:hAnsi="宋体"/>
          <w:color w:val="auto"/>
          <w:kern w:val="0"/>
          <w:sz w:val="21"/>
          <w:szCs w:val="21"/>
          <w:highlight w:val="none"/>
          <w:u w:val="single"/>
        </w:rPr>
        <w:t xml:space="preserve">    </w:t>
      </w:r>
      <w:r>
        <w:rPr>
          <w:rFonts w:hint="eastAsia" w:ascii="宋体" w:hAnsi="宋体"/>
          <w:color w:val="auto"/>
          <w:kern w:val="0"/>
          <w:sz w:val="21"/>
          <w:szCs w:val="21"/>
          <w:highlight w:val="none"/>
        </w:rPr>
        <w:t>。</w:t>
      </w:r>
    </w:p>
    <w:p w14:paraId="124BF5E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0"/>
        <w:rPr>
          <w:rFonts w:ascii="宋体" w:hAnsi="宋体"/>
          <w:b/>
          <w:bCs/>
          <w:color w:val="auto"/>
          <w:kern w:val="0"/>
          <w:sz w:val="21"/>
          <w:szCs w:val="21"/>
          <w:highlight w:val="none"/>
        </w:rPr>
      </w:pPr>
      <w:bookmarkStart w:id="538" w:name="_Toc9596"/>
      <w:r>
        <w:rPr>
          <w:rFonts w:hint="eastAsia" w:ascii="宋体" w:hAnsi="宋体"/>
          <w:b/>
          <w:bCs/>
          <w:color w:val="auto"/>
          <w:kern w:val="0"/>
          <w:sz w:val="21"/>
          <w:szCs w:val="21"/>
          <w:highlight w:val="none"/>
        </w:rPr>
        <w:t>3. 计日工说明</w:t>
      </w:r>
      <w:bookmarkEnd w:id="538"/>
    </w:p>
    <w:p w14:paraId="3F8205A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1"/>
        <w:rPr>
          <w:rFonts w:ascii="宋体" w:hAnsi="宋体"/>
          <w:b/>
          <w:bCs/>
          <w:color w:val="auto"/>
          <w:kern w:val="0"/>
          <w:sz w:val="21"/>
          <w:szCs w:val="21"/>
          <w:highlight w:val="none"/>
        </w:rPr>
      </w:pPr>
      <w:bookmarkStart w:id="539" w:name="_Toc769"/>
      <w:r>
        <w:rPr>
          <w:rFonts w:hint="eastAsia" w:ascii="宋体" w:hAnsi="宋体"/>
          <w:b/>
          <w:bCs/>
          <w:color w:val="auto"/>
          <w:kern w:val="0"/>
          <w:sz w:val="21"/>
          <w:szCs w:val="21"/>
          <w:highlight w:val="none"/>
        </w:rPr>
        <w:t>3.1 总则</w:t>
      </w:r>
      <w:bookmarkEnd w:id="539"/>
    </w:p>
    <w:p w14:paraId="2F20FB74">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（1）本说明应参照通用合同条款第15.7款一并理解。</w:t>
      </w:r>
    </w:p>
    <w:p w14:paraId="428449F9">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（2）未经监理人书面指令，任何工程不得按计日工施工；接到监理人按计日工施工的书面指令，承包人也不得拒绝。</w:t>
      </w:r>
    </w:p>
    <w:p w14:paraId="395E5C24">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3）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p>
    <w:p w14:paraId="697EB12E">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（4）计日工不调价。</w:t>
      </w:r>
    </w:p>
    <w:p w14:paraId="133F2A4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1"/>
        <w:rPr>
          <w:rFonts w:ascii="宋体" w:hAnsi="宋体"/>
          <w:b/>
          <w:bCs/>
          <w:color w:val="auto"/>
          <w:kern w:val="0"/>
          <w:sz w:val="21"/>
          <w:szCs w:val="21"/>
          <w:highlight w:val="none"/>
        </w:rPr>
      </w:pPr>
      <w:bookmarkStart w:id="540" w:name="_Toc24982"/>
      <w:r>
        <w:rPr>
          <w:rFonts w:hint="eastAsia" w:ascii="宋体" w:hAnsi="宋体"/>
          <w:b/>
          <w:bCs/>
          <w:color w:val="auto"/>
          <w:kern w:val="0"/>
          <w:sz w:val="21"/>
          <w:szCs w:val="21"/>
          <w:highlight w:val="none"/>
        </w:rPr>
        <w:t>3.2 计日工劳务</w:t>
      </w:r>
      <w:bookmarkEnd w:id="540"/>
    </w:p>
    <w:p w14:paraId="6C732B07">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p>
    <w:p w14:paraId="61760721">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（2）承包人可以得到用于计日工劳务的全部工时的支付，此支付按承包人填报的“计日工劳务单价表”所列单价计算，该单价应包括基本单价及承包人的管理费、税费、利润等所有附加费，说明如下：</w:t>
      </w:r>
    </w:p>
    <w:p w14:paraId="42ED2627">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a.劳务基本单价包括：承包人劳务的全部直接费用，如：工资、加班费、津贴、福利费及劳动保护费等。</w:t>
      </w:r>
    </w:p>
    <w:p w14:paraId="092C13C5">
      <w:pPr>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jc w:val="left"/>
        <w:textAlignment w:val="auto"/>
        <w:rPr>
          <w:rFonts w:ascii="宋体" w:hAnsi="宋体"/>
          <w:color w:val="auto"/>
          <w:kern w:val="0"/>
          <w:sz w:val="21"/>
          <w:szCs w:val="21"/>
          <w:highlight w:val="none"/>
        </w:rPr>
      </w:pPr>
      <w:r>
        <w:rPr>
          <w:rFonts w:hint="eastAsia" w:ascii="宋体" w:hAnsi="宋体"/>
          <w:color w:val="auto"/>
          <w:kern w:val="0"/>
          <w:sz w:val="21"/>
          <w:szCs w:val="21"/>
          <w:highlight w:val="none"/>
        </w:rPr>
        <w:t>b.承包人的利润、管理、质检、保险、税费；易耗品的使用，水电及照明费，工作台、脚手架、临时设施费，手动机具与工具的使用及维修，以及上述各项伴随而来的费用。</w:t>
      </w:r>
    </w:p>
    <w:p w14:paraId="45FE013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outlineLvl w:val="1"/>
        <w:rPr>
          <w:rFonts w:ascii="宋体" w:hAnsi="宋体"/>
          <w:b/>
          <w:bCs/>
          <w:color w:val="auto"/>
          <w:sz w:val="21"/>
          <w:szCs w:val="21"/>
          <w:highlight w:val="none"/>
        </w:rPr>
      </w:pPr>
      <w:bookmarkStart w:id="541" w:name="_Toc29409"/>
      <w:r>
        <w:rPr>
          <w:rFonts w:hint="eastAsia" w:ascii="宋体" w:hAnsi="宋体"/>
          <w:b/>
          <w:bCs/>
          <w:color w:val="auto"/>
          <w:kern w:val="0"/>
          <w:sz w:val="21"/>
          <w:szCs w:val="21"/>
          <w:highlight w:val="none"/>
        </w:rPr>
        <w:t>3.3 计日工材料</w:t>
      </w:r>
      <w:bookmarkEnd w:id="541"/>
    </w:p>
    <w:p w14:paraId="1A5539D6">
      <w:pPr>
        <w:pStyle w:val="34"/>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textAlignment w:val="auto"/>
        <w:rPr>
          <w:rFonts w:hAnsi="宋体"/>
          <w:color w:val="auto"/>
          <w:sz w:val="21"/>
          <w:szCs w:val="21"/>
          <w:highlight w:val="none"/>
        </w:rPr>
      </w:pPr>
      <w:r>
        <w:rPr>
          <w:rFonts w:hint="eastAsia" w:hAnsi="宋体"/>
          <w:color w:val="auto"/>
          <w:sz w:val="21"/>
          <w:szCs w:val="21"/>
          <w:highlight w:val="none"/>
        </w:rPr>
        <w:t>承包人可以得到计日工使用的材料费用（上述3.2款已计入劳务费内的材料费用除外）的支付，此费用按承包人“计日工材料单价表”中所填报的单价计算，该单价应包括基本单价及承包人的管理费、税费、利润等所有附加费，说明如下：</w:t>
      </w:r>
    </w:p>
    <w:p w14:paraId="0EC07CA2">
      <w:pPr>
        <w:pStyle w:val="34"/>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textAlignment w:val="auto"/>
        <w:rPr>
          <w:rFonts w:hAnsi="宋体"/>
          <w:color w:val="auto"/>
          <w:sz w:val="21"/>
          <w:szCs w:val="21"/>
          <w:highlight w:val="none"/>
        </w:rPr>
      </w:pPr>
      <w:r>
        <w:rPr>
          <w:rFonts w:hint="eastAsia" w:hAnsi="宋体"/>
          <w:color w:val="auto"/>
          <w:sz w:val="21"/>
          <w:szCs w:val="21"/>
          <w:highlight w:val="none"/>
        </w:rPr>
        <w:t>（1）材料基本单价按供货价加运杂费（到达承包人现场仓库）、保险费、仓库管理费以及运输损耗等计算；</w:t>
      </w:r>
    </w:p>
    <w:p w14:paraId="19A7F653">
      <w:pPr>
        <w:pStyle w:val="34"/>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textAlignment w:val="auto"/>
        <w:rPr>
          <w:rFonts w:hAnsi="宋体"/>
          <w:color w:val="auto"/>
          <w:sz w:val="21"/>
          <w:szCs w:val="21"/>
          <w:highlight w:val="none"/>
        </w:rPr>
      </w:pPr>
      <w:r>
        <w:rPr>
          <w:rFonts w:hint="eastAsia" w:hAnsi="宋体"/>
          <w:color w:val="auto"/>
          <w:sz w:val="21"/>
          <w:szCs w:val="21"/>
          <w:highlight w:val="none"/>
        </w:rPr>
        <w:t>（2）承包人的利润、管理、质检、保险、税费及其他附加费；</w:t>
      </w:r>
    </w:p>
    <w:p w14:paraId="6FD3CB3C">
      <w:pPr>
        <w:pStyle w:val="34"/>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textAlignment w:val="auto"/>
        <w:rPr>
          <w:rFonts w:hAnsi="宋体"/>
          <w:color w:val="auto"/>
          <w:sz w:val="21"/>
          <w:szCs w:val="21"/>
          <w:highlight w:val="none"/>
        </w:rPr>
      </w:pPr>
      <w:r>
        <w:rPr>
          <w:rFonts w:hint="eastAsia" w:hAnsi="宋体"/>
          <w:color w:val="auto"/>
          <w:sz w:val="21"/>
          <w:szCs w:val="21"/>
          <w:highlight w:val="none"/>
        </w:rPr>
        <w:t>（3）从现场运至使用地点的人工费和施工机械使用费不包括在上述基本单价内。</w:t>
      </w:r>
    </w:p>
    <w:p w14:paraId="649BC9D2">
      <w:pPr>
        <w:pStyle w:val="34"/>
        <w:keepNext w:val="0"/>
        <w:keepLines w:val="0"/>
        <w:pageBreakBefore w:val="0"/>
        <w:widowControl w:val="0"/>
        <w:kinsoku/>
        <w:wordWrap/>
        <w:overflowPunct/>
        <w:topLinePunct w:val="0"/>
        <w:autoSpaceDE w:val="0"/>
        <w:autoSpaceDN w:val="0"/>
        <w:bidi w:val="0"/>
        <w:adjustRightInd w:val="0"/>
        <w:snapToGrid/>
        <w:spacing w:line="360" w:lineRule="auto"/>
        <w:textAlignment w:val="auto"/>
        <w:outlineLvl w:val="1"/>
        <w:rPr>
          <w:rFonts w:hAnsi="宋体"/>
          <w:b/>
          <w:bCs/>
          <w:color w:val="auto"/>
          <w:sz w:val="21"/>
          <w:szCs w:val="21"/>
          <w:highlight w:val="none"/>
        </w:rPr>
      </w:pPr>
      <w:bookmarkStart w:id="542" w:name="_Toc16528"/>
      <w:r>
        <w:rPr>
          <w:rFonts w:hint="eastAsia" w:hAnsi="宋体"/>
          <w:b/>
          <w:bCs/>
          <w:color w:val="auto"/>
          <w:sz w:val="21"/>
          <w:szCs w:val="21"/>
          <w:highlight w:val="none"/>
        </w:rPr>
        <w:t>3.4 计日工施工机械</w:t>
      </w:r>
      <w:bookmarkEnd w:id="542"/>
    </w:p>
    <w:p w14:paraId="25B0268E">
      <w:pPr>
        <w:pStyle w:val="34"/>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textAlignment w:val="auto"/>
        <w:rPr>
          <w:rFonts w:hAnsi="宋体"/>
          <w:color w:val="auto"/>
          <w:sz w:val="21"/>
          <w:szCs w:val="21"/>
          <w:highlight w:val="none"/>
        </w:rPr>
      </w:pPr>
      <w:r>
        <w:rPr>
          <w:rFonts w:hint="eastAsia" w:hAnsi="宋体"/>
          <w:color w:val="auto"/>
          <w:sz w:val="21"/>
          <w:szCs w:val="21"/>
          <w:highlight w:val="none"/>
        </w:rPr>
        <w:t>（1）承包人可以得到用于计日工作业的施工机械费用的支付，该费用按承包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14:paraId="42A6EB8A">
      <w:pPr>
        <w:pStyle w:val="34"/>
        <w:keepNext w:val="0"/>
        <w:keepLines w:val="0"/>
        <w:pageBreakBefore w:val="0"/>
        <w:widowControl w:val="0"/>
        <w:kinsoku/>
        <w:wordWrap/>
        <w:overflowPunct/>
        <w:topLinePunct w:val="0"/>
        <w:autoSpaceDE w:val="0"/>
        <w:autoSpaceDN w:val="0"/>
        <w:bidi w:val="0"/>
        <w:adjustRightInd w:val="0"/>
        <w:snapToGrid/>
        <w:spacing w:line="360" w:lineRule="auto"/>
        <w:ind w:firstLine="495" w:firstLineChars="236"/>
        <w:textAlignment w:val="auto"/>
        <w:rPr>
          <w:rFonts w:hAnsi="宋体"/>
          <w:color w:val="auto"/>
          <w:sz w:val="21"/>
          <w:szCs w:val="21"/>
          <w:highlight w:val="none"/>
        </w:rPr>
      </w:pPr>
      <w:r>
        <w:rPr>
          <w:rFonts w:hint="eastAsia" w:hAnsi="宋体"/>
          <w:color w:val="auto"/>
          <w:sz w:val="21"/>
          <w:szCs w:val="21"/>
          <w:highlight w:val="none"/>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14:paraId="7A6E9E18">
      <w:pPr>
        <w:keepNext w:val="0"/>
        <w:keepLines w:val="0"/>
        <w:pageBreakBefore w:val="0"/>
        <w:widowControl w:val="0"/>
        <w:kinsoku/>
        <w:wordWrap/>
        <w:overflowPunct/>
        <w:topLinePunct w:val="0"/>
        <w:autoSpaceDE w:val="0"/>
        <w:autoSpaceDN w:val="0"/>
        <w:bidi w:val="0"/>
        <w:adjustRightInd w:val="0"/>
        <w:snapToGrid/>
        <w:spacing w:line="360" w:lineRule="auto"/>
        <w:textAlignment w:val="auto"/>
        <w:outlineLvl w:val="0"/>
        <w:rPr>
          <w:rFonts w:ascii="宋体" w:hAnsi="宋体"/>
          <w:b/>
          <w:bCs/>
          <w:color w:val="auto"/>
          <w:sz w:val="24"/>
          <w:szCs w:val="24"/>
          <w:highlight w:val="none"/>
        </w:rPr>
      </w:pPr>
      <w:bookmarkStart w:id="543" w:name="_Toc30913"/>
      <w:r>
        <w:rPr>
          <w:rFonts w:hint="eastAsia" w:ascii="宋体" w:hAnsi="宋体"/>
          <w:b/>
          <w:bCs/>
          <w:color w:val="auto"/>
          <w:sz w:val="21"/>
          <w:szCs w:val="21"/>
          <w:highlight w:val="none"/>
        </w:rPr>
        <w:t>4. 工程量清单另册</w:t>
      </w:r>
      <w:bookmarkEnd w:id="543"/>
    </w:p>
    <w:p w14:paraId="13E4C928">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2984F3F9">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772B9BD7">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246FBB93">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1DC3D973">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21B5CA7E">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6C0E2C90">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25A4F200">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018C413E">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4EE88506">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22840D50">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7549E919">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42707375">
      <w:pPr>
        <w:autoSpaceDE w:val="0"/>
        <w:autoSpaceDN w:val="0"/>
        <w:adjustRightInd w:val="0"/>
        <w:spacing w:line="360" w:lineRule="auto"/>
        <w:ind w:firstLine="720" w:firstLineChars="200"/>
        <w:jc w:val="center"/>
        <w:rPr>
          <w:rFonts w:hint="eastAsia" w:ascii="宋体" w:hAnsi="宋体"/>
          <w:color w:val="auto"/>
          <w:sz w:val="36"/>
          <w:szCs w:val="36"/>
          <w:highlight w:val="none"/>
        </w:rPr>
      </w:pPr>
    </w:p>
    <w:p w14:paraId="0C4B69E0">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42D63A72">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69AB4FCF">
      <w:pPr>
        <w:autoSpaceDE w:val="0"/>
        <w:autoSpaceDN w:val="0"/>
        <w:adjustRightInd w:val="0"/>
        <w:spacing w:line="360" w:lineRule="auto"/>
        <w:ind w:firstLine="720" w:firstLineChars="200"/>
        <w:jc w:val="center"/>
        <w:rPr>
          <w:rFonts w:ascii="宋体" w:hAnsi="宋体"/>
          <w:color w:val="auto"/>
          <w:sz w:val="36"/>
          <w:szCs w:val="36"/>
          <w:highlight w:val="none"/>
        </w:rPr>
      </w:pPr>
      <w:r>
        <w:rPr>
          <w:rFonts w:hint="eastAsia" w:ascii="宋体" w:hAnsi="宋体"/>
          <w:color w:val="auto"/>
          <w:sz w:val="36"/>
          <w:szCs w:val="36"/>
          <w:highlight w:val="none"/>
        </w:rPr>
        <w:t xml:space="preserve"> </w:t>
      </w:r>
    </w:p>
    <w:p w14:paraId="77993D5A">
      <w:pPr>
        <w:autoSpaceDE w:val="0"/>
        <w:autoSpaceDN w:val="0"/>
        <w:adjustRightInd w:val="0"/>
        <w:spacing w:line="360" w:lineRule="auto"/>
        <w:jc w:val="center"/>
        <w:outlineLvl w:val="0"/>
        <w:rPr>
          <w:rFonts w:ascii="宋体" w:hAnsi="宋体"/>
          <w:color w:val="auto"/>
          <w:sz w:val="36"/>
          <w:szCs w:val="36"/>
          <w:highlight w:val="none"/>
        </w:rPr>
      </w:pPr>
      <w:bookmarkStart w:id="544" w:name="_Toc82772087"/>
      <w:bookmarkStart w:id="545" w:name="_Toc7844"/>
      <w:bookmarkStart w:id="546" w:name="_Toc15011"/>
      <w:r>
        <w:rPr>
          <w:rStyle w:val="42"/>
          <w:rFonts w:hint="eastAsia" w:ascii="宋体" w:hAnsi="宋体" w:eastAsia="宋体" w:cs="宋体"/>
          <w:color w:val="auto"/>
          <w:highlight w:val="none"/>
        </w:rPr>
        <w:t>第</w:t>
      </w:r>
      <w:r>
        <w:rPr>
          <w:rStyle w:val="42"/>
          <w:rFonts w:hint="eastAsia" w:ascii="宋体" w:hAnsi="宋体" w:eastAsia="宋体" w:cs="宋体"/>
          <w:color w:val="auto"/>
          <w:highlight w:val="none"/>
          <w:lang w:eastAsia="zh-CN"/>
        </w:rPr>
        <w:t>七</w:t>
      </w:r>
      <w:r>
        <w:rPr>
          <w:rStyle w:val="42"/>
          <w:rFonts w:hint="eastAsia" w:ascii="宋体" w:hAnsi="宋体" w:eastAsia="宋体" w:cs="宋体"/>
          <w:color w:val="auto"/>
          <w:highlight w:val="none"/>
        </w:rPr>
        <w:t>章  图纸（另册）</w:t>
      </w:r>
      <w:bookmarkEnd w:id="544"/>
      <w:bookmarkEnd w:id="545"/>
      <w:r>
        <w:rPr>
          <w:rFonts w:hint="eastAsia" w:ascii="宋体" w:hAnsi="宋体"/>
          <w:b/>
          <w:bCs/>
          <w:color w:val="auto"/>
          <w:sz w:val="44"/>
          <w:szCs w:val="44"/>
          <w:highlight w:val="none"/>
        </w:rPr>
        <w:br w:type="page"/>
      </w:r>
      <w:bookmarkEnd w:id="546"/>
    </w:p>
    <w:p w14:paraId="30C70862">
      <w:pPr>
        <w:jc w:val="center"/>
        <w:outlineLvl w:val="0"/>
        <w:rPr>
          <w:rFonts w:hint="eastAsia" w:ascii="宋体" w:hAnsi="宋体" w:eastAsia="宋体" w:cs="宋体"/>
          <w:b/>
          <w:bCs/>
          <w:color w:val="auto"/>
          <w:kern w:val="2"/>
          <w:sz w:val="32"/>
          <w:szCs w:val="32"/>
          <w:highlight w:val="none"/>
          <w:lang w:val="en-US" w:eastAsia="zh-CN" w:bidi="ar-SA"/>
        </w:rPr>
      </w:pPr>
      <w:bookmarkStart w:id="547" w:name="_Hlt233718691"/>
      <w:bookmarkEnd w:id="547"/>
      <w:bookmarkStart w:id="548" w:name="_Toc21024"/>
      <w:bookmarkEnd w:id="548"/>
      <w:bookmarkStart w:id="549" w:name="_Toc82772088"/>
      <w:bookmarkStart w:id="550" w:name="_Toc12957"/>
      <w:bookmarkStart w:id="551" w:name="_Toc2826"/>
      <w:r>
        <w:rPr>
          <w:rFonts w:hint="eastAsia" w:ascii="宋体" w:hAnsi="宋体" w:eastAsia="宋体" w:cs="宋体"/>
          <w:b/>
          <w:bCs/>
          <w:color w:val="auto"/>
          <w:kern w:val="2"/>
          <w:sz w:val="32"/>
          <w:szCs w:val="32"/>
          <w:highlight w:val="none"/>
          <w:lang w:val="en-US" w:eastAsia="zh-CN" w:bidi="ar-SA"/>
        </w:rPr>
        <w:t>第八章  技术规范（另册）</w:t>
      </w:r>
      <w:bookmarkEnd w:id="549"/>
      <w:bookmarkEnd w:id="550"/>
      <w:bookmarkEnd w:id="551"/>
    </w:p>
    <w:p w14:paraId="2CA8263F">
      <w:pPr>
        <w:jc w:val="center"/>
        <w:rPr>
          <w:rFonts w:ascii="宋体" w:hAnsi="宋体"/>
          <w:color w:val="auto"/>
          <w:sz w:val="28"/>
          <w:szCs w:val="28"/>
          <w:highlight w:val="none"/>
        </w:rPr>
      </w:pPr>
      <w:r>
        <w:rPr>
          <w:rFonts w:hint="eastAsia" w:ascii="宋体" w:hAnsi="宋体"/>
          <w:color w:val="auto"/>
          <w:sz w:val="28"/>
          <w:szCs w:val="28"/>
          <w:highlight w:val="none"/>
        </w:rPr>
        <w:t>技术规范依据中华人民共和国交通运输部《公路工程标准施工招标文件（2018年版）》和施工图纸总说明执行。</w:t>
      </w:r>
    </w:p>
    <w:p w14:paraId="760A0148">
      <w:pPr>
        <w:adjustRightInd w:val="0"/>
        <w:snapToGrid w:val="0"/>
        <w:spacing w:line="360" w:lineRule="auto"/>
        <w:jc w:val="left"/>
        <w:rPr>
          <w:rFonts w:ascii="宋体" w:hAnsi="宋体"/>
          <w:b/>
          <w:color w:val="auto"/>
          <w:sz w:val="44"/>
          <w:szCs w:val="44"/>
          <w:highlight w:val="none"/>
        </w:rPr>
      </w:pPr>
      <w:r>
        <w:rPr>
          <w:rFonts w:hint="eastAsia" w:ascii="宋体" w:hAnsi="宋体"/>
          <w:b/>
          <w:color w:val="auto"/>
          <w:sz w:val="44"/>
          <w:szCs w:val="44"/>
          <w:highlight w:val="none"/>
        </w:rPr>
        <w:t xml:space="preserve"> </w:t>
      </w:r>
    </w:p>
    <w:p w14:paraId="025FA903">
      <w:pPr>
        <w:autoSpaceDE w:val="0"/>
        <w:autoSpaceDN w:val="0"/>
        <w:adjustRightInd w:val="0"/>
        <w:spacing w:line="360" w:lineRule="auto"/>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9C7A2BE">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A883C77">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90A4A0C">
      <w:pPr>
        <w:autoSpaceDE w:val="0"/>
        <w:autoSpaceDN w:val="0"/>
        <w:adjustRightInd w:val="0"/>
        <w:spacing w:line="360" w:lineRule="auto"/>
        <w:jc w:val="center"/>
        <w:rPr>
          <w:rFonts w:ascii="宋体" w:hAnsi="宋体"/>
          <w:bCs/>
          <w:color w:val="auto"/>
          <w:sz w:val="36"/>
          <w:szCs w:val="36"/>
          <w:highlight w:val="none"/>
        </w:rPr>
      </w:pPr>
      <w:r>
        <w:rPr>
          <w:rFonts w:hint="eastAsia" w:ascii="宋体" w:hAnsi="宋体"/>
          <w:bCs/>
          <w:color w:val="auto"/>
          <w:sz w:val="36"/>
          <w:szCs w:val="36"/>
          <w:highlight w:val="none"/>
        </w:rPr>
        <w:br w:type="page"/>
      </w:r>
    </w:p>
    <w:p w14:paraId="15711E51">
      <w:pPr>
        <w:keepNext w:val="0"/>
        <w:keepLines w:val="0"/>
        <w:pageBreakBefore w:val="0"/>
        <w:widowControl w:val="0"/>
        <w:kinsoku/>
        <w:wordWrap/>
        <w:overflowPunct/>
        <w:topLinePunct w:val="0"/>
        <w:autoSpaceDE w:val="0"/>
        <w:autoSpaceDN w:val="0"/>
        <w:bidi w:val="0"/>
        <w:adjustRightInd w:val="0"/>
        <w:snapToGrid/>
        <w:spacing w:before="0" w:beforeLines="1550" w:line="360" w:lineRule="auto"/>
        <w:jc w:val="center"/>
        <w:textAlignment w:val="auto"/>
        <w:outlineLvl w:val="0"/>
        <w:rPr>
          <w:rFonts w:ascii="宋体" w:hAnsi="宋体"/>
          <w:color w:val="auto"/>
          <w:spacing w:val="12"/>
          <w:sz w:val="24"/>
          <w:szCs w:val="24"/>
          <w:highlight w:val="none"/>
        </w:rPr>
      </w:pPr>
      <w:bookmarkStart w:id="552" w:name="_Toc26593"/>
      <w:bookmarkEnd w:id="552"/>
      <w:bookmarkStart w:id="553" w:name="_Toc5985"/>
      <w:r>
        <w:rPr>
          <w:rFonts w:hint="eastAsia" w:ascii="宋体" w:hAnsi="宋体"/>
          <w:b/>
          <w:bCs/>
          <w:color w:val="auto"/>
          <w:sz w:val="32"/>
          <w:szCs w:val="32"/>
          <w:highlight w:val="none"/>
        </w:rPr>
        <w:t>第</w:t>
      </w:r>
      <w:r>
        <w:rPr>
          <w:rFonts w:hint="eastAsia" w:ascii="宋体" w:hAnsi="宋体"/>
          <w:b/>
          <w:bCs/>
          <w:color w:val="auto"/>
          <w:sz w:val="32"/>
          <w:szCs w:val="32"/>
          <w:highlight w:val="none"/>
          <w:lang w:val="en-US" w:eastAsia="zh-CN"/>
        </w:rPr>
        <w:t>九</w:t>
      </w:r>
      <w:r>
        <w:rPr>
          <w:rFonts w:hint="eastAsia" w:ascii="宋体" w:hAnsi="宋体"/>
          <w:b/>
          <w:bCs/>
          <w:color w:val="auto"/>
          <w:sz w:val="32"/>
          <w:szCs w:val="32"/>
          <w:highlight w:val="none"/>
        </w:rPr>
        <w:t>章  工程量清单计量规则</w:t>
      </w:r>
      <w:bookmarkEnd w:id="553"/>
    </w:p>
    <w:p w14:paraId="48FB7AB7">
      <w:pPr>
        <w:autoSpaceDE w:val="0"/>
        <w:autoSpaceDN w:val="0"/>
        <w:adjustRightInd w:val="0"/>
        <w:spacing w:line="360" w:lineRule="auto"/>
        <w:jc w:val="center"/>
        <w:rPr>
          <w:rFonts w:ascii="宋体" w:hAnsi="宋体"/>
          <w:color w:val="auto"/>
          <w:spacing w:val="12"/>
          <w:sz w:val="28"/>
          <w:szCs w:val="28"/>
          <w:highlight w:val="none"/>
        </w:rPr>
      </w:pPr>
      <w:r>
        <w:rPr>
          <w:rFonts w:hint="eastAsia" w:ascii="宋体" w:hAnsi="宋体"/>
          <w:color w:val="auto"/>
          <w:spacing w:val="12"/>
          <w:sz w:val="28"/>
          <w:szCs w:val="28"/>
          <w:highlight w:val="none"/>
        </w:rPr>
        <w:t>有关本项目工程量清单的计量与支付方法参照《公路工程标准施工招标文件（2018年版）》计量与支付规则执行。</w:t>
      </w:r>
    </w:p>
    <w:p w14:paraId="32CD73AF">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CE69EE6">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18042DB7">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0256BFF3">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137D858">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46333AB4">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403708A2">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CDFD75E">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24EA71D">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69871493">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D865608">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7E5A9023">
      <w:pPr>
        <w:autoSpaceDE w:val="0"/>
        <w:autoSpaceDN w:val="0"/>
        <w:adjustRightInd w:val="0"/>
        <w:spacing w:line="360" w:lineRule="auto"/>
        <w:jc w:val="center"/>
        <w:rPr>
          <w:rFonts w:ascii="宋体" w:hAnsi="宋体"/>
          <w:color w:val="auto"/>
          <w:spacing w:val="12"/>
          <w:sz w:val="24"/>
          <w:szCs w:val="24"/>
          <w:highlight w:val="none"/>
        </w:rPr>
      </w:pPr>
    </w:p>
    <w:p w14:paraId="1BB22AA8">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6723DFC3">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525378E2">
      <w:pPr>
        <w:autoSpaceDE w:val="0"/>
        <w:autoSpaceDN w:val="0"/>
        <w:adjustRightInd w:val="0"/>
        <w:spacing w:line="360" w:lineRule="auto"/>
        <w:jc w:val="center"/>
        <w:rPr>
          <w:rFonts w:ascii="宋体" w:hAnsi="宋体"/>
          <w:color w:val="auto"/>
          <w:spacing w:val="12"/>
          <w:sz w:val="24"/>
          <w:szCs w:val="24"/>
          <w:highlight w:val="none"/>
        </w:rPr>
      </w:pPr>
      <w:r>
        <w:rPr>
          <w:rFonts w:hint="eastAsia" w:ascii="宋体" w:hAnsi="宋体"/>
          <w:color w:val="auto"/>
          <w:spacing w:val="12"/>
          <w:sz w:val="24"/>
          <w:szCs w:val="24"/>
          <w:highlight w:val="none"/>
        </w:rPr>
        <w:t xml:space="preserve"> </w:t>
      </w:r>
    </w:p>
    <w:p w14:paraId="3BA79B6F">
      <w:pPr>
        <w:keepNext w:val="0"/>
        <w:keepLines w:val="0"/>
        <w:pageBreakBefore w:val="0"/>
        <w:widowControl w:val="0"/>
        <w:kinsoku/>
        <w:wordWrap/>
        <w:overflowPunct/>
        <w:topLinePunct w:val="0"/>
        <w:autoSpaceDE w:val="0"/>
        <w:autoSpaceDN w:val="0"/>
        <w:bidi w:val="0"/>
        <w:adjustRightInd w:val="0"/>
        <w:snapToGrid/>
        <w:spacing w:before="0" w:beforeLines="1800" w:line="360" w:lineRule="auto"/>
        <w:jc w:val="both"/>
        <w:textAlignment w:val="auto"/>
        <w:rPr>
          <w:rFonts w:hint="eastAsia" w:ascii="宋体" w:hAnsi="宋体" w:cs="Times New Roman"/>
          <w:b/>
          <w:bCs/>
          <w:color w:val="auto"/>
          <w:sz w:val="56"/>
          <w:szCs w:val="56"/>
          <w:highlight w:val="none"/>
          <w:lang w:eastAsia="zh-CN"/>
        </w:rPr>
      </w:pPr>
    </w:p>
    <w:p w14:paraId="023044BA">
      <w:pPr>
        <w:pStyle w:val="27"/>
        <w:spacing w:before="240" w:beforeLines="0" w:after="60" w:afterLines="0"/>
        <w:rPr>
          <w:rFonts w:hint="eastAsia" w:ascii="宋体" w:hAnsi="宋体" w:eastAsia="宋体" w:cs="Times New Roman"/>
          <w:color w:val="auto"/>
          <w:highlight w:val="none"/>
          <w:lang w:eastAsia="zh-CN"/>
        </w:rPr>
      </w:pPr>
      <w:bookmarkStart w:id="554" w:name="_Toc132601564"/>
      <w:bookmarkEnd w:id="554"/>
      <w:bookmarkStart w:id="555" w:name="_Toc13326"/>
      <w:bookmarkStart w:id="556" w:name="_Toc31400"/>
      <w:r>
        <w:rPr>
          <w:rFonts w:hint="eastAsia" w:ascii="宋体" w:hAnsi="宋体" w:eastAsia="宋体" w:cs="Times New Roman"/>
          <w:color w:val="auto"/>
          <w:highlight w:val="none"/>
          <w:lang w:eastAsia="zh-CN"/>
        </w:rPr>
        <w:t>第十章  投标文件格式</w:t>
      </w:r>
      <w:bookmarkEnd w:id="555"/>
      <w:bookmarkEnd w:id="556"/>
    </w:p>
    <w:p w14:paraId="3069E664">
      <w:pPr>
        <w:pStyle w:val="27"/>
        <w:spacing w:before="240" w:beforeLines="0" w:after="60" w:afterLines="0"/>
        <w:outlineLvl w:val="9"/>
        <w:rPr>
          <w:rFonts w:hint="eastAsia" w:ascii="宋体" w:hAnsi="宋体" w:eastAsia="宋体" w:cs="Times New Roman"/>
          <w:color w:val="auto"/>
          <w:highlight w:val="none"/>
          <w:lang w:eastAsia="zh-CN"/>
        </w:rPr>
      </w:pPr>
    </w:p>
    <w:p w14:paraId="67C495C9">
      <w:pPr>
        <w:pStyle w:val="27"/>
        <w:spacing w:before="240" w:beforeLines="0" w:after="60" w:afterLines="0"/>
        <w:outlineLvl w:val="9"/>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t>投标文件格式</w:t>
      </w:r>
    </w:p>
    <w:p w14:paraId="74FDB848">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0"/>
          <w:szCs w:val="30"/>
          <w:highlight w:val="none"/>
        </w:rPr>
      </w:pPr>
    </w:p>
    <w:p w14:paraId="51965461">
      <w:pPr>
        <w:keepLines w:val="0"/>
        <w:pageBreakBefore w:val="0"/>
        <w:widowControl w:val="0"/>
        <w:kinsoku/>
        <w:wordWrap w:val="0"/>
        <w:overflowPunct/>
        <w:topLinePunct w:val="0"/>
        <w:autoSpaceDE/>
        <w:autoSpaceDN/>
        <w:bidi w:val="0"/>
        <w:snapToGrid/>
        <w:spacing w:before="6" w:line="240" w:lineRule="auto"/>
        <w:rPr>
          <w:rFonts w:ascii="黑体" w:hAnsi="黑体" w:eastAsia="黑体" w:cs="黑体"/>
          <w:color w:val="auto"/>
          <w:sz w:val="30"/>
          <w:szCs w:val="30"/>
          <w:highlight w:val="none"/>
        </w:rPr>
      </w:pPr>
    </w:p>
    <w:p w14:paraId="5F462F16">
      <w:pPr>
        <w:pStyle w:val="10"/>
        <w:keepLines w:val="0"/>
        <w:pageBreakBefore w:val="0"/>
        <w:widowControl w:val="0"/>
        <w:tabs>
          <w:tab w:val="left" w:pos="2212"/>
          <w:tab w:val="left" w:pos="4918"/>
        </w:tabs>
        <w:kinsoku/>
        <w:wordWrap w:val="0"/>
        <w:overflowPunct/>
        <w:topLinePunct w:val="0"/>
        <w:autoSpaceDE/>
        <w:autoSpaceDN/>
        <w:bidi w:val="0"/>
        <w:snapToGrid/>
        <w:spacing w:before="26" w:line="240" w:lineRule="auto"/>
        <w:ind w:left="0" w:right="53"/>
        <w:jc w:val="center"/>
        <w:rPr>
          <w:rFonts w:ascii="黑体" w:hAnsi="黑体" w:eastAsia="黑体" w:cs="黑体"/>
          <w:color w:val="auto"/>
          <w:highlight w:val="none"/>
        </w:rPr>
      </w:pPr>
      <w:r>
        <w:rPr>
          <w:rFonts w:ascii="Times New Roman" w:hAnsi="Times New Roman" w:eastAsia="Times New Roman" w:cs="Times New Roman"/>
          <w:color w:val="auto"/>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（项目名称）</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标段</w:t>
      </w:r>
    </w:p>
    <w:p w14:paraId="680A72F9">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077D3AE9">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1F9364A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DA18D9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36AE948C">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A019D21">
      <w:pPr>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19"/>
          <w:szCs w:val="19"/>
          <w:highlight w:val="none"/>
        </w:rPr>
      </w:pPr>
    </w:p>
    <w:p w14:paraId="4EF4E3B6">
      <w:pPr>
        <w:keepLines w:val="0"/>
        <w:pageBreakBefore w:val="0"/>
        <w:widowControl w:val="0"/>
        <w:tabs>
          <w:tab w:val="left" w:pos="1497"/>
          <w:tab w:val="left" w:pos="2937"/>
          <w:tab w:val="left" w:pos="4377"/>
        </w:tabs>
        <w:kinsoku/>
        <w:wordWrap w:val="0"/>
        <w:overflowPunct/>
        <w:topLinePunct w:val="0"/>
        <w:autoSpaceDE/>
        <w:autoSpaceDN/>
        <w:bidi w:val="0"/>
        <w:snapToGrid/>
        <w:spacing w:before="0"/>
        <w:ind w:left="56" w:leftChars="0" w:right="0" w:rightChars="0" w:firstLine="0" w:firstLineChars="0"/>
        <w:jc w:val="center"/>
        <w:outlineLvl w:val="0"/>
        <w:rPr>
          <w:rFonts w:ascii="黑体" w:hAnsi="黑体" w:eastAsia="黑体" w:cs="黑体"/>
          <w:color w:val="auto"/>
          <w:sz w:val="72"/>
          <w:szCs w:val="72"/>
          <w:highlight w:val="none"/>
        </w:rPr>
      </w:pPr>
      <w:bookmarkStart w:id="557" w:name="_bookmark287"/>
      <w:bookmarkEnd w:id="557"/>
      <w:bookmarkStart w:id="558" w:name="_Toc29980"/>
      <w:r>
        <w:rPr>
          <w:rFonts w:ascii="黑体" w:hAnsi="黑体" w:eastAsia="黑体" w:cs="黑体"/>
          <w:color w:val="auto"/>
          <w:sz w:val="72"/>
          <w:szCs w:val="72"/>
          <w:highlight w:val="none"/>
        </w:rPr>
        <w:t>投</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件</w:t>
      </w:r>
      <w:bookmarkEnd w:id="558"/>
    </w:p>
    <w:p w14:paraId="4347388D">
      <w:pPr>
        <w:pStyle w:val="4"/>
        <w:keepLines w:val="0"/>
        <w:pageBreakBefore w:val="0"/>
        <w:widowControl w:val="0"/>
        <w:kinsoku/>
        <w:wordWrap w:val="0"/>
        <w:overflowPunct/>
        <w:topLinePunct w:val="0"/>
        <w:autoSpaceDE/>
        <w:autoSpaceDN/>
        <w:bidi w:val="0"/>
        <w:snapToGrid/>
        <w:spacing w:before="526" w:line="240" w:lineRule="auto"/>
        <w:ind w:left="59" w:leftChars="0" w:right="3" w:rightChars="0" w:hanging="420" w:firstLineChars="0"/>
        <w:jc w:val="center"/>
        <w:outlineLvl w:val="9"/>
        <w:rPr>
          <w:rFonts w:hint="eastAsia"/>
          <w:color w:val="auto"/>
          <w:highlight w:val="none"/>
          <w:lang w:eastAsia="zh-CN"/>
        </w:rPr>
      </w:pPr>
      <w:r>
        <w:rPr>
          <w:rFonts w:hint="eastAsia"/>
          <w:color w:val="auto"/>
          <w:highlight w:val="none"/>
          <w:lang w:eastAsia="zh-CN"/>
        </w:rPr>
        <w:t>第一信封</w:t>
      </w:r>
    </w:p>
    <w:p w14:paraId="0AFE11AE">
      <w:pPr>
        <w:pStyle w:val="4"/>
        <w:keepLines w:val="0"/>
        <w:pageBreakBefore w:val="0"/>
        <w:widowControl w:val="0"/>
        <w:kinsoku/>
        <w:wordWrap w:val="0"/>
        <w:overflowPunct/>
        <w:topLinePunct w:val="0"/>
        <w:autoSpaceDE/>
        <w:autoSpaceDN/>
        <w:bidi w:val="0"/>
        <w:snapToGrid/>
        <w:spacing w:before="526" w:line="240" w:lineRule="auto"/>
        <w:ind w:left="59" w:leftChars="0" w:right="3" w:rightChars="0" w:hanging="420" w:firstLineChars="0"/>
        <w:jc w:val="center"/>
        <w:outlineLvl w:val="9"/>
        <w:rPr>
          <w:color w:val="auto"/>
          <w:highlight w:val="none"/>
        </w:rPr>
      </w:pPr>
      <w:r>
        <w:rPr>
          <w:color w:val="auto"/>
          <w:highlight w:val="none"/>
        </w:rPr>
        <w:t>（商务及技术文件）</w:t>
      </w:r>
    </w:p>
    <w:p w14:paraId="0744FD96">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1ED6C83">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4A82A5A">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584FF8F">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43F9F63">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57A0BD1B">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0557BA1">
      <w:pPr>
        <w:keepLines w:val="0"/>
        <w:pageBreakBefore w:val="0"/>
        <w:widowControl w:val="0"/>
        <w:kinsoku/>
        <w:wordWrap w:val="0"/>
        <w:overflowPunct/>
        <w:topLinePunct w:val="0"/>
        <w:autoSpaceDE/>
        <w:autoSpaceDN/>
        <w:bidi w:val="0"/>
        <w:snapToGrid/>
        <w:spacing w:before="7" w:line="240" w:lineRule="auto"/>
        <w:rPr>
          <w:rFonts w:ascii="黑体" w:hAnsi="黑体" w:eastAsia="黑体" w:cs="黑体"/>
          <w:color w:val="auto"/>
          <w:sz w:val="28"/>
          <w:szCs w:val="28"/>
          <w:highlight w:val="none"/>
        </w:rPr>
      </w:pPr>
    </w:p>
    <w:p w14:paraId="667ABAA0">
      <w:pPr>
        <w:keepLines w:val="0"/>
        <w:pageBreakBefore w:val="0"/>
        <w:widowControl w:val="0"/>
        <w:tabs>
          <w:tab w:val="left" w:pos="5940"/>
        </w:tabs>
        <w:kinsoku/>
        <w:wordWrap w:val="0"/>
        <w:overflowPunct/>
        <w:topLinePunct w:val="0"/>
        <w:autoSpaceDE/>
        <w:autoSpaceDN/>
        <w:bidi w:val="0"/>
        <w:snapToGrid/>
        <w:spacing w:before="0"/>
        <w:ind w:left="59" w:right="0" w:firstLine="0"/>
        <w:jc w:val="center"/>
        <w:rPr>
          <w:rFonts w:ascii="黑体" w:hAnsi="黑体" w:eastAsia="黑体" w:cs="黑体"/>
          <w:color w:val="auto"/>
          <w:sz w:val="28"/>
          <w:szCs w:val="28"/>
          <w:highlight w:val="none"/>
        </w:rPr>
      </w:pPr>
      <w:r>
        <w:rPr>
          <w:rFonts w:ascii="黑体" w:hAnsi="黑体" w:eastAsia="黑体" w:cs="黑体"/>
          <w:color w:val="auto"/>
          <w:sz w:val="28"/>
          <w:szCs w:val="28"/>
          <w:highlight w:val="none"/>
        </w:rPr>
        <w:t>投标人：</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（盖单位章）</w:t>
      </w:r>
    </w:p>
    <w:p w14:paraId="58CDC96C">
      <w:pPr>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8"/>
          <w:szCs w:val="28"/>
          <w:highlight w:val="none"/>
        </w:rPr>
      </w:pPr>
    </w:p>
    <w:p w14:paraId="26E8151D">
      <w:pPr>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28"/>
          <w:szCs w:val="28"/>
          <w:highlight w:val="none"/>
        </w:rPr>
      </w:pPr>
    </w:p>
    <w:p w14:paraId="75E337C8">
      <w:pPr>
        <w:keepLines w:val="0"/>
        <w:pageBreakBefore w:val="0"/>
        <w:widowControl w:val="0"/>
        <w:tabs>
          <w:tab w:val="left" w:pos="3250"/>
          <w:tab w:val="left" w:pos="4652"/>
          <w:tab w:val="left" w:pos="6190"/>
        </w:tabs>
        <w:kinsoku/>
        <w:wordWrap w:val="0"/>
        <w:overflowPunct/>
        <w:topLinePunct w:val="0"/>
        <w:autoSpaceDE/>
        <w:autoSpaceDN/>
        <w:bidi w:val="0"/>
        <w:snapToGrid/>
        <w:spacing w:before="14"/>
        <w:ind w:left="2132" w:right="0" w:firstLine="0"/>
        <w:jc w:val="left"/>
        <w:rPr>
          <w:rFonts w:ascii="黑体" w:hAnsi="黑体" w:eastAsia="黑体" w:cs="黑体"/>
          <w:color w:val="auto"/>
          <w:sz w:val="28"/>
          <w:szCs w:val="28"/>
          <w:highlight w:val="none"/>
        </w:rPr>
      </w:pPr>
      <w:r>
        <w:rPr>
          <w:rFonts w:ascii="Times New Roman" w:hAnsi="Times New Roman" w:eastAsia="Times New Roman" w:cs="Times New Roman"/>
          <w:color w:val="auto"/>
          <w:w w:val="100"/>
          <w:sz w:val="28"/>
          <w:szCs w:val="28"/>
          <w:highlight w:val="none"/>
          <w:u w:val="single" w:color="000000"/>
        </w:rPr>
        <w:t xml:space="preserve"> </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年</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月</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日</w:t>
      </w:r>
    </w:p>
    <w:p w14:paraId="09A75F0A">
      <w:pPr>
        <w:pStyle w:val="13"/>
        <w:rPr>
          <w:rFonts w:ascii="黑体" w:hAnsi="黑体" w:eastAsia="黑体" w:cs="黑体"/>
          <w:color w:val="auto"/>
          <w:sz w:val="28"/>
          <w:szCs w:val="28"/>
          <w:highlight w:val="none"/>
        </w:rPr>
      </w:pPr>
    </w:p>
    <w:p w14:paraId="01D5FEB9">
      <w:pPr>
        <w:rPr>
          <w:rFonts w:ascii="黑体" w:hAnsi="黑体" w:eastAsia="黑体" w:cs="黑体"/>
          <w:color w:val="auto"/>
          <w:sz w:val="28"/>
          <w:szCs w:val="28"/>
          <w:highlight w:val="none"/>
        </w:rPr>
      </w:pPr>
    </w:p>
    <w:p w14:paraId="1967AF91">
      <w:pPr>
        <w:pStyle w:val="13"/>
        <w:rPr>
          <w:color w:val="auto"/>
          <w:highlight w:val="none"/>
        </w:rPr>
      </w:pPr>
    </w:p>
    <w:p w14:paraId="09D53DD7">
      <w:pPr>
        <w:rPr>
          <w:rFonts w:ascii="黑体" w:hAnsi="黑体" w:eastAsia="黑体" w:cs="黑体"/>
          <w:color w:val="auto"/>
          <w:sz w:val="28"/>
          <w:szCs w:val="28"/>
          <w:highlight w:val="none"/>
        </w:rPr>
      </w:pPr>
    </w:p>
    <w:p w14:paraId="38864C04">
      <w:pPr>
        <w:pStyle w:val="10"/>
      </w:pPr>
    </w:p>
    <w:p w14:paraId="09354AB5">
      <w:pPr>
        <w:keepLines w:val="0"/>
        <w:pageBreakBefore w:val="0"/>
        <w:widowControl w:val="0"/>
        <w:kinsoku/>
        <w:wordWrap w:val="0"/>
        <w:overflowPunct/>
        <w:topLinePunct w:val="0"/>
        <w:autoSpaceDE/>
        <w:autoSpaceDN/>
        <w:bidi w:val="0"/>
        <w:snapToGrid/>
        <w:spacing w:line="440" w:lineRule="exact"/>
        <w:jc w:val="center"/>
        <w:rPr>
          <w:rFonts w:ascii="宋体" w:hAnsi="宋体"/>
          <w:bCs/>
          <w:color w:val="auto"/>
          <w:sz w:val="32"/>
          <w:szCs w:val="32"/>
          <w:highlight w:val="none"/>
        </w:rPr>
      </w:pPr>
      <w:bookmarkStart w:id="559" w:name="_Toc152042577"/>
      <w:r>
        <w:rPr>
          <w:rFonts w:hint="eastAsia" w:ascii="宋体" w:hAnsi="宋体"/>
          <w:b/>
          <w:bCs w:val="0"/>
          <w:color w:val="auto"/>
          <w:sz w:val="32"/>
          <w:szCs w:val="32"/>
          <w:highlight w:val="none"/>
        </w:rPr>
        <w:t>目     录</w:t>
      </w:r>
      <w:bookmarkEnd w:id="559"/>
    </w:p>
    <w:p w14:paraId="0102BED8">
      <w:pPr>
        <w:keepLines w:val="0"/>
        <w:pageBreakBefore w:val="0"/>
        <w:widowControl w:val="0"/>
        <w:kinsoku/>
        <w:wordWrap w:val="0"/>
        <w:overflowPunct/>
        <w:topLinePunct w:val="0"/>
        <w:autoSpaceDE/>
        <w:autoSpaceDN/>
        <w:bidi w:val="0"/>
        <w:snapToGrid/>
        <w:rPr>
          <w:rFonts w:ascii="宋体" w:hAnsi="宋体"/>
          <w:color w:val="auto"/>
          <w:sz w:val="28"/>
          <w:szCs w:val="28"/>
          <w:highlight w:val="none"/>
        </w:rPr>
      </w:pPr>
      <w:r>
        <w:rPr>
          <w:rFonts w:hint="eastAsia" w:ascii="宋体" w:hAnsi="宋体"/>
          <w:color w:val="auto"/>
          <w:sz w:val="28"/>
          <w:szCs w:val="28"/>
          <w:highlight w:val="none"/>
        </w:rPr>
        <w:t xml:space="preserve"> </w:t>
      </w:r>
    </w:p>
    <w:p w14:paraId="5A7C91C0">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bookmarkStart w:id="560" w:name="_Toc6489"/>
      <w:bookmarkEnd w:id="560"/>
      <w:r>
        <w:rPr>
          <w:rFonts w:hint="eastAsia" w:ascii="宋体" w:hAnsi="宋体" w:cs="宋体"/>
          <w:color w:val="auto"/>
          <w:kern w:val="0"/>
          <w:sz w:val="24"/>
          <w:szCs w:val="24"/>
          <w:highlight w:val="none"/>
        </w:rPr>
        <w:t>一、投标函及投标函附录</w:t>
      </w:r>
    </w:p>
    <w:p w14:paraId="78C8C3C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二、授权委托书或法定代表人身份证明</w:t>
      </w:r>
    </w:p>
    <w:p w14:paraId="3847614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三、投标保证金</w:t>
      </w:r>
    </w:p>
    <w:p w14:paraId="11CC8E3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四、施工组织设计</w:t>
      </w:r>
    </w:p>
    <w:p w14:paraId="5890A6E9">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五、项目管理机构</w:t>
      </w:r>
    </w:p>
    <w:p w14:paraId="60F27656">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六、资格审查资料</w:t>
      </w:r>
    </w:p>
    <w:p w14:paraId="0CB4A39D">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ascii="宋体" w:hAnsi="宋体"/>
          <w:b/>
          <w:bCs/>
          <w:color w:val="auto"/>
          <w:sz w:val="24"/>
          <w:szCs w:val="24"/>
          <w:highlight w:val="none"/>
        </w:rPr>
      </w:pPr>
      <w:r>
        <w:rPr>
          <w:rFonts w:hint="eastAsia" w:ascii="宋体" w:hAnsi="宋体" w:cs="宋体"/>
          <w:color w:val="auto"/>
          <w:kern w:val="0"/>
          <w:sz w:val="24"/>
          <w:szCs w:val="24"/>
          <w:highlight w:val="none"/>
        </w:rPr>
        <w:t>七、其他资料</w:t>
      </w:r>
      <w:r>
        <w:rPr>
          <w:rFonts w:hint="eastAsia" w:ascii="宋体" w:hAnsi="宋体"/>
          <w:b/>
          <w:bCs/>
          <w:color w:val="auto"/>
          <w:sz w:val="24"/>
          <w:szCs w:val="24"/>
          <w:highlight w:val="none"/>
        </w:rPr>
        <w:t xml:space="preserve"> </w:t>
      </w:r>
    </w:p>
    <w:p w14:paraId="77D0ED97">
      <w:pPr>
        <w:rPr>
          <w:color w:val="auto"/>
          <w:highlight w:val="none"/>
        </w:rPr>
      </w:pPr>
    </w:p>
    <w:p w14:paraId="585D2361">
      <w:pPr>
        <w:pStyle w:val="13"/>
        <w:rPr>
          <w:color w:val="auto"/>
          <w:highlight w:val="none"/>
        </w:rPr>
      </w:pPr>
    </w:p>
    <w:p w14:paraId="30F38E93">
      <w:pPr>
        <w:rPr>
          <w:color w:val="auto"/>
          <w:highlight w:val="none"/>
        </w:rPr>
      </w:pPr>
    </w:p>
    <w:p w14:paraId="518511AB">
      <w:pPr>
        <w:pStyle w:val="13"/>
        <w:rPr>
          <w:color w:val="auto"/>
          <w:highlight w:val="none"/>
        </w:rPr>
      </w:pPr>
    </w:p>
    <w:p w14:paraId="538FABA8">
      <w:pPr>
        <w:rPr>
          <w:color w:val="auto"/>
          <w:highlight w:val="none"/>
        </w:rPr>
      </w:pPr>
    </w:p>
    <w:p w14:paraId="7BDF5559">
      <w:pPr>
        <w:pStyle w:val="13"/>
        <w:rPr>
          <w:color w:val="auto"/>
          <w:highlight w:val="none"/>
        </w:rPr>
      </w:pPr>
    </w:p>
    <w:p w14:paraId="31001FD1">
      <w:pPr>
        <w:rPr>
          <w:color w:val="auto"/>
          <w:highlight w:val="none"/>
        </w:rPr>
      </w:pPr>
    </w:p>
    <w:p w14:paraId="05A37342">
      <w:pPr>
        <w:pStyle w:val="13"/>
        <w:rPr>
          <w:color w:val="auto"/>
          <w:highlight w:val="none"/>
        </w:rPr>
      </w:pPr>
    </w:p>
    <w:p w14:paraId="3F43688B">
      <w:pPr>
        <w:rPr>
          <w:color w:val="auto"/>
          <w:highlight w:val="none"/>
        </w:rPr>
      </w:pPr>
    </w:p>
    <w:p w14:paraId="0F5591AB">
      <w:pPr>
        <w:pStyle w:val="13"/>
        <w:rPr>
          <w:color w:val="auto"/>
          <w:highlight w:val="none"/>
        </w:rPr>
      </w:pPr>
    </w:p>
    <w:p w14:paraId="4CDA794C">
      <w:pPr>
        <w:rPr>
          <w:color w:val="auto"/>
          <w:highlight w:val="none"/>
        </w:rPr>
      </w:pPr>
    </w:p>
    <w:p w14:paraId="5B655D42">
      <w:pPr>
        <w:pStyle w:val="13"/>
        <w:rPr>
          <w:color w:val="auto"/>
          <w:highlight w:val="none"/>
        </w:rPr>
      </w:pPr>
    </w:p>
    <w:p w14:paraId="41E3C773">
      <w:pPr>
        <w:rPr>
          <w:color w:val="auto"/>
          <w:highlight w:val="none"/>
        </w:rPr>
      </w:pPr>
    </w:p>
    <w:p w14:paraId="3D6D626F">
      <w:pPr>
        <w:pStyle w:val="13"/>
        <w:rPr>
          <w:color w:val="auto"/>
          <w:highlight w:val="none"/>
        </w:rPr>
      </w:pPr>
    </w:p>
    <w:p w14:paraId="1D59721C">
      <w:pPr>
        <w:rPr>
          <w:color w:val="auto"/>
          <w:highlight w:val="none"/>
        </w:rPr>
      </w:pPr>
    </w:p>
    <w:p w14:paraId="1B12CBD4">
      <w:pPr>
        <w:pStyle w:val="13"/>
        <w:rPr>
          <w:color w:val="auto"/>
          <w:highlight w:val="none"/>
        </w:rPr>
      </w:pPr>
    </w:p>
    <w:p w14:paraId="254F2DFD">
      <w:pPr>
        <w:rPr>
          <w:color w:val="auto"/>
          <w:highlight w:val="none"/>
        </w:rPr>
      </w:pPr>
    </w:p>
    <w:p w14:paraId="7376084B">
      <w:pPr>
        <w:pStyle w:val="13"/>
        <w:rPr>
          <w:color w:val="auto"/>
          <w:highlight w:val="none"/>
        </w:rPr>
      </w:pPr>
    </w:p>
    <w:p w14:paraId="246393CA">
      <w:pPr>
        <w:rPr>
          <w:color w:val="auto"/>
          <w:highlight w:val="none"/>
        </w:rPr>
      </w:pPr>
    </w:p>
    <w:p w14:paraId="21EEE929">
      <w:pPr>
        <w:pStyle w:val="13"/>
        <w:rPr>
          <w:color w:val="auto"/>
          <w:highlight w:val="none"/>
        </w:rPr>
      </w:pPr>
    </w:p>
    <w:p w14:paraId="3CAED985">
      <w:pPr>
        <w:rPr>
          <w:color w:val="auto"/>
          <w:highlight w:val="none"/>
        </w:rPr>
      </w:pPr>
    </w:p>
    <w:p w14:paraId="6A086236">
      <w:pPr>
        <w:pStyle w:val="13"/>
        <w:rPr>
          <w:color w:val="auto"/>
          <w:highlight w:val="none"/>
        </w:rPr>
      </w:pPr>
    </w:p>
    <w:p w14:paraId="7D23B11F">
      <w:pPr>
        <w:rPr>
          <w:color w:val="auto"/>
          <w:highlight w:val="none"/>
        </w:rPr>
      </w:pPr>
    </w:p>
    <w:p w14:paraId="2A205F04">
      <w:pPr>
        <w:pStyle w:val="13"/>
        <w:rPr>
          <w:color w:val="auto"/>
          <w:highlight w:val="none"/>
        </w:rPr>
      </w:pPr>
    </w:p>
    <w:p w14:paraId="6BCDCEFF">
      <w:pPr>
        <w:rPr>
          <w:color w:val="auto"/>
          <w:highlight w:val="none"/>
        </w:rPr>
      </w:pPr>
    </w:p>
    <w:p w14:paraId="4AB5EEB3">
      <w:pPr>
        <w:pStyle w:val="13"/>
        <w:rPr>
          <w:color w:val="auto"/>
          <w:highlight w:val="none"/>
        </w:rPr>
      </w:pPr>
    </w:p>
    <w:p w14:paraId="657D110A">
      <w:pPr>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9"/>
        <w:rPr>
          <w:rFonts w:ascii="宋体" w:hAnsi="宋体" w:cs="宋体"/>
          <w:b/>
          <w:color w:val="auto"/>
          <w:kern w:val="0"/>
          <w:sz w:val="30"/>
          <w:szCs w:val="30"/>
          <w:highlight w:val="none"/>
        </w:rPr>
      </w:pPr>
      <w:bookmarkStart w:id="561" w:name="_Toc37746998"/>
      <w:bookmarkStart w:id="562" w:name="_Toc431367135"/>
      <w:bookmarkStart w:id="563" w:name="_Toc32572"/>
      <w:bookmarkStart w:id="564" w:name="_Toc500864537"/>
      <w:bookmarkStart w:id="565" w:name="_Toc7056"/>
      <w:bookmarkStart w:id="566" w:name="_Toc37422282"/>
      <w:r>
        <w:rPr>
          <w:rFonts w:hint="eastAsia" w:ascii="宋体" w:hAnsi="宋体" w:cs="宋体"/>
          <w:b/>
          <w:color w:val="auto"/>
          <w:kern w:val="0"/>
          <w:sz w:val="30"/>
          <w:szCs w:val="30"/>
          <w:highlight w:val="none"/>
        </w:rPr>
        <w:t>一、投标函及投标函附录</w:t>
      </w:r>
      <w:bookmarkEnd w:id="561"/>
      <w:bookmarkEnd w:id="562"/>
      <w:bookmarkEnd w:id="563"/>
      <w:bookmarkEnd w:id="564"/>
      <w:bookmarkEnd w:id="565"/>
      <w:bookmarkEnd w:id="566"/>
    </w:p>
    <w:p w14:paraId="27944A82">
      <w:pPr>
        <w:keepNext w:val="0"/>
        <w:keepLines w:val="0"/>
        <w:pageBreakBefore w:val="0"/>
        <w:widowControl w:val="0"/>
        <w:kinsoku/>
        <w:wordWrap w:val="0"/>
        <w:overflowPunct/>
        <w:topLinePunct w:val="0"/>
        <w:autoSpaceDE/>
        <w:autoSpaceDN/>
        <w:bidi w:val="0"/>
        <w:adjustRightInd w:val="0"/>
        <w:snapToGrid/>
        <w:spacing w:before="157" w:beforeLines="50" w:line="360" w:lineRule="auto"/>
        <w:ind w:right="-34" w:rightChars="-16"/>
        <w:jc w:val="center"/>
        <w:textAlignment w:val="auto"/>
        <w:outlineLvl w:val="9"/>
        <w:rPr>
          <w:rFonts w:ascii="宋体" w:hAnsi="宋体" w:cs="宋体"/>
          <w:b/>
          <w:color w:val="auto"/>
          <w:kern w:val="0"/>
          <w:sz w:val="24"/>
          <w:highlight w:val="none"/>
        </w:rPr>
      </w:pPr>
      <w:bookmarkStart w:id="567" w:name="_Toc227492339"/>
      <w:bookmarkStart w:id="568" w:name="_Toc37422283"/>
      <w:bookmarkStart w:id="569" w:name="_Toc431367136"/>
      <w:bookmarkStart w:id="570" w:name="_Toc285618746"/>
      <w:bookmarkStart w:id="571" w:name="_Toc228337192"/>
      <w:bookmarkStart w:id="572" w:name="_Toc23746"/>
      <w:bookmarkStart w:id="573" w:name="_Toc228591751"/>
      <w:bookmarkStart w:id="574" w:name="_Toc37746999"/>
      <w:bookmarkStart w:id="575" w:name="_Toc227657581"/>
      <w:bookmarkStart w:id="576" w:name="_Toc228591603"/>
      <w:bookmarkStart w:id="577" w:name="_Toc8455"/>
      <w:bookmarkStart w:id="578" w:name="_Toc228589257"/>
      <w:bookmarkStart w:id="579" w:name="_Toc243904320"/>
      <w:bookmarkStart w:id="580" w:name="_Toc7512"/>
      <w:bookmarkStart w:id="581" w:name="_Toc214433983"/>
      <w:bookmarkStart w:id="582" w:name="_Toc228881243"/>
      <w:bookmarkStart w:id="583" w:name="_Toc500864538"/>
      <w:bookmarkStart w:id="584" w:name="_Toc272772663"/>
      <w:r>
        <w:rPr>
          <w:rFonts w:hint="eastAsia" w:ascii="宋体" w:hAnsi="宋体" w:cs="宋体"/>
          <w:b/>
          <w:color w:val="auto"/>
          <w:kern w:val="0"/>
          <w:sz w:val="28"/>
          <w:szCs w:val="28"/>
          <w:highlight w:val="none"/>
        </w:rPr>
        <w:t>（一）投标函</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2465429E">
      <w:pPr>
        <w:keepLines w:val="0"/>
        <w:pageBreakBefore w:val="0"/>
        <w:widowControl w:val="0"/>
        <w:kinsoku/>
        <w:wordWrap w:val="0"/>
        <w:overflowPunct/>
        <w:topLinePunct w:val="0"/>
        <w:autoSpaceDE/>
        <w:autoSpaceDN/>
        <w:bidi w:val="0"/>
        <w:snapToGrid/>
        <w:spacing w:line="440" w:lineRule="exact"/>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（招标人名称）：</w:t>
      </w:r>
    </w:p>
    <w:p w14:paraId="04877FC2">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1．我方已仔细研究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标段施工招标文件的全部内容（含补遗书第___号至第___号），在考察工程现场后，愿意以第二个信封（报价文件）中的投标总报价（或根据招标文件规定修正核实后确定的另一金额），按合同约定实施和完成承包工程，修补工程中的任何缺陷。</w:t>
      </w:r>
    </w:p>
    <w:p w14:paraId="59FAF7AD">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2．我方承诺在招标文件规定的投标有效期内不撤销投标文件。</w:t>
      </w:r>
    </w:p>
    <w:p w14:paraId="17AA275D">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3．工程质量：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，安全目标</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日历天。</w:t>
      </w:r>
    </w:p>
    <w:p w14:paraId="596A2CD1">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4．如我方中标，我方承诺：</w:t>
      </w:r>
    </w:p>
    <w:p w14:paraId="5BB20EAB">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（1）在收到中标通知书后，在中标通知书规定的期限内与你方签订合同；</w:t>
      </w:r>
    </w:p>
    <w:p w14:paraId="5BB66016">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（2）在签订合同时不向你方提出附加条件；</w:t>
      </w:r>
    </w:p>
    <w:p w14:paraId="3A0F3DED">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（3）按照招标文件要求提交履约保证金；</w:t>
      </w:r>
    </w:p>
    <w:p w14:paraId="556E457F">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（4）在合同约定的期限</w:t>
      </w:r>
      <w:r>
        <w:rPr>
          <w:rFonts w:hint="eastAsia" w:ascii="宋体" w:hAnsi="宋体" w:eastAsia="宋体" w:cs="宋体"/>
          <w:color w:val="000000" w:themeColor="text1"/>
          <w:sz w:val="21"/>
          <w:szCs w:val="21"/>
          <w:highlight w:val="none"/>
          <w14:textFill>
            <w14:solidFill>
              <w14:schemeClr w14:val="tx1"/>
            </w14:solidFill>
          </w14:textFill>
        </w:rPr>
        <w:t>内</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日</w:t>
      </w:r>
      <w:r>
        <w:rPr>
          <w:rFonts w:hint="eastAsia" w:ascii="宋体" w:hAnsi="宋体" w:eastAsia="宋体" w:cs="宋体"/>
          <w:color w:val="auto"/>
          <w:sz w:val="21"/>
          <w:szCs w:val="21"/>
          <w:highlight w:val="none"/>
        </w:rPr>
        <w:t>完成合同规定的全部义务；</w:t>
      </w:r>
    </w:p>
    <w:p w14:paraId="554F7EDF">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1D45813A">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5．我方在此声明，所递交的投标文件及有关资料内容完整、真实和准确，且不存在招标文件第二章“投标人须知”第 1.4.3项和第 1.4.4项规定的任何一种情形。</w:t>
      </w:r>
    </w:p>
    <w:p w14:paraId="1D7EA363">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6．在合同协议书正式签署生效之前，本投标函连同你方的中标通知书将构成我们双方之间共同遵守的文件，对双方具有约束力。</w:t>
      </w:r>
    </w:p>
    <w:p w14:paraId="2C23D510">
      <w:pPr>
        <w:keepNext w:val="0"/>
        <w:keepLines w:val="0"/>
        <w:pageBreakBefore w:val="0"/>
        <w:widowControl w:val="0"/>
        <w:kinsoku/>
        <w:wordWrap w:val="0"/>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（其他补充说明）。</w:t>
      </w:r>
    </w:p>
    <w:p w14:paraId="659473B2">
      <w:pPr>
        <w:pStyle w:val="13"/>
        <w:keepNext w:val="0"/>
        <w:keepLines w:val="0"/>
        <w:pageBreakBefore w:val="0"/>
        <w:widowControl w:val="0"/>
        <w:kinsoku/>
        <w:wordWrap w:val="0"/>
        <w:overflowPunct/>
        <w:topLinePunct w:val="0"/>
        <w:autoSpaceDE/>
        <w:autoSpaceDN/>
        <w:bidi w:val="0"/>
        <w:adjustRightInd/>
        <w:snapToGrid/>
        <w:spacing w:line="400" w:lineRule="atLeast"/>
        <w:textAlignment w:val="auto"/>
        <w:rPr>
          <w:rFonts w:hint="eastAsia" w:ascii="宋体" w:hAnsi="宋体" w:eastAsia="宋体" w:cs="宋体"/>
          <w:color w:val="auto"/>
          <w:sz w:val="21"/>
          <w:szCs w:val="21"/>
          <w:highlight w:val="none"/>
        </w:rPr>
      </w:pPr>
    </w:p>
    <w:p w14:paraId="2DD983FE">
      <w:pPr>
        <w:keepNext w:val="0"/>
        <w:keepLines w:val="0"/>
        <w:pageBreakBefore w:val="0"/>
        <w:widowControl w:val="0"/>
        <w:kinsoku/>
        <w:wordWrap w:val="0"/>
        <w:overflowPunct/>
        <w:topLinePunct w:val="0"/>
        <w:autoSpaceDE/>
        <w:autoSpaceDN/>
        <w:bidi w:val="0"/>
        <w:adjustRightInd/>
        <w:snapToGrid/>
        <w:spacing w:line="400" w:lineRule="atLeast"/>
        <w:ind w:right="240" w:firstLine="3150" w:firstLineChars="15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（盖单位章）</w:t>
      </w:r>
    </w:p>
    <w:p w14:paraId="74C490BB">
      <w:pPr>
        <w:keepNext w:val="0"/>
        <w:keepLines w:val="0"/>
        <w:pageBreakBefore w:val="0"/>
        <w:widowControl w:val="0"/>
        <w:kinsoku/>
        <w:wordWrap w:val="0"/>
        <w:overflowPunct/>
        <w:topLinePunct w:val="0"/>
        <w:autoSpaceDE/>
        <w:autoSpaceDN/>
        <w:bidi w:val="0"/>
        <w:adjustRightInd/>
        <w:snapToGrid/>
        <w:spacing w:line="400" w:lineRule="atLeast"/>
        <w:ind w:right="480" w:firstLine="3110" w:firstLineChars="1481"/>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（签字）</w:t>
      </w:r>
    </w:p>
    <w:p w14:paraId="62898481">
      <w:pPr>
        <w:keepNext w:val="0"/>
        <w:keepLines w:val="0"/>
        <w:pageBreakBefore w:val="0"/>
        <w:widowControl w:val="0"/>
        <w:kinsoku/>
        <w:wordWrap w:val="0"/>
        <w:overflowPunct/>
        <w:topLinePunct w:val="0"/>
        <w:autoSpaceDE/>
        <w:autoSpaceDN/>
        <w:bidi w:val="0"/>
        <w:adjustRightInd/>
        <w:snapToGrid/>
        <w:spacing w:line="400" w:lineRule="atLeast"/>
        <w:ind w:firstLine="3122" w:firstLineChars="1487"/>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p>
    <w:p w14:paraId="6BBEC2BD">
      <w:pPr>
        <w:keepNext w:val="0"/>
        <w:keepLines w:val="0"/>
        <w:pageBreakBefore w:val="0"/>
        <w:widowControl w:val="0"/>
        <w:kinsoku/>
        <w:wordWrap w:val="0"/>
        <w:overflowPunct/>
        <w:topLinePunct w:val="0"/>
        <w:autoSpaceDE/>
        <w:autoSpaceDN/>
        <w:bidi w:val="0"/>
        <w:adjustRightInd/>
        <w:snapToGrid/>
        <w:spacing w:line="400" w:lineRule="atLeast"/>
        <w:ind w:firstLine="3122" w:firstLineChars="1487"/>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网</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址：</w:t>
      </w:r>
      <w:r>
        <w:rPr>
          <w:rFonts w:hint="eastAsia" w:ascii="宋体" w:hAnsi="宋体" w:eastAsia="宋体" w:cs="宋体"/>
          <w:color w:val="auto"/>
          <w:sz w:val="21"/>
          <w:szCs w:val="21"/>
          <w:highlight w:val="none"/>
          <w:u w:val="single"/>
          <w:lang w:val="en-US" w:eastAsia="zh-CN"/>
        </w:rPr>
        <w:t xml:space="preserve">                                </w:t>
      </w:r>
    </w:p>
    <w:p w14:paraId="284726BC">
      <w:pPr>
        <w:keepNext w:val="0"/>
        <w:keepLines w:val="0"/>
        <w:pageBreakBefore w:val="0"/>
        <w:widowControl w:val="0"/>
        <w:kinsoku/>
        <w:wordWrap w:val="0"/>
        <w:overflowPunct/>
        <w:topLinePunct w:val="0"/>
        <w:autoSpaceDE/>
        <w:autoSpaceDN/>
        <w:bidi w:val="0"/>
        <w:adjustRightInd/>
        <w:snapToGrid/>
        <w:spacing w:line="400" w:lineRule="atLeast"/>
        <w:ind w:firstLine="3135" w:firstLineChars="1493"/>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r>
        <w:rPr>
          <w:rFonts w:hint="eastAsia" w:ascii="宋体" w:hAnsi="宋体" w:eastAsia="宋体" w:cs="宋体"/>
          <w:color w:val="auto"/>
          <w:sz w:val="21"/>
          <w:szCs w:val="21"/>
          <w:highlight w:val="none"/>
          <w:u w:val="single"/>
          <w:lang w:val="en-US" w:eastAsia="zh-CN"/>
        </w:rPr>
        <w:t xml:space="preserve">                                </w:t>
      </w:r>
    </w:p>
    <w:p w14:paraId="0DCBBEB6">
      <w:pPr>
        <w:keepNext w:val="0"/>
        <w:keepLines w:val="0"/>
        <w:pageBreakBefore w:val="0"/>
        <w:widowControl w:val="0"/>
        <w:kinsoku/>
        <w:wordWrap w:val="0"/>
        <w:overflowPunct/>
        <w:topLinePunct w:val="0"/>
        <w:autoSpaceDE/>
        <w:autoSpaceDN/>
        <w:bidi w:val="0"/>
        <w:adjustRightInd/>
        <w:snapToGrid/>
        <w:spacing w:line="400" w:lineRule="atLeast"/>
        <w:ind w:firstLine="3135" w:firstLineChars="1493"/>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传</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真：</w:t>
      </w:r>
      <w:r>
        <w:rPr>
          <w:rFonts w:hint="eastAsia" w:ascii="宋体" w:hAnsi="宋体" w:eastAsia="宋体" w:cs="宋体"/>
          <w:color w:val="auto"/>
          <w:sz w:val="21"/>
          <w:szCs w:val="21"/>
          <w:highlight w:val="none"/>
          <w:u w:val="single"/>
          <w:lang w:val="en-US" w:eastAsia="zh-CN"/>
        </w:rPr>
        <w:t xml:space="preserve">                                </w:t>
      </w:r>
    </w:p>
    <w:p w14:paraId="30C054F2">
      <w:pPr>
        <w:keepNext w:val="0"/>
        <w:keepLines w:val="0"/>
        <w:pageBreakBefore w:val="0"/>
        <w:widowControl w:val="0"/>
        <w:kinsoku/>
        <w:wordWrap w:val="0"/>
        <w:overflowPunct/>
        <w:topLinePunct w:val="0"/>
        <w:autoSpaceDE/>
        <w:autoSpaceDN/>
        <w:bidi w:val="0"/>
        <w:adjustRightInd/>
        <w:snapToGrid/>
        <w:spacing w:line="400" w:lineRule="atLeast"/>
        <w:ind w:firstLine="3147" w:firstLineChars="1499"/>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p>
    <w:p w14:paraId="24D76CC4">
      <w:pPr>
        <w:pStyle w:val="13"/>
        <w:rPr>
          <w:rFonts w:hint="eastAsia" w:ascii="宋体" w:hAnsi="宋体" w:eastAsia="宋体" w:cs="宋体"/>
          <w:color w:val="auto"/>
          <w:sz w:val="21"/>
          <w:szCs w:val="21"/>
          <w:highlight w:val="none"/>
          <w:u w:val="single"/>
          <w:lang w:val="en-US" w:eastAsia="zh-CN"/>
        </w:rPr>
      </w:pPr>
    </w:p>
    <w:p w14:paraId="6D660C62">
      <w:pPr>
        <w:ind w:firstLine="4830" w:firstLineChars="2300"/>
        <w:rPr>
          <w:rFonts w:hint="eastAsia" w:ascii="宋体" w:hAnsi="宋体" w:cs="宋体"/>
          <w:b w:val="0"/>
          <w:bCs w:val="0"/>
          <w:color w:val="auto"/>
          <w:sz w:val="24"/>
          <w:highlight w:val="none"/>
          <w:u w:val="none"/>
          <w:lang w:val="en-US" w:eastAsia="zh-CN"/>
        </w:rPr>
      </w:pP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none"/>
          <w:lang w:val="en-US" w:eastAsia="zh-CN"/>
        </w:rPr>
        <w:t>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none"/>
          <w:lang w:val="en-US" w:eastAsia="zh-CN"/>
        </w:rPr>
        <w:t>日</w:t>
      </w:r>
    </w:p>
    <w:p w14:paraId="06EF20BE">
      <w:pPr>
        <w:rPr>
          <w:rFonts w:hint="eastAsia" w:ascii="宋体" w:hAnsi="宋体" w:cs="宋体"/>
          <w:b w:val="0"/>
          <w:bCs w:val="0"/>
          <w:color w:val="auto"/>
          <w:sz w:val="24"/>
          <w:highlight w:val="none"/>
          <w:u w:val="none"/>
          <w:lang w:val="en-US" w:eastAsia="zh-CN"/>
        </w:rPr>
      </w:pPr>
    </w:p>
    <w:p w14:paraId="38D8D1E5">
      <w:pPr>
        <w:pStyle w:val="4"/>
        <w:keepNext w:val="0"/>
        <w:keepLines w:val="0"/>
        <w:pageBreakBefore w:val="0"/>
        <w:widowControl w:val="0"/>
        <w:numPr>
          <w:ilvl w:val="0"/>
          <w:numId w:val="0"/>
        </w:numPr>
        <w:kinsoku/>
        <w:wordWrap w:val="0"/>
        <w:overflowPunct/>
        <w:topLinePunct w:val="0"/>
        <w:autoSpaceDE/>
        <w:autoSpaceDN/>
        <w:bidi w:val="0"/>
        <w:adjustRightInd/>
        <w:snapToGrid/>
        <w:spacing w:before="0" w:beforeAutospacing="0" w:after="313" w:afterLines="100" w:afterAutospacing="0" w:line="240" w:lineRule="auto"/>
        <w:ind w:left="0" w:leftChars="0" w:firstLine="0" w:firstLineChars="0"/>
        <w:jc w:val="center"/>
        <w:textAlignment w:val="auto"/>
        <w:outlineLvl w:val="9"/>
        <w:rPr>
          <w:rFonts w:hint="eastAsia" w:ascii="宋体" w:hAnsi="宋体" w:eastAsia="宋体" w:cs="宋体"/>
          <w:color w:val="auto"/>
          <w:sz w:val="28"/>
          <w:szCs w:val="28"/>
          <w:highlight w:val="none"/>
        </w:rPr>
      </w:pPr>
      <w:bookmarkStart w:id="585" w:name="_Toc1945"/>
      <w:bookmarkStart w:id="586" w:name="_Toc16778839"/>
      <w:bookmarkStart w:id="587" w:name="_Toc1011"/>
      <w:r>
        <w:rPr>
          <w:rFonts w:hint="eastAsia" w:ascii="宋体" w:hAnsi="宋体" w:eastAsia="宋体" w:cs="宋体"/>
          <w:b/>
          <w:bCs w:val="0"/>
          <w:color w:val="auto"/>
          <w:sz w:val="28"/>
          <w:szCs w:val="28"/>
          <w:highlight w:val="none"/>
        </w:rPr>
        <w:t>（二）投标函</w:t>
      </w:r>
      <w:bookmarkStart w:id="588" w:name="_Hlt130800501"/>
      <w:bookmarkEnd w:id="588"/>
      <w:r>
        <w:rPr>
          <w:rFonts w:hint="eastAsia" w:ascii="宋体" w:hAnsi="宋体" w:eastAsia="宋体" w:cs="宋体"/>
          <w:b/>
          <w:bCs w:val="0"/>
          <w:color w:val="auto"/>
          <w:sz w:val="28"/>
          <w:szCs w:val="28"/>
          <w:highlight w:val="none"/>
        </w:rPr>
        <w:t>附录</w:t>
      </w:r>
      <w:bookmarkEnd w:id="585"/>
      <w:bookmarkEnd w:id="586"/>
      <w:bookmarkEnd w:id="587"/>
    </w:p>
    <w:tbl>
      <w:tblPr>
        <w:tblStyle w:val="29"/>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617"/>
        <w:gridCol w:w="1456"/>
        <w:gridCol w:w="3038"/>
        <w:gridCol w:w="1722"/>
      </w:tblGrid>
      <w:tr w14:paraId="3720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top w:val="single" w:color="auto" w:sz="8" w:space="0"/>
              <w:left w:val="single" w:color="auto" w:sz="8" w:space="0"/>
            </w:tcBorders>
            <w:noWrap/>
            <w:vAlign w:val="center"/>
          </w:tcPr>
          <w:p w14:paraId="62B3252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617" w:type="dxa"/>
            <w:tcBorders>
              <w:top w:val="single" w:color="auto" w:sz="8" w:space="0"/>
            </w:tcBorders>
            <w:noWrap/>
            <w:vAlign w:val="center"/>
          </w:tcPr>
          <w:p w14:paraId="066E11A3">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条款名称</w:t>
            </w:r>
          </w:p>
        </w:tc>
        <w:tc>
          <w:tcPr>
            <w:tcW w:w="1456" w:type="dxa"/>
            <w:tcBorders>
              <w:top w:val="single" w:color="auto" w:sz="8" w:space="0"/>
            </w:tcBorders>
            <w:noWrap/>
            <w:vAlign w:val="center"/>
          </w:tcPr>
          <w:p w14:paraId="2DFF9D4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合同条款号</w:t>
            </w:r>
          </w:p>
        </w:tc>
        <w:tc>
          <w:tcPr>
            <w:tcW w:w="3038" w:type="dxa"/>
            <w:tcBorders>
              <w:top w:val="single" w:color="auto" w:sz="8" w:space="0"/>
              <w:right w:val="single" w:color="auto" w:sz="8" w:space="0"/>
            </w:tcBorders>
            <w:noWrap/>
            <w:vAlign w:val="center"/>
          </w:tcPr>
          <w:p w14:paraId="39058B8F">
            <w:pPr>
              <w:pStyle w:val="40"/>
              <w:keepNext w:val="0"/>
              <w:keepLines w:val="0"/>
              <w:pageBreakBefore w:val="0"/>
              <w:widowControl w:val="0"/>
              <w:kinsoku/>
              <w:wordWrap w:val="0"/>
              <w:overflowPunct/>
              <w:topLinePunct w:val="0"/>
              <w:autoSpaceDE/>
              <w:autoSpaceDN/>
              <w:bidi w:val="0"/>
              <w:snapToGrid/>
              <w:spacing w:beforeAutospacing="0" w:afterAutospacing="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约定内容</w:t>
            </w:r>
          </w:p>
        </w:tc>
        <w:tc>
          <w:tcPr>
            <w:tcW w:w="1722" w:type="dxa"/>
            <w:tcBorders>
              <w:top w:val="single" w:color="auto" w:sz="8" w:space="0"/>
              <w:right w:val="single" w:color="auto" w:sz="8" w:space="0"/>
            </w:tcBorders>
            <w:noWrap/>
            <w:vAlign w:val="center"/>
          </w:tcPr>
          <w:p w14:paraId="0F3A7041">
            <w:pPr>
              <w:pStyle w:val="40"/>
              <w:keepNext w:val="0"/>
              <w:keepLines w:val="0"/>
              <w:pageBreakBefore w:val="0"/>
              <w:widowControl w:val="0"/>
              <w:kinsoku/>
              <w:wordWrap w:val="0"/>
              <w:overflowPunct/>
              <w:topLinePunct w:val="0"/>
              <w:autoSpaceDE/>
              <w:autoSpaceDN/>
              <w:bidi w:val="0"/>
              <w:snapToGrid/>
              <w:spacing w:beforeAutospacing="0" w:afterAutospacing="0"/>
              <w:jc w:val="center"/>
              <w:textAlignment w:val="auto"/>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备注</w:t>
            </w:r>
          </w:p>
        </w:tc>
      </w:tr>
      <w:tr w14:paraId="1683E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4F60C8FD">
            <w:pPr>
              <w:pStyle w:val="40"/>
              <w:keepNext w:val="0"/>
              <w:keepLines w:val="0"/>
              <w:pageBreakBefore w:val="0"/>
              <w:widowControl w:val="0"/>
              <w:kinsoku/>
              <w:wordWrap w:val="0"/>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p>
        </w:tc>
        <w:tc>
          <w:tcPr>
            <w:tcW w:w="2617" w:type="dxa"/>
            <w:noWrap/>
            <w:vAlign w:val="center"/>
          </w:tcPr>
          <w:p w14:paraId="291FF76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w:t>
            </w:r>
          </w:p>
        </w:tc>
        <w:tc>
          <w:tcPr>
            <w:tcW w:w="1456" w:type="dxa"/>
            <w:noWrap/>
            <w:vAlign w:val="center"/>
          </w:tcPr>
          <w:p w14:paraId="3F005D4E">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1.1.4.5</w:t>
            </w:r>
          </w:p>
        </w:tc>
        <w:tc>
          <w:tcPr>
            <w:tcW w:w="3038" w:type="dxa"/>
            <w:tcBorders>
              <w:right w:val="single" w:color="auto" w:sz="8" w:space="0"/>
            </w:tcBorders>
            <w:noWrap/>
            <w:vAlign w:val="center"/>
          </w:tcPr>
          <w:p w14:paraId="07B23149">
            <w:pPr>
              <w:jc w:val="center"/>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u w:val="none"/>
                <w14:textFill>
                  <w14:solidFill>
                    <w14:schemeClr w14:val="tx1"/>
                  </w14:solidFill>
                </w14:textFill>
              </w:rPr>
              <w:t>自实际交工日期起计算</w:t>
            </w:r>
            <w:r>
              <w:rPr>
                <w:rFonts w:hint="eastAsia" w:ascii="宋体" w:hAnsi="宋体" w:eastAsia="宋体" w:cs="宋体"/>
                <w:color w:val="000000" w:themeColor="text1"/>
                <w:szCs w:val="21"/>
                <w:highlight w:val="none"/>
                <w:u w:val="single"/>
                <w:lang w:val="en-US" w:eastAsia="zh-CN"/>
                <w14:textFill>
                  <w14:solidFill>
                    <w14:schemeClr w14:val="tx1"/>
                  </w14:solidFill>
                </w14:textFill>
              </w:rPr>
              <w:t>24个月</w:t>
            </w:r>
          </w:p>
        </w:tc>
        <w:tc>
          <w:tcPr>
            <w:tcW w:w="1722" w:type="dxa"/>
            <w:tcBorders>
              <w:right w:val="single" w:color="auto" w:sz="8" w:space="0"/>
            </w:tcBorders>
            <w:noWrap/>
            <w:vAlign w:val="center"/>
          </w:tcPr>
          <w:p w14:paraId="00E13C16">
            <w:pPr>
              <w:jc w:val="center"/>
              <w:rPr>
                <w:rFonts w:hint="eastAsia" w:ascii="宋体" w:hAnsi="宋体" w:eastAsia="宋体" w:cs="宋体"/>
                <w:color w:val="auto"/>
                <w:sz w:val="24"/>
                <w:highlight w:val="none"/>
              </w:rPr>
            </w:pPr>
          </w:p>
        </w:tc>
      </w:tr>
      <w:tr w14:paraId="0C0E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0CCE50F6">
            <w:pPr>
              <w:pStyle w:val="40"/>
              <w:keepNext w:val="0"/>
              <w:keepLines w:val="0"/>
              <w:pageBreakBefore w:val="0"/>
              <w:widowControl w:val="0"/>
              <w:kinsoku/>
              <w:wordWrap w:val="0"/>
              <w:overflowPunct/>
              <w:topLinePunct w:val="0"/>
              <w:autoSpaceDE/>
              <w:autoSpaceDN/>
              <w:bidi w:val="0"/>
              <w:snapToGrid/>
              <w:spacing w:beforeAutospacing="0" w:afterAutospacing="0" w:line="360" w:lineRule="auto"/>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w:t>
            </w:r>
          </w:p>
        </w:tc>
        <w:tc>
          <w:tcPr>
            <w:tcW w:w="2617" w:type="dxa"/>
            <w:noWrap/>
            <w:vAlign w:val="center"/>
          </w:tcPr>
          <w:p w14:paraId="6FA3E072">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逾期交工违约金</w:t>
            </w:r>
          </w:p>
        </w:tc>
        <w:tc>
          <w:tcPr>
            <w:tcW w:w="1456" w:type="dxa"/>
            <w:noWrap/>
            <w:vAlign w:val="center"/>
          </w:tcPr>
          <w:p w14:paraId="6143C985">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3038" w:type="dxa"/>
            <w:tcBorders>
              <w:right w:val="single" w:color="auto" w:sz="8" w:space="0"/>
            </w:tcBorders>
            <w:noWrap/>
            <w:vAlign w:val="center"/>
          </w:tcPr>
          <w:p w14:paraId="1F3FE2AB">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人民币</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szCs w:val="21"/>
                <w:u w:val="single"/>
              </w:rPr>
              <w:t xml:space="preserve">/  </w:t>
            </w:r>
            <w:r>
              <w:rPr>
                <w:rFonts w:hint="eastAsia" w:ascii="宋体" w:hAnsi="宋体" w:cs="宋体"/>
                <w:szCs w:val="21"/>
              </w:rPr>
              <w:t>元/天</w:t>
            </w:r>
          </w:p>
        </w:tc>
        <w:tc>
          <w:tcPr>
            <w:tcW w:w="1722" w:type="dxa"/>
            <w:tcBorders>
              <w:right w:val="single" w:color="auto" w:sz="8" w:space="0"/>
            </w:tcBorders>
            <w:noWrap/>
            <w:vAlign w:val="center"/>
          </w:tcPr>
          <w:p w14:paraId="1F86EF9C">
            <w:pPr>
              <w:jc w:val="center"/>
              <w:rPr>
                <w:rFonts w:hint="eastAsia" w:ascii="宋体" w:hAnsi="宋体" w:eastAsia="宋体" w:cs="宋体"/>
                <w:color w:val="auto"/>
                <w:sz w:val="24"/>
                <w:highlight w:val="none"/>
              </w:rPr>
            </w:pPr>
            <w:r>
              <w:rPr>
                <w:rFonts w:hint="eastAsia" w:ascii="宋体" w:hAnsi="宋体" w:cs="宋体"/>
                <w:szCs w:val="21"/>
              </w:rPr>
              <w:t>以合同约定为准</w:t>
            </w:r>
          </w:p>
        </w:tc>
      </w:tr>
      <w:tr w14:paraId="68A88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08A4E02">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617" w:type="dxa"/>
            <w:noWrap/>
            <w:vAlign w:val="center"/>
          </w:tcPr>
          <w:p w14:paraId="341A2F45">
            <w:pPr>
              <w:pStyle w:val="9"/>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逾期交工违约金限额</w:t>
            </w:r>
          </w:p>
        </w:tc>
        <w:tc>
          <w:tcPr>
            <w:tcW w:w="1456" w:type="dxa"/>
            <w:noWrap/>
            <w:vAlign w:val="center"/>
          </w:tcPr>
          <w:p w14:paraId="159D343A">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11.5</w:t>
            </w:r>
          </w:p>
        </w:tc>
        <w:tc>
          <w:tcPr>
            <w:tcW w:w="3038" w:type="dxa"/>
            <w:tcBorders>
              <w:right w:val="single" w:color="auto" w:sz="8" w:space="0"/>
            </w:tcBorders>
            <w:noWrap/>
            <w:vAlign w:val="center"/>
          </w:tcPr>
          <w:p w14:paraId="10D521B9">
            <w:pPr>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szCs w:val="21"/>
                <w:u w:val="none"/>
                <w:lang w:val="en-US"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%签约合同价</w:t>
            </w:r>
          </w:p>
        </w:tc>
        <w:tc>
          <w:tcPr>
            <w:tcW w:w="1722" w:type="dxa"/>
            <w:tcBorders>
              <w:right w:val="single" w:color="auto" w:sz="8" w:space="0"/>
            </w:tcBorders>
            <w:noWrap/>
            <w:vAlign w:val="center"/>
          </w:tcPr>
          <w:p w14:paraId="11923B63">
            <w:pPr>
              <w:jc w:val="center"/>
              <w:rPr>
                <w:rFonts w:hint="eastAsia" w:ascii="宋体" w:hAnsi="宋体" w:eastAsia="宋体" w:cs="宋体"/>
                <w:color w:val="auto"/>
                <w:sz w:val="24"/>
                <w:highlight w:val="none"/>
              </w:rPr>
            </w:pPr>
            <w:r>
              <w:rPr>
                <w:rFonts w:hint="eastAsia" w:ascii="宋体" w:hAnsi="宋体" w:cs="宋体"/>
                <w:szCs w:val="21"/>
              </w:rPr>
              <w:t>以合同约定为准</w:t>
            </w:r>
          </w:p>
        </w:tc>
      </w:tr>
      <w:tr w14:paraId="7A10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CA49766">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617" w:type="dxa"/>
            <w:noWrap/>
            <w:vAlign w:val="center"/>
          </w:tcPr>
          <w:p w14:paraId="199EFEF4">
            <w:pPr>
              <w:pStyle w:val="9"/>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提前交工的奖金</w:t>
            </w:r>
          </w:p>
        </w:tc>
        <w:tc>
          <w:tcPr>
            <w:tcW w:w="1456" w:type="dxa"/>
            <w:noWrap/>
            <w:vAlign w:val="center"/>
          </w:tcPr>
          <w:p w14:paraId="1E4ECA8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3038" w:type="dxa"/>
            <w:tcBorders>
              <w:right w:val="single" w:color="auto" w:sz="8" w:space="0"/>
            </w:tcBorders>
            <w:noWrap/>
            <w:vAlign w:val="center"/>
          </w:tcPr>
          <w:p w14:paraId="15CC76DD">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722" w:type="dxa"/>
            <w:tcBorders>
              <w:right w:val="single" w:color="auto" w:sz="8" w:space="0"/>
            </w:tcBorders>
            <w:noWrap/>
            <w:vAlign w:val="center"/>
          </w:tcPr>
          <w:p w14:paraId="3BB6AAAB">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6F86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6479A76E">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617" w:type="dxa"/>
            <w:noWrap/>
            <w:vAlign w:val="center"/>
          </w:tcPr>
          <w:p w14:paraId="7162DBD7">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提前交工的奖金限额</w:t>
            </w:r>
          </w:p>
        </w:tc>
        <w:tc>
          <w:tcPr>
            <w:tcW w:w="1456" w:type="dxa"/>
            <w:noWrap/>
            <w:vAlign w:val="center"/>
          </w:tcPr>
          <w:p w14:paraId="07B3900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11.6</w:t>
            </w:r>
          </w:p>
        </w:tc>
        <w:tc>
          <w:tcPr>
            <w:tcW w:w="3038" w:type="dxa"/>
            <w:tcBorders>
              <w:right w:val="single" w:color="auto" w:sz="8" w:space="0"/>
            </w:tcBorders>
            <w:noWrap/>
            <w:vAlign w:val="center"/>
          </w:tcPr>
          <w:p w14:paraId="21689A6C">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722" w:type="dxa"/>
            <w:tcBorders>
              <w:right w:val="single" w:color="auto" w:sz="8" w:space="0"/>
            </w:tcBorders>
            <w:noWrap/>
            <w:vAlign w:val="center"/>
          </w:tcPr>
          <w:p w14:paraId="20A4E0A0">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4AC7D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78D1A326">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617" w:type="dxa"/>
            <w:noWrap/>
            <w:vAlign w:val="center"/>
          </w:tcPr>
          <w:p w14:paraId="017EF62B">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价格调整的差额计算</w:t>
            </w:r>
          </w:p>
        </w:tc>
        <w:tc>
          <w:tcPr>
            <w:tcW w:w="1456" w:type="dxa"/>
            <w:noWrap/>
            <w:vAlign w:val="center"/>
          </w:tcPr>
          <w:p w14:paraId="7C6C40D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w:t>
            </w:r>
          </w:p>
        </w:tc>
        <w:tc>
          <w:tcPr>
            <w:tcW w:w="3038" w:type="dxa"/>
            <w:tcBorders>
              <w:right w:val="single" w:color="auto" w:sz="8" w:space="0"/>
            </w:tcBorders>
            <w:noWrap/>
            <w:vAlign w:val="center"/>
          </w:tcPr>
          <w:p w14:paraId="0914C7E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lang w:eastAsia="zh-CN"/>
              </w:rPr>
            </w:pPr>
            <w:bookmarkStart w:id="589" w:name="_Hlt130800536"/>
            <w:bookmarkEnd w:id="589"/>
            <w:r>
              <w:rPr>
                <w:rFonts w:hint="eastAsia" w:ascii="宋体" w:hAnsi="宋体" w:cs="宋体"/>
                <w:color w:val="auto"/>
                <w:szCs w:val="21"/>
                <w:highlight w:val="none"/>
                <w:lang w:eastAsia="zh-CN"/>
              </w:rPr>
              <w:t>不适用</w:t>
            </w:r>
          </w:p>
        </w:tc>
        <w:tc>
          <w:tcPr>
            <w:tcW w:w="1722" w:type="dxa"/>
            <w:tcBorders>
              <w:right w:val="single" w:color="auto" w:sz="8" w:space="0"/>
            </w:tcBorders>
            <w:noWrap/>
            <w:vAlign w:val="center"/>
          </w:tcPr>
          <w:p w14:paraId="2AA6D17F">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 w:val="24"/>
                <w:highlight w:val="none"/>
              </w:rPr>
            </w:pPr>
          </w:p>
        </w:tc>
      </w:tr>
      <w:tr w14:paraId="0D91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767A4FE0">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617" w:type="dxa"/>
            <w:noWrap/>
            <w:vAlign w:val="center"/>
          </w:tcPr>
          <w:p w14:paraId="5E1A11B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开工预付款金额</w:t>
            </w:r>
          </w:p>
        </w:tc>
        <w:tc>
          <w:tcPr>
            <w:tcW w:w="1456" w:type="dxa"/>
            <w:noWrap/>
            <w:vAlign w:val="center"/>
          </w:tcPr>
          <w:p w14:paraId="7790252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17.2.1</w:t>
            </w:r>
          </w:p>
        </w:tc>
        <w:tc>
          <w:tcPr>
            <w:tcW w:w="3038" w:type="dxa"/>
            <w:tcBorders>
              <w:right w:val="single" w:color="auto" w:sz="8" w:space="0"/>
            </w:tcBorders>
            <w:noWrap/>
            <w:vAlign w:val="center"/>
          </w:tcPr>
          <w:p w14:paraId="0750B13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bookmarkStart w:id="590" w:name="_Hlt130800716"/>
            <w:bookmarkEnd w:id="590"/>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%签约合同价</w:t>
            </w:r>
          </w:p>
        </w:tc>
        <w:tc>
          <w:tcPr>
            <w:tcW w:w="1722" w:type="dxa"/>
            <w:tcBorders>
              <w:right w:val="single" w:color="auto" w:sz="8" w:space="0"/>
            </w:tcBorders>
            <w:noWrap/>
            <w:vAlign w:val="center"/>
          </w:tcPr>
          <w:p w14:paraId="2187F5FD">
            <w:pPr>
              <w:spacing w:line="360" w:lineRule="auto"/>
              <w:jc w:val="center"/>
              <w:rPr>
                <w:rFonts w:hint="eastAsia" w:ascii="宋体" w:hAnsi="宋体" w:eastAsia="宋体" w:cs="宋体"/>
                <w:color w:val="auto"/>
                <w:sz w:val="24"/>
                <w:highlight w:val="none"/>
              </w:rPr>
            </w:pPr>
            <w:r>
              <w:rPr>
                <w:rFonts w:hint="eastAsia" w:ascii="宋体" w:hAnsi="宋体" w:cs="宋体"/>
                <w:szCs w:val="21"/>
              </w:rPr>
              <w:t>以合同约定为准</w:t>
            </w:r>
          </w:p>
        </w:tc>
      </w:tr>
      <w:tr w14:paraId="6CEA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F326747">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617" w:type="dxa"/>
            <w:noWrap/>
            <w:vAlign w:val="center"/>
          </w:tcPr>
          <w:p w14:paraId="7A830FE3">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材料、设备预付款比例</w:t>
            </w:r>
          </w:p>
        </w:tc>
        <w:tc>
          <w:tcPr>
            <w:tcW w:w="1456" w:type="dxa"/>
            <w:noWrap/>
            <w:vAlign w:val="center"/>
          </w:tcPr>
          <w:p w14:paraId="43A2CFA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17.2.1</w:t>
            </w:r>
          </w:p>
        </w:tc>
        <w:tc>
          <w:tcPr>
            <w:tcW w:w="3038" w:type="dxa"/>
            <w:tcBorders>
              <w:right w:val="single" w:color="auto" w:sz="8" w:space="0"/>
            </w:tcBorders>
            <w:noWrap/>
            <w:vAlign w:val="center"/>
          </w:tcPr>
          <w:p w14:paraId="2E605DD7">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val="en-US" w:eastAsia="zh-CN"/>
              </w:rPr>
              <w:t>等</w:t>
            </w:r>
            <w:r>
              <w:rPr>
                <w:rFonts w:hint="eastAsia" w:ascii="宋体" w:hAnsi="宋体" w:eastAsia="宋体" w:cs="宋体"/>
                <w:color w:val="auto"/>
                <w:szCs w:val="21"/>
                <w:highlight w:val="none"/>
                <w:u w:val="none"/>
              </w:rPr>
              <w:t>主要</w:t>
            </w:r>
            <w:r>
              <w:rPr>
                <w:rFonts w:hint="eastAsia" w:ascii="宋体" w:hAnsi="宋体" w:eastAsia="宋体" w:cs="宋体"/>
                <w:color w:val="auto"/>
                <w:szCs w:val="21"/>
                <w:highlight w:val="none"/>
              </w:rPr>
              <w:t>材料、设备单据所列费用的</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tc>
        <w:tc>
          <w:tcPr>
            <w:tcW w:w="1722" w:type="dxa"/>
            <w:tcBorders>
              <w:right w:val="single" w:color="auto" w:sz="8" w:space="0"/>
            </w:tcBorders>
            <w:noWrap/>
            <w:vAlign w:val="center"/>
          </w:tcPr>
          <w:p w14:paraId="2366BB83">
            <w:pPr>
              <w:spacing w:line="360" w:lineRule="auto"/>
              <w:jc w:val="center"/>
              <w:rPr>
                <w:rFonts w:hint="eastAsia" w:ascii="宋体" w:hAnsi="宋体" w:eastAsia="宋体" w:cs="宋体"/>
                <w:color w:val="auto"/>
                <w:sz w:val="24"/>
                <w:highlight w:val="none"/>
              </w:rPr>
            </w:pPr>
            <w:r>
              <w:rPr>
                <w:rFonts w:hint="eastAsia" w:ascii="宋体" w:hAnsi="宋体" w:cs="宋体"/>
                <w:szCs w:val="21"/>
              </w:rPr>
              <w:t>以合同约定为准</w:t>
            </w:r>
          </w:p>
        </w:tc>
      </w:tr>
      <w:tr w14:paraId="694F7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47CB60E">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617" w:type="dxa"/>
            <w:noWrap/>
            <w:vAlign w:val="center"/>
          </w:tcPr>
          <w:p w14:paraId="24125024">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进度付款证书最低限额</w:t>
            </w:r>
          </w:p>
        </w:tc>
        <w:tc>
          <w:tcPr>
            <w:tcW w:w="1456" w:type="dxa"/>
            <w:noWrap/>
            <w:vAlign w:val="center"/>
          </w:tcPr>
          <w:p w14:paraId="22D59F02">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17.3.3</w:t>
            </w:r>
          </w:p>
        </w:tc>
        <w:tc>
          <w:tcPr>
            <w:tcW w:w="3038" w:type="dxa"/>
            <w:tcBorders>
              <w:right w:val="single" w:color="auto" w:sz="8" w:space="0"/>
            </w:tcBorders>
            <w:noWrap/>
            <w:vAlign w:val="center"/>
          </w:tcPr>
          <w:p w14:paraId="3AE524C4">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万元</w:t>
            </w:r>
          </w:p>
        </w:tc>
        <w:tc>
          <w:tcPr>
            <w:tcW w:w="1722" w:type="dxa"/>
            <w:tcBorders>
              <w:right w:val="single" w:color="auto" w:sz="8" w:space="0"/>
            </w:tcBorders>
            <w:noWrap/>
            <w:vAlign w:val="center"/>
          </w:tcPr>
          <w:p w14:paraId="3070810B">
            <w:pPr>
              <w:spacing w:line="360" w:lineRule="auto"/>
              <w:jc w:val="center"/>
              <w:rPr>
                <w:rFonts w:hint="eastAsia" w:ascii="宋体" w:hAnsi="宋体" w:eastAsia="宋体" w:cs="宋体"/>
                <w:color w:val="auto"/>
                <w:sz w:val="24"/>
                <w:highlight w:val="none"/>
              </w:rPr>
            </w:pPr>
            <w:r>
              <w:rPr>
                <w:rFonts w:hint="eastAsia" w:ascii="宋体" w:hAnsi="宋体" w:cs="宋体"/>
                <w:szCs w:val="21"/>
              </w:rPr>
              <w:t>以合同约定为准</w:t>
            </w:r>
          </w:p>
        </w:tc>
      </w:tr>
      <w:tr w14:paraId="51D6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19524C8B">
            <w:pPr>
              <w:keepNext w:val="0"/>
              <w:keepLines w:val="0"/>
              <w:pageBreakBefore w:val="0"/>
              <w:widowControl w:val="0"/>
              <w:kinsoku/>
              <w:wordWrap w:val="0"/>
              <w:overflowPunct/>
              <w:topLinePunct w:val="0"/>
              <w:autoSpaceDE/>
              <w:autoSpaceDN/>
              <w:bidi w:val="0"/>
              <w:snapToGrid/>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617" w:type="dxa"/>
            <w:noWrap/>
            <w:vAlign w:val="center"/>
          </w:tcPr>
          <w:p w14:paraId="344DEEB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逾期付款违约金的利率</w:t>
            </w:r>
          </w:p>
        </w:tc>
        <w:tc>
          <w:tcPr>
            <w:tcW w:w="1456" w:type="dxa"/>
            <w:noWrap/>
            <w:vAlign w:val="center"/>
          </w:tcPr>
          <w:p w14:paraId="2A6ACAA6">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17.3.3</w:t>
            </w:r>
          </w:p>
        </w:tc>
        <w:tc>
          <w:tcPr>
            <w:tcW w:w="3038" w:type="dxa"/>
            <w:tcBorders>
              <w:right w:val="single" w:color="auto" w:sz="8" w:space="0"/>
            </w:tcBorders>
            <w:noWrap/>
            <w:vAlign w:val="center"/>
          </w:tcPr>
          <w:p w14:paraId="1880719E">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按同期贷款市场报价利率（LPR）一年期利率计算</w:t>
            </w:r>
          </w:p>
        </w:tc>
        <w:tc>
          <w:tcPr>
            <w:tcW w:w="1722" w:type="dxa"/>
            <w:tcBorders>
              <w:right w:val="single" w:color="auto" w:sz="8" w:space="0"/>
            </w:tcBorders>
            <w:noWrap/>
            <w:vAlign w:val="center"/>
          </w:tcPr>
          <w:p w14:paraId="57B82BCF">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7E04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69FF8A6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617" w:type="dxa"/>
            <w:noWrap/>
            <w:vAlign w:val="center"/>
          </w:tcPr>
          <w:p w14:paraId="18744B1A">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质量保证金金额</w:t>
            </w:r>
          </w:p>
        </w:tc>
        <w:tc>
          <w:tcPr>
            <w:tcW w:w="1456" w:type="dxa"/>
            <w:noWrap/>
            <w:vAlign w:val="center"/>
          </w:tcPr>
          <w:p w14:paraId="17EEA375">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17.4.1</w:t>
            </w:r>
          </w:p>
        </w:tc>
        <w:tc>
          <w:tcPr>
            <w:tcW w:w="3038" w:type="dxa"/>
            <w:tcBorders>
              <w:right w:val="single" w:color="auto" w:sz="8" w:space="0"/>
            </w:tcBorders>
            <w:noWrap/>
            <w:vAlign w:val="center"/>
          </w:tcPr>
          <w:p w14:paraId="1CEE076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3</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%合同价格</w:t>
            </w:r>
          </w:p>
        </w:tc>
        <w:tc>
          <w:tcPr>
            <w:tcW w:w="1722" w:type="dxa"/>
            <w:tcBorders>
              <w:right w:val="single" w:color="auto" w:sz="8" w:space="0"/>
            </w:tcBorders>
            <w:noWrap/>
            <w:vAlign w:val="center"/>
          </w:tcPr>
          <w:p w14:paraId="48D76E4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r w14:paraId="61F55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7" w:type="dxa"/>
            <w:tcBorders>
              <w:left w:val="single" w:color="auto" w:sz="8" w:space="0"/>
            </w:tcBorders>
            <w:noWrap/>
            <w:vAlign w:val="center"/>
          </w:tcPr>
          <w:p w14:paraId="3B021FD8">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617" w:type="dxa"/>
            <w:noWrap/>
            <w:vAlign w:val="center"/>
          </w:tcPr>
          <w:p w14:paraId="6FB70AC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保修期</w:t>
            </w:r>
          </w:p>
        </w:tc>
        <w:tc>
          <w:tcPr>
            <w:tcW w:w="1456" w:type="dxa"/>
            <w:noWrap/>
            <w:vAlign w:val="center"/>
          </w:tcPr>
          <w:p w14:paraId="24C07DDD">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19.7</w:t>
            </w:r>
          </w:p>
        </w:tc>
        <w:tc>
          <w:tcPr>
            <w:tcW w:w="3038" w:type="dxa"/>
            <w:tcBorders>
              <w:right w:val="single" w:color="auto" w:sz="8" w:space="0"/>
            </w:tcBorders>
            <w:noWrap/>
            <w:vAlign w:val="center"/>
          </w:tcPr>
          <w:p w14:paraId="00829CE9">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不适用</w:t>
            </w:r>
          </w:p>
        </w:tc>
        <w:tc>
          <w:tcPr>
            <w:tcW w:w="1722" w:type="dxa"/>
            <w:tcBorders>
              <w:right w:val="single" w:color="auto" w:sz="8" w:space="0"/>
            </w:tcBorders>
            <w:noWrap/>
            <w:vAlign w:val="center"/>
          </w:tcPr>
          <w:p w14:paraId="49E9044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4"/>
                <w:highlight w:val="none"/>
              </w:rPr>
            </w:pPr>
          </w:p>
        </w:tc>
      </w:tr>
    </w:tbl>
    <w:p w14:paraId="30487982">
      <w:pPr>
        <w:keepNext w:val="0"/>
        <w:keepLines w:val="0"/>
        <w:pageBreakBefore w:val="0"/>
        <w:widowControl w:val="0"/>
        <w:kinsoku/>
        <w:wordWrap w:val="0"/>
        <w:overflowPunct/>
        <w:topLinePunct w:val="0"/>
        <w:autoSpaceDE/>
        <w:autoSpaceDN/>
        <w:bidi w:val="0"/>
        <w:adjustRightInd w:val="0"/>
        <w:snapToGrid/>
        <w:spacing w:line="560" w:lineRule="exact"/>
        <w:ind w:right="420"/>
        <w:rPr>
          <w:rFonts w:ascii="宋体" w:hAnsi="宋体" w:cs="宋体"/>
          <w:color w:val="auto"/>
          <w:kern w:val="0"/>
          <w:sz w:val="24"/>
          <w:highlight w:val="none"/>
        </w:rPr>
      </w:pPr>
    </w:p>
    <w:p w14:paraId="36B113C0">
      <w:pPr>
        <w:pStyle w:val="13"/>
        <w:rPr>
          <w:rFonts w:hint="default"/>
          <w:color w:val="auto"/>
          <w:highlight w:val="none"/>
          <w:lang w:val="en-US"/>
        </w:rPr>
      </w:pPr>
    </w:p>
    <w:p w14:paraId="73986990">
      <w:pPr>
        <w:rPr>
          <w:rFonts w:hint="default"/>
          <w:color w:val="auto"/>
          <w:highlight w:val="none"/>
          <w:lang w:val="en-US"/>
        </w:rPr>
      </w:pPr>
    </w:p>
    <w:p w14:paraId="2DF045E6">
      <w:pPr>
        <w:pStyle w:val="13"/>
        <w:rPr>
          <w:rFonts w:hint="default"/>
          <w:color w:val="auto"/>
          <w:highlight w:val="none"/>
          <w:lang w:val="en-US"/>
        </w:rPr>
      </w:pPr>
    </w:p>
    <w:p w14:paraId="48800906">
      <w:pPr>
        <w:rPr>
          <w:rFonts w:hint="default"/>
          <w:color w:val="auto"/>
          <w:highlight w:val="none"/>
          <w:lang w:val="en-US"/>
        </w:rPr>
      </w:pPr>
    </w:p>
    <w:p w14:paraId="45DE9CEA">
      <w:pPr>
        <w:pStyle w:val="13"/>
        <w:rPr>
          <w:rFonts w:hint="default"/>
          <w:color w:val="auto"/>
          <w:highlight w:val="none"/>
          <w:lang w:val="en-US"/>
        </w:rPr>
      </w:pPr>
    </w:p>
    <w:p w14:paraId="2B00D7A4">
      <w:pPr>
        <w:rPr>
          <w:rFonts w:hint="default"/>
          <w:color w:val="auto"/>
          <w:highlight w:val="none"/>
          <w:lang w:val="en-US"/>
        </w:rPr>
      </w:pPr>
    </w:p>
    <w:p w14:paraId="57BEE5C0">
      <w:pPr>
        <w:pStyle w:val="13"/>
        <w:rPr>
          <w:rFonts w:hint="default"/>
          <w:color w:val="auto"/>
          <w:highlight w:val="none"/>
          <w:lang w:val="en-US"/>
        </w:rPr>
      </w:pPr>
    </w:p>
    <w:p w14:paraId="620CA212">
      <w:pPr>
        <w:rPr>
          <w:rFonts w:hint="default"/>
          <w:color w:val="auto"/>
          <w:highlight w:val="none"/>
          <w:lang w:val="en-US"/>
        </w:rPr>
      </w:pPr>
    </w:p>
    <w:p w14:paraId="440EADF9">
      <w:pPr>
        <w:pStyle w:val="13"/>
        <w:rPr>
          <w:rFonts w:hint="default"/>
          <w:color w:val="auto"/>
          <w:highlight w:val="none"/>
          <w:lang w:val="en-US"/>
        </w:rPr>
      </w:pPr>
    </w:p>
    <w:p w14:paraId="7BBD36A7">
      <w:pPr>
        <w:rPr>
          <w:rFonts w:hint="default"/>
          <w:color w:val="auto"/>
          <w:highlight w:val="none"/>
          <w:lang w:val="en-US"/>
        </w:rPr>
      </w:pPr>
    </w:p>
    <w:p w14:paraId="6CB8572C">
      <w:pPr>
        <w:pStyle w:val="13"/>
        <w:rPr>
          <w:rFonts w:hint="default"/>
          <w:color w:val="auto"/>
          <w:highlight w:val="none"/>
          <w:lang w:val="en-US"/>
        </w:rPr>
      </w:pPr>
    </w:p>
    <w:p w14:paraId="06E92B48">
      <w:pPr>
        <w:rPr>
          <w:rFonts w:hint="default"/>
          <w:color w:val="auto"/>
          <w:highlight w:val="none"/>
          <w:lang w:val="en-US"/>
        </w:rPr>
      </w:pPr>
    </w:p>
    <w:p w14:paraId="6F19F929">
      <w:pPr>
        <w:pStyle w:val="13"/>
        <w:ind w:left="0" w:leftChars="0" w:firstLine="0" w:firstLineChars="0"/>
        <w:rPr>
          <w:rFonts w:hint="default"/>
          <w:color w:val="auto"/>
          <w:highlight w:val="none"/>
          <w:lang w:val="en-US"/>
        </w:rPr>
      </w:pPr>
    </w:p>
    <w:p w14:paraId="3F587B2C">
      <w:pPr>
        <w:keepNext w:val="0"/>
        <w:keepLines w:val="0"/>
        <w:pageBreakBefore w:val="0"/>
        <w:widowControl w:val="0"/>
        <w:kinsoku/>
        <w:wordWrap w:val="0"/>
        <w:overflowPunct/>
        <w:topLinePunct w:val="0"/>
        <w:autoSpaceDE/>
        <w:autoSpaceDN/>
        <w:bidi w:val="0"/>
        <w:snapToGrid/>
        <w:jc w:val="center"/>
        <w:outlineLvl w:val="9"/>
        <w:rPr>
          <w:rFonts w:hint="eastAsia" w:ascii="宋体" w:hAnsi="宋体" w:eastAsia="宋体" w:cs="宋体"/>
          <w:b/>
          <w:bCs/>
          <w:color w:val="auto"/>
          <w:sz w:val="30"/>
          <w:szCs w:val="30"/>
          <w:highlight w:val="none"/>
        </w:rPr>
      </w:pPr>
      <w:bookmarkStart w:id="591" w:name="_Toc535"/>
      <w:r>
        <w:rPr>
          <w:rFonts w:hint="eastAsia" w:ascii="宋体" w:hAnsi="宋体" w:eastAsia="宋体" w:cs="宋体"/>
          <w:b/>
          <w:bCs/>
          <w:color w:val="auto"/>
          <w:sz w:val="30"/>
          <w:szCs w:val="30"/>
          <w:highlight w:val="none"/>
        </w:rPr>
        <w:t>二、授权委托书或法定代表人身份证明</w:t>
      </w:r>
      <w:bookmarkEnd w:id="591"/>
    </w:p>
    <w:p w14:paraId="3754096E">
      <w:pPr>
        <w:pStyle w:val="3"/>
        <w:keepNext w:val="0"/>
        <w:keepLines w:val="0"/>
        <w:pageBreakBefore w:val="0"/>
        <w:widowControl w:val="0"/>
        <w:numPr>
          <w:ilvl w:val="1"/>
          <w:numId w:val="0"/>
        </w:numPr>
        <w:kinsoku/>
        <w:wordWrap w:val="0"/>
        <w:overflowPunct/>
        <w:topLinePunct w:val="0"/>
        <w:autoSpaceDE/>
        <w:autoSpaceDN/>
        <w:bidi w:val="0"/>
        <w:adjustRightInd/>
        <w:snapToGrid/>
        <w:spacing w:before="157" w:beforeLines="50" w:after="157" w:afterLines="50" w:line="360" w:lineRule="auto"/>
        <w:ind w:left="0" w:leftChars="0" w:firstLine="0" w:firstLineChars="0"/>
        <w:jc w:val="center"/>
        <w:textAlignment w:val="auto"/>
        <w:outlineLvl w:val="9"/>
        <w:rPr>
          <w:rFonts w:hint="eastAsia" w:ascii="宋体" w:hAnsi="宋体" w:eastAsia="宋体" w:cs="宋体"/>
          <w:color w:val="auto"/>
          <w:sz w:val="28"/>
          <w:szCs w:val="28"/>
          <w:highlight w:val="none"/>
        </w:rPr>
      </w:pPr>
      <w:bookmarkStart w:id="592" w:name="_Toc27211"/>
      <w:bookmarkStart w:id="593" w:name="_Toc16778840"/>
      <w:bookmarkStart w:id="594" w:name="_Toc22619"/>
      <w:r>
        <w:rPr>
          <w:rFonts w:hint="eastAsia" w:ascii="宋体" w:hAnsi="宋体" w:eastAsia="宋体" w:cs="宋体"/>
          <w:b/>
          <w:bCs/>
          <w:color w:val="auto"/>
          <w:sz w:val="28"/>
          <w:szCs w:val="28"/>
          <w:highlight w:val="none"/>
        </w:rPr>
        <w:t>（一）授权委托书</w:t>
      </w:r>
      <w:bookmarkEnd w:id="592"/>
      <w:bookmarkEnd w:id="593"/>
      <w:bookmarkEnd w:id="594"/>
    </w:p>
    <w:p w14:paraId="676EAED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（投标人名称）的法定代表人，现委托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（姓名）为我方代理人。代理人根据授权，以我方名义签署、澄清确认、递交、撤回、修改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标段施工投标文件、签订合同和处理有关事宜，其法律后果由我方承担。</w:t>
      </w:r>
    </w:p>
    <w:p w14:paraId="7ECD00D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委托期限：自本委托书签署之日起至投标有效期期满。</w:t>
      </w:r>
    </w:p>
    <w:p w14:paraId="07968FB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p>
    <w:p w14:paraId="53E6FBA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0999995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附：法定代表人身份证复印件及委托代理人身份证复印件。</w:t>
      </w:r>
    </w:p>
    <w:p w14:paraId="4FCBC56F">
      <w:pPr>
        <w:pStyle w:val="13"/>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6805CB65">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24A52ED0">
      <w:pPr>
        <w:keepNext w:val="0"/>
        <w:keepLines w:val="0"/>
        <w:pageBreakBefore w:val="0"/>
        <w:widowControl w:val="0"/>
        <w:kinsoku/>
        <w:wordWrap w:val="0"/>
        <w:overflowPunct/>
        <w:topLinePunct w:val="0"/>
        <w:autoSpaceDE/>
        <w:autoSpaceDN/>
        <w:bidi w:val="0"/>
        <w:adjustRightInd/>
        <w:snapToGrid/>
        <w:spacing w:line="360" w:lineRule="auto"/>
        <w:ind w:firstLine="3780" w:firstLineChars="18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投</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标</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（盖单位章）</w:t>
      </w:r>
    </w:p>
    <w:p w14:paraId="2F1A9E9A">
      <w:pPr>
        <w:keepNext w:val="0"/>
        <w:keepLines w:val="0"/>
        <w:pageBreakBefore w:val="0"/>
        <w:widowControl w:val="0"/>
        <w:kinsoku/>
        <w:wordWrap w:val="0"/>
        <w:overflowPunct/>
        <w:topLinePunct w:val="0"/>
        <w:autoSpaceDE/>
        <w:autoSpaceDN/>
        <w:bidi w:val="0"/>
        <w:adjustRightInd/>
        <w:snapToGrid/>
        <w:spacing w:line="360" w:lineRule="auto"/>
        <w:ind w:firstLine="3780" w:firstLineChars="18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（签字）</w:t>
      </w:r>
    </w:p>
    <w:p w14:paraId="7F40A85F">
      <w:pPr>
        <w:keepNext w:val="0"/>
        <w:keepLines w:val="0"/>
        <w:pageBreakBefore w:val="0"/>
        <w:widowControl w:val="0"/>
        <w:kinsoku/>
        <w:wordWrap w:val="0"/>
        <w:overflowPunct/>
        <w:topLinePunct w:val="0"/>
        <w:autoSpaceDE/>
        <w:autoSpaceDN/>
        <w:bidi w:val="0"/>
        <w:adjustRightInd/>
        <w:snapToGrid/>
        <w:spacing w:line="360" w:lineRule="auto"/>
        <w:ind w:firstLine="3780" w:firstLineChars="18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p>
    <w:p w14:paraId="4B1F38DE">
      <w:pPr>
        <w:keepNext w:val="0"/>
        <w:keepLines w:val="0"/>
        <w:pageBreakBefore w:val="0"/>
        <w:widowControl w:val="0"/>
        <w:kinsoku/>
        <w:wordWrap w:val="0"/>
        <w:overflowPunct/>
        <w:topLinePunct w:val="0"/>
        <w:autoSpaceDE/>
        <w:autoSpaceDN/>
        <w:bidi w:val="0"/>
        <w:adjustRightInd/>
        <w:snapToGrid/>
        <w:spacing w:line="360" w:lineRule="auto"/>
        <w:ind w:firstLine="3780" w:firstLineChars="18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（签字）</w:t>
      </w:r>
    </w:p>
    <w:p w14:paraId="0A6CA996">
      <w:pPr>
        <w:keepNext w:val="0"/>
        <w:keepLines w:val="0"/>
        <w:pageBreakBefore w:val="0"/>
        <w:widowControl w:val="0"/>
        <w:kinsoku/>
        <w:wordWrap w:val="0"/>
        <w:overflowPunct/>
        <w:topLinePunct w:val="0"/>
        <w:autoSpaceDE/>
        <w:autoSpaceDN/>
        <w:bidi w:val="0"/>
        <w:adjustRightInd/>
        <w:snapToGrid/>
        <w:spacing w:line="360" w:lineRule="auto"/>
        <w:ind w:firstLine="3780" w:firstLineChars="18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lang w:val="en-US" w:eastAsia="zh-CN"/>
        </w:rPr>
        <w:t xml:space="preserve">                            </w:t>
      </w:r>
    </w:p>
    <w:p w14:paraId="4EA25B98">
      <w:pPr>
        <w:keepNext w:val="0"/>
        <w:keepLines w:val="0"/>
        <w:pageBreakBefore w:val="0"/>
        <w:widowControl w:val="0"/>
        <w:kinsoku/>
        <w:wordWrap w:val="0"/>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49497C7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53CDEB7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2EB681F0">
      <w:pPr>
        <w:ind w:firstLine="420" w:firstLineChars="200"/>
        <w:rPr>
          <w:rFonts w:hint="eastAsia" w:ascii="宋体" w:hAnsi="宋体" w:eastAsia="宋体" w:cs="宋体"/>
          <w:color w:val="auto"/>
          <w:sz w:val="21"/>
          <w:szCs w:val="21"/>
          <w:highlight w:val="none"/>
        </w:rPr>
      </w:pPr>
    </w:p>
    <w:p w14:paraId="5E257D5F">
      <w:pPr>
        <w:pStyle w:val="10"/>
        <w:rPr>
          <w:rFonts w:hint="eastAsia" w:ascii="宋体" w:hAnsi="宋体" w:eastAsia="宋体" w:cs="宋体"/>
          <w:color w:val="auto"/>
          <w:sz w:val="21"/>
          <w:szCs w:val="21"/>
          <w:highlight w:val="none"/>
        </w:rPr>
      </w:pPr>
    </w:p>
    <w:p w14:paraId="5AE83E9D">
      <w:pPr>
        <w:pStyle w:val="25"/>
        <w:rPr>
          <w:rFonts w:hint="eastAsia"/>
        </w:rPr>
      </w:pPr>
    </w:p>
    <w:p w14:paraId="0D561BE6">
      <w:pPr>
        <w:pStyle w:val="13"/>
        <w:rPr>
          <w:rFonts w:hint="eastAsia" w:ascii="宋体" w:hAnsi="宋体" w:eastAsia="宋体" w:cs="宋体"/>
          <w:color w:val="auto"/>
          <w:sz w:val="21"/>
          <w:szCs w:val="21"/>
          <w:highlight w:val="none"/>
        </w:rPr>
      </w:pPr>
    </w:p>
    <w:p w14:paraId="5CCBC28A">
      <w:pPr>
        <w:rPr>
          <w:rFonts w:hint="eastAsia" w:ascii="宋体" w:hAnsi="宋体" w:eastAsia="宋体" w:cs="宋体"/>
          <w:color w:val="auto"/>
          <w:sz w:val="21"/>
          <w:szCs w:val="21"/>
          <w:highlight w:val="none"/>
        </w:rPr>
      </w:pPr>
    </w:p>
    <w:p w14:paraId="40D7CF61">
      <w:pPr>
        <w:pStyle w:val="13"/>
        <w:rPr>
          <w:rFonts w:hint="eastAsia" w:ascii="宋体" w:hAnsi="宋体" w:eastAsia="宋体" w:cs="宋体"/>
          <w:color w:val="auto"/>
          <w:sz w:val="21"/>
          <w:szCs w:val="21"/>
          <w:highlight w:val="none"/>
        </w:rPr>
      </w:pPr>
    </w:p>
    <w:p w14:paraId="1BD9803D">
      <w:pPr>
        <w:rPr>
          <w:rFonts w:hint="eastAsia" w:ascii="宋体" w:hAnsi="宋体" w:eastAsia="宋体" w:cs="宋体"/>
          <w:color w:val="auto"/>
          <w:sz w:val="21"/>
          <w:szCs w:val="21"/>
          <w:highlight w:val="none"/>
        </w:rPr>
      </w:pPr>
    </w:p>
    <w:p w14:paraId="4F1BAC75">
      <w:pPr>
        <w:pStyle w:val="13"/>
        <w:rPr>
          <w:rFonts w:hint="eastAsia" w:ascii="宋体" w:hAnsi="宋体" w:eastAsia="宋体" w:cs="宋体"/>
          <w:color w:val="auto"/>
          <w:sz w:val="21"/>
          <w:szCs w:val="21"/>
          <w:highlight w:val="none"/>
        </w:rPr>
      </w:pPr>
    </w:p>
    <w:p w14:paraId="57771535">
      <w:pPr>
        <w:pStyle w:val="13"/>
        <w:rPr>
          <w:rFonts w:hint="eastAsia" w:ascii="宋体" w:hAnsi="宋体" w:eastAsia="宋体" w:cs="宋体"/>
          <w:color w:val="auto"/>
          <w:sz w:val="21"/>
          <w:szCs w:val="21"/>
          <w:highlight w:val="none"/>
        </w:rPr>
      </w:pPr>
    </w:p>
    <w:p w14:paraId="0646C9FC">
      <w:pPr>
        <w:pStyle w:val="13"/>
        <w:rPr>
          <w:rFonts w:hint="eastAsia" w:ascii="宋体" w:hAnsi="宋体" w:eastAsia="宋体" w:cs="宋体"/>
          <w:color w:val="auto"/>
          <w:sz w:val="21"/>
          <w:szCs w:val="21"/>
          <w:highlight w:val="none"/>
        </w:rPr>
      </w:pPr>
    </w:p>
    <w:p w14:paraId="0ABA75DB">
      <w:pPr>
        <w:pStyle w:val="13"/>
        <w:rPr>
          <w:rFonts w:hint="eastAsia" w:ascii="宋体" w:hAnsi="宋体" w:eastAsia="宋体" w:cs="宋体"/>
          <w:color w:val="auto"/>
          <w:sz w:val="21"/>
          <w:szCs w:val="21"/>
          <w:highlight w:val="none"/>
        </w:rPr>
      </w:pPr>
    </w:p>
    <w:p w14:paraId="43353AF2">
      <w:pPr>
        <w:pStyle w:val="13"/>
        <w:ind w:left="0" w:leftChars="0" w:firstLine="0" w:firstLineChars="0"/>
        <w:rPr>
          <w:rFonts w:hint="eastAsia" w:ascii="宋体" w:hAnsi="宋体" w:eastAsia="宋体" w:cs="宋体"/>
          <w:color w:val="auto"/>
          <w:sz w:val="21"/>
          <w:szCs w:val="21"/>
          <w:highlight w:val="none"/>
        </w:rPr>
      </w:pPr>
    </w:p>
    <w:p w14:paraId="5ABB1E67">
      <w:pPr>
        <w:pStyle w:val="3"/>
        <w:keepNext w:val="0"/>
        <w:keepLines w:val="0"/>
        <w:pageBreakBefore w:val="0"/>
        <w:widowControl w:val="0"/>
        <w:numPr>
          <w:ilvl w:val="1"/>
          <w:numId w:val="0"/>
        </w:numPr>
        <w:kinsoku/>
        <w:wordWrap w:val="0"/>
        <w:overflowPunct/>
        <w:topLinePunct w:val="0"/>
        <w:autoSpaceDE/>
        <w:autoSpaceDN/>
        <w:bidi w:val="0"/>
        <w:snapToGrid/>
        <w:ind w:left="0" w:leftChars="0" w:firstLine="0" w:firstLineChars="0"/>
        <w:jc w:val="center"/>
        <w:outlineLvl w:val="9"/>
        <w:rPr>
          <w:rFonts w:hint="eastAsia" w:ascii="宋体" w:hAnsi="宋体" w:eastAsia="宋体" w:cs="宋体"/>
          <w:color w:val="auto"/>
          <w:szCs w:val="21"/>
          <w:highlight w:val="none"/>
        </w:rPr>
      </w:pPr>
      <w:bookmarkStart w:id="595" w:name="_Toc20164"/>
      <w:bookmarkStart w:id="596" w:name="_Toc17797"/>
      <w:bookmarkStart w:id="597" w:name="_Toc16778841"/>
      <w:r>
        <w:rPr>
          <w:rFonts w:hint="eastAsia" w:ascii="宋体" w:hAnsi="宋体" w:eastAsia="宋体" w:cs="宋体"/>
          <w:b/>
          <w:bCs/>
          <w:color w:val="auto"/>
          <w:sz w:val="28"/>
          <w:szCs w:val="28"/>
          <w:highlight w:val="none"/>
        </w:rPr>
        <w:t>（二）法定代表人身份证明</w:t>
      </w:r>
      <w:bookmarkEnd w:id="595"/>
      <w:bookmarkEnd w:id="596"/>
      <w:bookmarkEnd w:id="597"/>
    </w:p>
    <w:p w14:paraId="3CDC1FC5">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18"/>
          <w:highlight w:val="none"/>
          <w:u w:val="single"/>
          <w:lang w:val="en-US" w:eastAsia="zh-CN"/>
        </w:rPr>
      </w:pPr>
      <w:r>
        <w:rPr>
          <w:rFonts w:hint="eastAsia" w:ascii="宋体" w:hAnsi="宋体" w:eastAsia="宋体" w:cs="宋体"/>
          <w:color w:val="auto"/>
          <w:sz w:val="21"/>
          <w:szCs w:val="18"/>
          <w:highlight w:val="none"/>
        </w:rPr>
        <w:t>投标人名称：</w:t>
      </w:r>
      <w:r>
        <w:rPr>
          <w:rFonts w:hint="eastAsia" w:ascii="宋体" w:hAnsi="宋体" w:eastAsia="宋体" w:cs="宋体"/>
          <w:color w:val="auto"/>
          <w:sz w:val="21"/>
          <w:szCs w:val="18"/>
          <w:highlight w:val="none"/>
          <w:u w:val="single"/>
          <w:lang w:val="en-US" w:eastAsia="zh-CN"/>
        </w:rPr>
        <w:t xml:space="preserve">                  </w:t>
      </w:r>
    </w:p>
    <w:p w14:paraId="28E7C344">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姓名：</w:t>
      </w:r>
      <w:r>
        <w:rPr>
          <w:rFonts w:hint="eastAsia" w:ascii="宋体" w:hAnsi="宋体" w:eastAsia="宋体" w:cs="宋体"/>
          <w:color w:val="auto"/>
          <w:sz w:val="21"/>
          <w:szCs w:val="18"/>
          <w:highlight w:val="none"/>
          <w:u w:val="single"/>
        </w:rPr>
        <w:t xml:space="preserve"> （法定代表人亲笔签字） </w:t>
      </w:r>
      <w:r>
        <w:rPr>
          <w:rFonts w:hint="eastAsia" w:ascii="宋体" w:hAnsi="宋体" w:eastAsia="宋体" w:cs="宋体"/>
          <w:color w:val="auto"/>
          <w:sz w:val="21"/>
          <w:szCs w:val="18"/>
          <w:highlight w:val="none"/>
        </w:rPr>
        <w:t>性别：</w:t>
      </w:r>
      <w:r>
        <w:rPr>
          <w:rFonts w:hint="eastAsia" w:ascii="宋体" w:hAnsi="宋体" w:eastAsia="宋体" w:cs="宋体"/>
          <w:color w:val="auto"/>
          <w:sz w:val="21"/>
          <w:szCs w:val="18"/>
          <w:highlight w:val="none"/>
          <w:u w:val="single"/>
          <w:lang w:val="en-US" w:eastAsia="zh-CN"/>
        </w:rPr>
        <w:t xml:space="preserve">    </w:t>
      </w:r>
      <w:r>
        <w:rPr>
          <w:rFonts w:hint="eastAsia" w:ascii="宋体" w:hAnsi="宋体" w:eastAsia="宋体" w:cs="宋体"/>
          <w:color w:val="auto"/>
          <w:sz w:val="21"/>
          <w:szCs w:val="18"/>
          <w:highlight w:val="none"/>
        </w:rPr>
        <w:t>年龄</w:t>
      </w:r>
      <w:r>
        <w:rPr>
          <w:rFonts w:hint="eastAsia" w:ascii="宋体" w:hAnsi="宋体" w:eastAsia="宋体" w:cs="宋体"/>
          <w:color w:val="auto"/>
          <w:sz w:val="21"/>
          <w:szCs w:val="18"/>
          <w:highlight w:val="none"/>
          <w:lang w:eastAsia="zh-CN"/>
        </w:rPr>
        <w:t>：</w:t>
      </w:r>
      <w:r>
        <w:rPr>
          <w:rFonts w:hint="eastAsia" w:ascii="宋体" w:hAnsi="宋体" w:eastAsia="宋体" w:cs="宋体"/>
          <w:color w:val="auto"/>
          <w:sz w:val="21"/>
          <w:szCs w:val="18"/>
          <w:highlight w:val="none"/>
          <w:u w:val="single"/>
          <w:lang w:val="en-US" w:eastAsia="zh-CN"/>
        </w:rPr>
        <w:t xml:space="preserve">    </w:t>
      </w:r>
      <w:r>
        <w:rPr>
          <w:rFonts w:hint="eastAsia" w:ascii="宋体" w:hAnsi="宋体" w:eastAsia="宋体" w:cs="宋体"/>
          <w:color w:val="auto"/>
          <w:sz w:val="21"/>
          <w:szCs w:val="18"/>
          <w:highlight w:val="none"/>
        </w:rPr>
        <w:t>职务：</w:t>
      </w:r>
      <w:r>
        <w:rPr>
          <w:rFonts w:hint="eastAsia" w:ascii="宋体" w:hAnsi="宋体" w:eastAsia="宋体" w:cs="宋体"/>
          <w:color w:val="auto"/>
          <w:sz w:val="21"/>
          <w:szCs w:val="18"/>
          <w:highlight w:val="none"/>
          <w:u w:val="single"/>
          <w:lang w:val="en-US" w:eastAsia="zh-CN"/>
        </w:rPr>
        <w:t xml:space="preserve">            </w:t>
      </w:r>
      <w:r>
        <w:rPr>
          <w:rFonts w:hint="eastAsia" w:ascii="宋体" w:hAnsi="宋体" w:eastAsia="宋体" w:cs="宋体"/>
          <w:color w:val="auto"/>
          <w:sz w:val="21"/>
          <w:szCs w:val="18"/>
          <w:highlight w:val="none"/>
        </w:rPr>
        <w:t xml:space="preserve"> </w:t>
      </w:r>
    </w:p>
    <w:p w14:paraId="2A6CE4E8">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系</w:t>
      </w:r>
      <w:r>
        <w:rPr>
          <w:rFonts w:hint="eastAsia" w:ascii="宋体" w:hAnsi="宋体" w:eastAsia="宋体" w:cs="宋体"/>
          <w:color w:val="auto"/>
          <w:sz w:val="21"/>
          <w:szCs w:val="18"/>
          <w:highlight w:val="none"/>
          <w:u w:val="single"/>
          <w:lang w:val="en-US" w:eastAsia="zh-CN"/>
        </w:rPr>
        <w:t xml:space="preserve">                              </w:t>
      </w:r>
      <w:r>
        <w:rPr>
          <w:rFonts w:hint="eastAsia" w:ascii="宋体" w:hAnsi="宋体" w:eastAsia="宋体" w:cs="宋体"/>
          <w:color w:val="auto"/>
          <w:sz w:val="21"/>
          <w:szCs w:val="18"/>
          <w:highlight w:val="none"/>
        </w:rPr>
        <w:t>（投标人名称）的法定代表人。</w:t>
      </w:r>
    </w:p>
    <w:p w14:paraId="69DA670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特此证明。</w:t>
      </w:r>
    </w:p>
    <w:p w14:paraId="480EC05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18"/>
          <w:highlight w:val="none"/>
        </w:rPr>
      </w:pPr>
    </w:p>
    <w:p w14:paraId="6B40E14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18"/>
          <w:highlight w:val="none"/>
        </w:rPr>
      </w:pPr>
      <w:r>
        <w:rPr>
          <w:rFonts w:hint="eastAsia" w:ascii="宋体" w:hAnsi="宋体" w:eastAsia="宋体" w:cs="宋体"/>
          <w:color w:val="auto"/>
          <w:sz w:val="21"/>
          <w:szCs w:val="18"/>
          <w:highlight w:val="none"/>
        </w:rPr>
        <w:t>附：法定代表人身份证复印件。</w:t>
      </w:r>
    </w:p>
    <w:p w14:paraId="1BEB3343">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18"/>
          <w:highlight w:val="none"/>
        </w:rPr>
      </w:pPr>
    </w:p>
    <w:p w14:paraId="487EE015">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18"/>
          <w:highlight w:val="none"/>
        </w:rPr>
      </w:pPr>
    </w:p>
    <w:p w14:paraId="57FF0BE5">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18"/>
          <w:highlight w:val="none"/>
          <w:u w:val="single"/>
        </w:rPr>
      </w:pPr>
      <w:r>
        <w:rPr>
          <w:rFonts w:hint="eastAsia" w:ascii="宋体" w:hAnsi="宋体" w:eastAsia="宋体" w:cs="宋体"/>
          <w:color w:val="auto"/>
          <w:sz w:val="21"/>
          <w:szCs w:val="18"/>
          <w:highlight w:val="none"/>
        </w:rPr>
        <w:t xml:space="preserve"> 投标人：</w:t>
      </w:r>
      <w:r>
        <w:rPr>
          <w:rFonts w:hint="eastAsia" w:ascii="宋体" w:hAnsi="宋体" w:eastAsia="宋体" w:cs="宋体"/>
          <w:color w:val="auto"/>
          <w:sz w:val="21"/>
          <w:szCs w:val="18"/>
          <w:highlight w:val="none"/>
          <w:u w:val="single"/>
          <w:lang w:val="en-US" w:eastAsia="zh-CN"/>
        </w:rPr>
        <w:t xml:space="preserve">                </w:t>
      </w:r>
      <w:r>
        <w:rPr>
          <w:rFonts w:hint="eastAsia" w:ascii="宋体" w:hAnsi="宋体" w:eastAsia="宋体" w:cs="宋体"/>
          <w:color w:val="auto"/>
          <w:sz w:val="21"/>
          <w:szCs w:val="18"/>
          <w:highlight w:val="none"/>
        </w:rPr>
        <w:t>（盖单位章）</w:t>
      </w:r>
    </w:p>
    <w:p w14:paraId="4EC22714">
      <w:pPr>
        <w:keepNext w:val="0"/>
        <w:keepLines w:val="0"/>
        <w:pageBreakBefore w:val="0"/>
        <w:widowControl w:val="0"/>
        <w:kinsoku/>
        <w:wordWrap w:val="0"/>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color w:val="auto"/>
          <w:sz w:val="24"/>
          <w:highlight w:val="none"/>
        </w:rPr>
      </w:pPr>
      <w:r>
        <w:rPr>
          <w:rFonts w:hint="eastAsia" w:ascii="宋体" w:hAnsi="宋体" w:cs="宋体"/>
          <w:color w:val="auto"/>
          <w:sz w:val="21"/>
          <w:szCs w:val="18"/>
          <w:highlight w:val="none"/>
          <w:u w:val="none"/>
          <w:lang w:val="en-US" w:eastAsia="zh-CN"/>
        </w:rPr>
        <w:t xml:space="preserve">                                                     </w:t>
      </w:r>
      <w:r>
        <w:rPr>
          <w:rFonts w:hint="eastAsia" w:ascii="宋体" w:hAnsi="宋体" w:eastAsia="宋体" w:cs="宋体"/>
          <w:color w:val="auto"/>
          <w:sz w:val="21"/>
          <w:szCs w:val="18"/>
          <w:highlight w:val="none"/>
          <w:u w:val="single"/>
          <w:lang w:val="en-US" w:eastAsia="zh-CN"/>
        </w:rPr>
        <w:t xml:space="preserve">       </w:t>
      </w:r>
      <w:r>
        <w:rPr>
          <w:rFonts w:hint="eastAsia" w:ascii="宋体" w:hAnsi="宋体" w:eastAsia="宋体" w:cs="宋体"/>
          <w:color w:val="auto"/>
          <w:sz w:val="21"/>
          <w:szCs w:val="18"/>
          <w:highlight w:val="none"/>
        </w:rPr>
        <w:t>年</w:t>
      </w:r>
      <w:r>
        <w:rPr>
          <w:rFonts w:hint="eastAsia" w:ascii="宋体" w:hAnsi="宋体" w:eastAsia="宋体" w:cs="宋体"/>
          <w:color w:val="auto"/>
          <w:sz w:val="21"/>
          <w:szCs w:val="18"/>
          <w:highlight w:val="none"/>
          <w:u w:val="single"/>
          <w:lang w:val="en-US" w:eastAsia="zh-CN"/>
        </w:rPr>
        <w:t xml:space="preserve">    </w:t>
      </w:r>
      <w:r>
        <w:rPr>
          <w:rFonts w:hint="eastAsia" w:ascii="宋体" w:hAnsi="宋体" w:eastAsia="宋体" w:cs="宋体"/>
          <w:color w:val="auto"/>
          <w:sz w:val="21"/>
          <w:szCs w:val="18"/>
          <w:highlight w:val="none"/>
        </w:rPr>
        <w:t>月</w:t>
      </w:r>
      <w:r>
        <w:rPr>
          <w:rFonts w:hint="eastAsia" w:ascii="宋体" w:hAnsi="宋体" w:eastAsia="宋体" w:cs="宋体"/>
          <w:color w:val="auto"/>
          <w:sz w:val="21"/>
          <w:szCs w:val="18"/>
          <w:highlight w:val="none"/>
          <w:u w:val="single"/>
          <w:lang w:val="en-US" w:eastAsia="zh-CN"/>
        </w:rPr>
        <w:t xml:space="preserve">    </w:t>
      </w:r>
      <w:r>
        <w:rPr>
          <w:rFonts w:hint="eastAsia" w:ascii="宋体" w:hAnsi="宋体" w:eastAsia="宋体" w:cs="宋体"/>
          <w:color w:val="auto"/>
          <w:sz w:val="21"/>
          <w:szCs w:val="18"/>
          <w:highlight w:val="none"/>
        </w:rPr>
        <w:t>日</w:t>
      </w:r>
    </w:p>
    <w:p w14:paraId="4FB48D97">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49EA003E">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68403547">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auto"/>
          <w:sz w:val="24"/>
          <w:highlight w:val="none"/>
        </w:rPr>
      </w:pPr>
    </w:p>
    <w:p w14:paraId="31A6DC7D">
      <w:pPr>
        <w:keepNext w:val="0"/>
        <w:keepLines w:val="0"/>
        <w:pageBreakBefore w:val="0"/>
        <w:widowControl w:val="0"/>
        <w:kinsoku/>
        <w:wordWrap w:val="0"/>
        <w:overflowPunct/>
        <w:topLinePunct w:val="0"/>
        <w:autoSpaceDE/>
        <w:autoSpaceDN/>
        <w:bidi w:val="0"/>
        <w:snapToGrid/>
        <w:spacing w:line="360" w:lineRule="auto"/>
        <w:jc w:val="right"/>
        <w:rPr>
          <w:rFonts w:hint="eastAsia" w:ascii="宋体" w:hAnsi="宋体" w:eastAsia="宋体" w:cs="宋体"/>
          <w:color w:val="FF0000"/>
          <w:sz w:val="24"/>
          <w:highlight w:val="none"/>
        </w:rPr>
      </w:pPr>
    </w:p>
    <w:p w14:paraId="6CE45AD9">
      <w:pPr>
        <w:ind w:firstLine="420" w:firstLineChars="200"/>
        <w:rPr>
          <w:rFonts w:hint="eastAsia" w:ascii="宋体" w:hAnsi="宋体" w:eastAsia="宋体" w:cs="宋体"/>
          <w:color w:val="auto"/>
          <w:sz w:val="21"/>
          <w:szCs w:val="21"/>
          <w:highlight w:val="none"/>
        </w:rPr>
      </w:pPr>
    </w:p>
    <w:p w14:paraId="6D06FEC0">
      <w:pPr>
        <w:pStyle w:val="13"/>
        <w:rPr>
          <w:rFonts w:hint="eastAsia" w:ascii="宋体" w:hAnsi="宋体" w:eastAsia="宋体" w:cs="宋体"/>
          <w:color w:val="auto"/>
          <w:sz w:val="21"/>
          <w:szCs w:val="21"/>
          <w:highlight w:val="none"/>
        </w:rPr>
      </w:pPr>
    </w:p>
    <w:p w14:paraId="058660B4">
      <w:pPr>
        <w:rPr>
          <w:rFonts w:hint="eastAsia" w:ascii="宋体" w:hAnsi="宋体" w:eastAsia="宋体" w:cs="宋体"/>
          <w:color w:val="auto"/>
          <w:sz w:val="21"/>
          <w:szCs w:val="21"/>
          <w:highlight w:val="none"/>
        </w:rPr>
      </w:pPr>
    </w:p>
    <w:p w14:paraId="2AF7767B">
      <w:pPr>
        <w:pStyle w:val="13"/>
        <w:rPr>
          <w:rFonts w:hint="eastAsia" w:ascii="宋体" w:hAnsi="宋体" w:eastAsia="宋体" w:cs="宋体"/>
          <w:color w:val="auto"/>
          <w:sz w:val="21"/>
          <w:szCs w:val="21"/>
          <w:highlight w:val="none"/>
        </w:rPr>
      </w:pPr>
    </w:p>
    <w:p w14:paraId="10E0B24F">
      <w:pPr>
        <w:rPr>
          <w:rFonts w:hint="eastAsia" w:ascii="宋体" w:hAnsi="宋体" w:eastAsia="宋体" w:cs="宋体"/>
          <w:color w:val="auto"/>
          <w:sz w:val="21"/>
          <w:szCs w:val="21"/>
          <w:highlight w:val="none"/>
        </w:rPr>
      </w:pPr>
    </w:p>
    <w:p w14:paraId="14428756">
      <w:pPr>
        <w:pStyle w:val="13"/>
        <w:rPr>
          <w:rFonts w:hint="eastAsia" w:ascii="宋体" w:hAnsi="宋体" w:eastAsia="宋体" w:cs="宋体"/>
          <w:color w:val="auto"/>
          <w:sz w:val="21"/>
          <w:szCs w:val="21"/>
          <w:highlight w:val="none"/>
        </w:rPr>
      </w:pPr>
    </w:p>
    <w:p w14:paraId="7A1EA90E">
      <w:pPr>
        <w:rPr>
          <w:rFonts w:hint="eastAsia" w:ascii="宋体" w:hAnsi="宋体" w:eastAsia="宋体" w:cs="宋体"/>
          <w:color w:val="auto"/>
          <w:sz w:val="21"/>
          <w:szCs w:val="21"/>
          <w:highlight w:val="none"/>
        </w:rPr>
      </w:pPr>
    </w:p>
    <w:p w14:paraId="2607F512">
      <w:pPr>
        <w:pStyle w:val="13"/>
        <w:rPr>
          <w:rFonts w:hint="eastAsia" w:ascii="宋体" w:hAnsi="宋体" w:eastAsia="宋体" w:cs="宋体"/>
          <w:color w:val="auto"/>
          <w:sz w:val="21"/>
          <w:szCs w:val="21"/>
          <w:highlight w:val="none"/>
        </w:rPr>
      </w:pPr>
    </w:p>
    <w:p w14:paraId="0AEB26B3">
      <w:pPr>
        <w:rPr>
          <w:rFonts w:hint="eastAsia" w:ascii="宋体" w:hAnsi="宋体" w:eastAsia="宋体" w:cs="宋体"/>
          <w:color w:val="auto"/>
          <w:sz w:val="21"/>
          <w:szCs w:val="21"/>
          <w:highlight w:val="none"/>
        </w:rPr>
      </w:pPr>
    </w:p>
    <w:p w14:paraId="3E8D6BA3">
      <w:pPr>
        <w:pStyle w:val="13"/>
        <w:rPr>
          <w:rFonts w:hint="eastAsia" w:ascii="宋体" w:hAnsi="宋体" w:eastAsia="宋体" w:cs="宋体"/>
          <w:color w:val="auto"/>
          <w:sz w:val="21"/>
          <w:szCs w:val="21"/>
          <w:highlight w:val="none"/>
        </w:rPr>
      </w:pPr>
    </w:p>
    <w:p w14:paraId="28E3C298">
      <w:pPr>
        <w:rPr>
          <w:rFonts w:hint="eastAsia" w:ascii="宋体" w:hAnsi="宋体" w:eastAsia="宋体" w:cs="宋体"/>
          <w:color w:val="auto"/>
          <w:sz w:val="21"/>
          <w:szCs w:val="21"/>
          <w:highlight w:val="none"/>
        </w:rPr>
      </w:pPr>
    </w:p>
    <w:p w14:paraId="7DDD8B9B">
      <w:pPr>
        <w:pStyle w:val="13"/>
        <w:rPr>
          <w:rFonts w:hint="eastAsia" w:ascii="宋体" w:hAnsi="宋体" w:eastAsia="宋体" w:cs="宋体"/>
          <w:color w:val="auto"/>
          <w:sz w:val="21"/>
          <w:szCs w:val="21"/>
          <w:highlight w:val="none"/>
        </w:rPr>
      </w:pPr>
    </w:p>
    <w:p w14:paraId="4CC1D34E">
      <w:pPr>
        <w:rPr>
          <w:rFonts w:hint="eastAsia" w:ascii="宋体" w:hAnsi="宋体" w:eastAsia="宋体" w:cs="宋体"/>
          <w:color w:val="auto"/>
          <w:sz w:val="21"/>
          <w:szCs w:val="21"/>
          <w:highlight w:val="none"/>
        </w:rPr>
      </w:pPr>
    </w:p>
    <w:p w14:paraId="33936EE9">
      <w:pPr>
        <w:pStyle w:val="13"/>
        <w:rPr>
          <w:rFonts w:hint="eastAsia" w:ascii="宋体" w:hAnsi="宋体" w:eastAsia="宋体" w:cs="宋体"/>
          <w:color w:val="auto"/>
          <w:sz w:val="21"/>
          <w:szCs w:val="21"/>
          <w:highlight w:val="none"/>
        </w:rPr>
      </w:pPr>
    </w:p>
    <w:p w14:paraId="600B7933">
      <w:pPr>
        <w:rPr>
          <w:rFonts w:hint="eastAsia" w:ascii="宋体" w:hAnsi="宋体" w:eastAsia="宋体" w:cs="宋体"/>
          <w:color w:val="auto"/>
          <w:sz w:val="21"/>
          <w:szCs w:val="21"/>
          <w:highlight w:val="none"/>
        </w:rPr>
      </w:pPr>
    </w:p>
    <w:p w14:paraId="7FE5A01E">
      <w:pPr>
        <w:pStyle w:val="13"/>
        <w:rPr>
          <w:rFonts w:hint="eastAsia" w:ascii="宋体" w:hAnsi="宋体" w:eastAsia="宋体" w:cs="宋体"/>
          <w:color w:val="auto"/>
          <w:sz w:val="21"/>
          <w:szCs w:val="21"/>
          <w:highlight w:val="none"/>
        </w:rPr>
      </w:pPr>
    </w:p>
    <w:p w14:paraId="0112483F">
      <w:pPr>
        <w:rPr>
          <w:rFonts w:hint="eastAsia" w:ascii="宋体" w:hAnsi="宋体" w:eastAsia="宋体" w:cs="宋体"/>
          <w:color w:val="auto"/>
          <w:sz w:val="21"/>
          <w:szCs w:val="21"/>
          <w:highlight w:val="none"/>
        </w:rPr>
      </w:pPr>
    </w:p>
    <w:p w14:paraId="5E5CDBE8">
      <w:pPr>
        <w:rPr>
          <w:rFonts w:hint="eastAsia" w:ascii="宋体" w:hAnsi="宋体" w:eastAsia="宋体" w:cs="宋体"/>
          <w:color w:val="auto"/>
          <w:sz w:val="21"/>
          <w:szCs w:val="21"/>
          <w:highlight w:val="none"/>
        </w:rPr>
      </w:pPr>
    </w:p>
    <w:p w14:paraId="6BD67084">
      <w:pPr>
        <w:pStyle w:val="10"/>
        <w:rPr>
          <w:rFonts w:hint="eastAsia"/>
        </w:rPr>
      </w:pPr>
    </w:p>
    <w:p w14:paraId="03443215">
      <w:pPr>
        <w:pStyle w:val="25"/>
        <w:rPr>
          <w:rFonts w:hint="eastAsia"/>
        </w:rPr>
      </w:pPr>
    </w:p>
    <w:p w14:paraId="5B1A15F0">
      <w:pPr>
        <w:pStyle w:val="10"/>
        <w:rPr>
          <w:rFonts w:hint="eastAsia"/>
        </w:rPr>
      </w:pPr>
    </w:p>
    <w:p w14:paraId="392E42E2">
      <w:pPr>
        <w:keepNext w:val="0"/>
        <w:keepLines w:val="0"/>
        <w:pageBreakBefore w:val="0"/>
        <w:widowControl w:val="0"/>
        <w:kinsoku/>
        <w:wordWrap w:val="0"/>
        <w:overflowPunct/>
        <w:topLinePunct w:val="0"/>
        <w:autoSpaceDE/>
        <w:autoSpaceDN/>
        <w:bidi w:val="0"/>
        <w:snapToGrid/>
        <w:jc w:val="center"/>
        <w:outlineLvl w:val="9"/>
        <w:rPr>
          <w:rFonts w:hint="eastAsia" w:ascii="宋体" w:hAnsi="宋体" w:eastAsia="宋体" w:cs="宋体"/>
          <w:b/>
          <w:bCs/>
          <w:color w:val="auto"/>
          <w:sz w:val="30"/>
          <w:szCs w:val="30"/>
          <w:highlight w:val="none"/>
        </w:rPr>
      </w:pPr>
      <w:bookmarkStart w:id="598" w:name="_Toc10905"/>
      <w:r>
        <w:rPr>
          <w:rFonts w:hint="eastAsia" w:ascii="宋体" w:hAnsi="宋体" w:eastAsia="宋体" w:cs="宋体"/>
          <w:b/>
          <w:bCs/>
          <w:color w:val="auto"/>
          <w:sz w:val="30"/>
          <w:szCs w:val="30"/>
          <w:highlight w:val="none"/>
          <w:lang w:eastAsia="zh-CN"/>
        </w:rPr>
        <w:t>三</w:t>
      </w:r>
      <w:r>
        <w:rPr>
          <w:rFonts w:hint="eastAsia" w:ascii="宋体" w:hAnsi="宋体" w:eastAsia="宋体" w:cs="宋体"/>
          <w:b/>
          <w:bCs/>
          <w:color w:val="auto"/>
          <w:sz w:val="30"/>
          <w:szCs w:val="30"/>
          <w:highlight w:val="none"/>
        </w:rPr>
        <w:t>、投标保证金</w:t>
      </w:r>
      <w:bookmarkEnd w:id="598"/>
    </w:p>
    <w:p w14:paraId="3E5B56D1">
      <w:pPr>
        <w:keepNext w:val="0"/>
        <w:keepLines w:val="0"/>
        <w:pageBreakBefore w:val="0"/>
        <w:widowControl w:val="0"/>
        <w:kinsoku/>
        <w:wordWrap w:val="0"/>
        <w:overflowPunct/>
        <w:topLinePunct w:val="0"/>
        <w:autoSpaceDE/>
        <w:autoSpaceDN/>
        <w:bidi w:val="0"/>
        <w:snapToGrid/>
        <w:jc w:val="center"/>
        <w:rPr>
          <w:rFonts w:hint="eastAsia" w:ascii="宋体" w:hAnsi="宋体" w:eastAsia="宋体" w:cs="宋体"/>
          <w:color w:val="auto"/>
          <w:sz w:val="28"/>
          <w:szCs w:val="28"/>
          <w:highlight w:val="none"/>
        </w:rPr>
      </w:pPr>
    </w:p>
    <w:p w14:paraId="6606AE07">
      <w:pPr>
        <w:autoSpaceDE w:val="0"/>
        <w:autoSpaceDN w:val="0"/>
        <w:adjustRightInd w:val="0"/>
        <w:spacing w:line="400" w:lineRule="exact"/>
        <w:ind w:right="-34" w:rightChars="-16"/>
        <w:jc w:val="left"/>
        <w:rPr>
          <w:rFonts w:ascii="宋体" w:hAnsi="宋体" w:cs="宋体"/>
          <w:color w:val="auto"/>
          <w:kern w:val="0"/>
        </w:rPr>
      </w:pPr>
      <w:r>
        <w:rPr>
          <w:rFonts w:hint="eastAsia" w:ascii="宋体" w:hAnsi="宋体" w:cs="宋体"/>
          <w:color w:val="auto"/>
          <w:kern w:val="0"/>
          <w:u w:val="single"/>
        </w:rPr>
        <w:t xml:space="preserve">                 </w:t>
      </w:r>
      <w:r>
        <w:rPr>
          <w:rFonts w:hint="eastAsia" w:ascii="宋体" w:hAnsi="宋体" w:cs="宋体"/>
          <w:color w:val="auto"/>
          <w:kern w:val="0"/>
        </w:rPr>
        <w:t>（招标人名称）：</w:t>
      </w:r>
    </w:p>
    <w:p w14:paraId="56FCE289">
      <w:pPr>
        <w:autoSpaceDE w:val="0"/>
        <w:autoSpaceDN w:val="0"/>
        <w:adjustRightInd w:val="0"/>
        <w:spacing w:line="400" w:lineRule="exact"/>
        <w:ind w:right="-34" w:rightChars="-16"/>
        <w:jc w:val="left"/>
        <w:rPr>
          <w:rFonts w:ascii="宋体" w:hAnsi="宋体" w:cs="宋体"/>
          <w:color w:val="auto"/>
          <w:kern w:val="0"/>
        </w:rPr>
      </w:pPr>
    </w:p>
    <w:p w14:paraId="32A6AC05">
      <w:pPr>
        <w:autoSpaceDE w:val="0"/>
        <w:autoSpaceDN w:val="0"/>
        <w:adjustRightInd w:val="0"/>
        <w:spacing w:line="400" w:lineRule="exact"/>
        <w:ind w:right="-34" w:rightChars="-16" w:firstLine="420" w:firstLineChars="200"/>
        <w:jc w:val="left"/>
        <w:rPr>
          <w:rFonts w:ascii="宋体" w:hAnsi="宋体" w:cs="宋体"/>
          <w:color w:val="auto"/>
          <w:kern w:val="0"/>
        </w:rPr>
      </w:pPr>
      <w:r>
        <w:rPr>
          <w:rFonts w:hint="eastAsia" w:ascii="宋体" w:hAnsi="宋体" w:cs="宋体"/>
          <w:color w:val="auto"/>
          <w:kern w:val="0"/>
        </w:rPr>
        <w:t>我方已按招标文件的规定，递交了投标保证金。我公司在规定的投标文件有效期内撤销或修改投标文件，或者在收到中标通知书后无正当理由拒签合同，贵方可以不予退还我方保证金，我方对此无异议。</w:t>
      </w:r>
    </w:p>
    <w:p w14:paraId="73302DAD">
      <w:pPr>
        <w:autoSpaceDE w:val="0"/>
        <w:autoSpaceDN w:val="0"/>
        <w:adjustRightInd w:val="0"/>
        <w:spacing w:line="400" w:lineRule="exact"/>
        <w:ind w:right="-34" w:rightChars="-16"/>
        <w:jc w:val="left"/>
        <w:rPr>
          <w:rFonts w:ascii="宋体" w:hAnsi="宋体" w:cs="宋体"/>
          <w:color w:val="auto"/>
          <w:kern w:val="0"/>
        </w:rPr>
      </w:pPr>
    </w:p>
    <w:p w14:paraId="08E7DB81">
      <w:pPr>
        <w:autoSpaceDE w:val="0"/>
        <w:autoSpaceDN w:val="0"/>
        <w:adjustRightInd w:val="0"/>
        <w:spacing w:line="400" w:lineRule="exact"/>
        <w:ind w:right="-34" w:rightChars="-16"/>
        <w:jc w:val="left"/>
        <w:rPr>
          <w:rFonts w:ascii="宋体" w:hAnsi="宋体" w:cs="宋体"/>
          <w:color w:val="auto"/>
          <w:kern w:val="0"/>
        </w:rPr>
      </w:pPr>
    </w:p>
    <w:p w14:paraId="70336936">
      <w:pPr>
        <w:autoSpaceDE w:val="0"/>
        <w:autoSpaceDN w:val="0"/>
        <w:adjustRightInd w:val="0"/>
        <w:spacing w:line="400" w:lineRule="exact"/>
        <w:ind w:right="-34" w:rightChars="-16"/>
        <w:jc w:val="left"/>
        <w:rPr>
          <w:rFonts w:ascii="宋体" w:hAnsi="宋体" w:cs="宋体"/>
          <w:color w:val="auto"/>
          <w:kern w:val="0"/>
        </w:rPr>
      </w:pPr>
    </w:p>
    <w:p w14:paraId="48300038">
      <w:pPr>
        <w:autoSpaceDE w:val="0"/>
        <w:autoSpaceDN w:val="0"/>
        <w:adjustRightInd w:val="0"/>
        <w:spacing w:line="400" w:lineRule="exact"/>
        <w:ind w:right="-34" w:rightChars="-16"/>
        <w:jc w:val="right"/>
        <w:rPr>
          <w:rFonts w:ascii="宋体" w:hAnsi="宋体" w:cs="宋体"/>
          <w:color w:val="auto"/>
          <w:kern w:val="0"/>
        </w:rPr>
      </w:pPr>
      <w:r>
        <w:rPr>
          <w:rFonts w:hint="eastAsia" w:ascii="宋体" w:hAnsi="宋体" w:cs="宋体"/>
          <w:color w:val="auto"/>
          <w:kern w:val="0"/>
        </w:rPr>
        <w:t>投标人名称：</w:t>
      </w:r>
      <w:r>
        <w:rPr>
          <w:rFonts w:hint="eastAsia" w:ascii="宋体" w:hAnsi="宋体" w:cs="宋体"/>
          <w:color w:val="auto"/>
          <w:kern w:val="0"/>
          <w:u w:val="single"/>
        </w:rPr>
        <w:t xml:space="preserve">                                </w:t>
      </w:r>
      <w:r>
        <w:rPr>
          <w:rFonts w:hint="eastAsia" w:ascii="宋体" w:hAnsi="宋体" w:cs="宋体"/>
          <w:color w:val="auto"/>
          <w:kern w:val="0"/>
        </w:rPr>
        <w:t xml:space="preserve"> （盖单位章）</w:t>
      </w:r>
    </w:p>
    <w:p w14:paraId="5B39F7DA">
      <w:pPr>
        <w:autoSpaceDE w:val="0"/>
        <w:autoSpaceDN w:val="0"/>
        <w:adjustRightInd w:val="0"/>
        <w:spacing w:line="400" w:lineRule="exact"/>
        <w:ind w:right="-34" w:rightChars="-16"/>
        <w:jc w:val="right"/>
        <w:rPr>
          <w:rFonts w:ascii="宋体" w:hAnsi="宋体" w:cs="宋体"/>
          <w:color w:val="auto"/>
          <w:kern w:val="0"/>
        </w:rPr>
      </w:pPr>
      <w:r>
        <w:rPr>
          <w:rFonts w:hint="eastAsia" w:ascii="宋体" w:hAnsi="宋体" w:cs="宋体"/>
          <w:color w:val="auto"/>
          <w:kern w:val="0"/>
        </w:rPr>
        <w:t>法定代表人或其委托代理人：</w:t>
      </w:r>
      <w:r>
        <w:rPr>
          <w:rFonts w:hint="eastAsia" w:ascii="宋体" w:hAnsi="宋体" w:cs="宋体"/>
          <w:color w:val="auto"/>
          <w:kern w:val="0"/>
          <w:u w:val="single"/>
        </w:rPr>
        <w:t xml:space="preserve">                      </w:t>
      </w:r>
      <w:r>
        <w:rPr>
          <w:rFonts w:hint="eastAsia" w:ascii="宋体" w:hAnsi="宋体" w:cs="宋体"/>
          <w:color w:val="auto"/>
          <w:kern w:val="0"/>
        </w:rPr>
        <w:t xml:space="preserve"> （签字）</w:t>
      </w:r>
    </w:p>
    <w:p w14:paraId="1E49CDA4">
      <w:pPr>
        <w:autoSpaceDE w:val="0"/>
        <w:autoSpaceDN w:val="0"/>
        <w:adjustRightInd w:val="0"/>
        <w:spacing w:line="400" w:lineRule="exact"/>
        <w:ind w:right="-34" w:rightChars="-16" w:firstLine="5124" w:firstLineChars="2440"/>
        <w:jc w:val="left"/>
        <w:rPr>
          <w:rFonts w:ascii="宋体" w:hAnsi="宋体" w:cs="宋体"/>
          <w:color w:val="auto"/>
          <w:kern w:val="0"/>
        </w:rPr>
      </w:pPr>
      <w:r>
        <w:rPr>
          <w:rFonts w:hint="eastAsia" w:ascii="宋体" w:hAnsi="宋体" w:cs="宋体"/>
          <w:color w:val="auto"/>
          <w:kern w:val="0"/>
          <w:u w:val="single"/>
        </w:rPr>
        <w:t xml:space="preserve">       </w:t>
      </w:r>
      <w:r>
        <w:rPr>
          <w:rFonts w:hint="eastAsia" w:ascii="宋体" w:hAnsi="宋体" w:cs="宋体"/>
          <w:color w:val="auto"/>
          <w:kern w:val="0"/>
        </w:rPr>
        <w:t>年</w:t>
      </w:r>
      <w:r>
        <w:rPr>
          <w:rFonts w:hint="eastAsia" w:ascii="宋体" w:hAnsi="宋体" w:cs="宋体"/>
          <w:color w:val="auto"/>
          <w:kern w:val="0"/>
          <w:u w:val="single"/>
        </w:rPr>
        <w:t xml:space="preserve">       </w:t>
      </w:r>
      <w:r>
        <w:rPr>
          <w:rFonts w:hint="eastAsia" w:ascii="宋体" w:hAnsi="宋体" w:cs="宋体"/>
          <w:color w:val="auto"/>
          <w:kern w:val="0"/>
        </w:rPr>
        <w:t xml:space="preserve"> 月</w:t>
      </w:r>
      <w:r>
        <w:rPr>
          <w:rFonts w:hint="eastAsia" w:ascii="宋体" w:hAnsi="宋体" w:cs="宋体"/>
          <w:color w:val="auto"/>
          <w:kern w:val="0"/>
          <w:u w:val="single"/>
        </w:rPr>
        <w:t xml:space="preserve">       </w:t>
      </w:r>
      <w:r>
        <w:rPr>
          <w:rFonts w:hint="eastAsia" w:ascii="宋体" w:hAnsi="宋体" w:cs="宋体"/>
          <w:color w:val="auto"/>
          <w:kern w:val="0"/>
        </w:rPr>
        <w:t xml:space="preserve"> 日</w:t>
      </w:r>
    </w:p>
    <w:p w14:paraId="6F3FC762">
      <w:pPr>
        <w:autoSpaceDE w:val="0"/>
        <w:autoSpaceDN w:val="0"/>
        <w:adjustRightInd w:val="0"/>
        <w:spacing w:line="400" w:lineRule="exact"/>
        <w:ind w:right="-34" w:rightChars="-16"/>
        <w:jc w:val="left"/>
        <w:rPr>
          <w:rFonts w:ascii="宋体" w:hAnsi="宋体" w:cs="宋体"/>
          <w:color w:val="auto"/>
          <w:kern w:val="0"/>
          <w:sz w:val="18"/>
        </w:rPr>
      </w:pPr>
      <w:r>
        <w:rPr>
          <w:rFonts w:hint="eastAsia" w:ascii="宋体" w:hAnsi="宋体" w:cs="宋体"/>
          <w:color w:val="auto"/>
          <w:kern w:val="0"/>
          <w:sz w:val="18"/>
        </w:rPr>
        <mc:AlternateContent>
          <mc:Choice Requires="wps">
            <w:drawing>
              <wp:anchor distT="0" distB="0" distL="114300" distR="114300" simplePos="0" relativeHeight="251660288" behindDoc="0" locked="0" layoutInCell="1" allowOverlap="1">
                <wp:simplePos x="0" y="0"/>
                <wp:positionH relativeFrom="column">
                  <wp:posOffset>-226695</wp:posOffset>
                </wp:positionH>
                <wp:positionV relativeFrom="paragraph">
                  <wp:posOffset>183515</wp:posOffset>
                </wp:positionV>
                <wp:extent cx="6400800" cy="635"/>
                <wp:effectExtent l="0" t="15875" r="0" b="21590"/>
                <wp:wrapNone/>
                <wp:docPr id="1" name="直接连接符 1"/>
                <wp:cNvGraphicFramePr/>
                <a:graphic xmlns:a="http://schemas.openxmlformats.org/drawingml/2006/main">
                  <a:graphicData uri="http://schemas.microsoft.com/office/word/2010/wordprocessingShape">
                    <wps:wsp>
                      <wps:cNvCnPr/>
                      <wps:spPr>
                        <a:xfrm>
                          <a:off x="0" y="0"/>
                          <a:ext cx="6400800" cy="635"/>
                        </a:xfrm>
                        <a:prstGeom prst="line">
                          <a:avLst/>
                        </a:prstGeom>
                        <a:ln w="3175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17.85pt;margin-top:14.45pt;height:0.05pt;width:504pt;z-index:251660288;mso-width-relative:page;mso-height-relative:page;" filled="f" stroked="t" coordsize="21600,21600" o:gfxdata="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5rLP6dYAAAAJAQAADwAAAAAAAAABACAAAAAiAAAAZHJzL2Rvd25yZXYueG1sUEsBAhQA&#10;FAAAAAgAh07iQETVpLD0AQAA6gMAAA4AAAAAAAAAAQAgAAAAJQEAAGRycy9lMm9Eb2MueG1sUEsF&#10;BgAAAAAGAAYAWQEAAIsFAAAAAA==&#10;">
                <v:fill on="f" focussize="0,0"/>
                <v:stroke weight="2.5pt" color="#000000" joinstyle="round" dashstyle="1 1"/>
                <v:imagedata o:title=""/>
                <o:lock v:ext="edit" aspectratio="f"/>
              </v:line>
            </w:pict>
          </mc:Fallback>
        </mc:AlternateContent>
      </w:r>
    </w:p>
    <w:p w14:paraId="55BFEDEB">
      <w:pPr>
        <w:pStyle w:val="7"/>
        <w:overflowPunct w:val="0"/>
        <w:spacing w:line="400" w:lineRule="exact"/>
        <w:ind w:right="-34" w:rightChars="-16" w:firstLine="0"/>
        <w:jc w:val="center"/>
        <w:rPr>
          <w:rFonts w:ascii="宋体" w:hAnsi="宋体" w:eastAsia="宋体" w:cs="宋体"/>
          <w:b/>
          <w:color w:val="auto"/>
          <w:sz w:val="21"/>
        </w:rPr>
      </w:pPr>
      <w:r>
        <w:rPr>
          <w:rFonts w:hint="eastAsia" w:ascii="宋体" w:hAnsi="宋体" w:eastAsia="宋体" w:cs="宋体"/>
          <w:b/>
          <w:color w:val="auto"/>
          <w:sz w:val="21"/>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2" name="矩形 2"/>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43F452A2">
                            <w:pPr>
                              <w:jc w:val="center"/>
                            </w:pPr>
                          </w:p>
                          <w:p w14:paraId="2A8B93B1">
                            <w:pPr>
                              <w:jc w:val="center"/>
                            </w:pPr>
                          </w:p>
                          <w:p w14:paraId="244080C8">
                            <w:pPr>
                              <w:jc w:val="center"/>
                            </w:pPr>
                          </w:p>
                          <w:p w14:paraId="658A910C">
                            <w:pPr>
                              <w:jc w:val="center"/>
                            </w:pPr>
                          </w:p>
                          <w:p w14:paraId="5CEBD260">
                            <w:pPr>
                              <w:jc w:val="center"/>
                            </w:pPr>
                          </w:p>
                          <w:p w14:paraId="2A8E888C">
                            <w:pPr>
                              <w:jc w:val="center"/>
                            </w:pPr>
                          </w:p>
                          <w:p w14:paraId="6467EE17">
                            <w:pPr>
                              <w:jc w:val="center"/>
                            </w:pPr>
                          </w:p>
                          <w:p w14:paraId="2367BA3E">
                            <w:pPr>
                              <w:jc w:val="center"/>
                              <w:rPr>
                                <w:b/>
                                <w:sz w:val="48"/>
                              </w:rPr>
                            </w:pPr>
                            <w:r>
                              <w:rPr>
                                <w:rFonts w:hint="eastAsia"/>
                                <w:b/>
                                <w:sz w:val="48"/>
                              </w:rPr>
                              <w:t>投标保证金有效证明资料</w:t>
                            </w:r>
                          </w:p>
                          <w:p w14:paraId="4924A4CA">
                            <w:pPr>
                              <w:jc w:val="center"/>
                              <w:rPr>
                                <w:bCs/>
                                <w:sz w:val="36"/>
                                <w:szCs w:val="15"/>
                              </w:rPr>
                            </w:pPr>
                            <w:r>
                              <w:rPr>
                                <w:rFonts w:hint="eastAsia"/>
                                <w:bCs/>
                                <w:sz w:val="36"/>
                                <w:szCs w:val="15"/>
                              </w:rPr>
                              <w:t>（ 交易系统生成的《投标保证金交纳回执单》）</w:t>
                            </w:r>
                          </w:p>
                          <w:p w14:paraId="1AAE75DB">
                            <w:pPr>
                              <w:jc w:val="center"/>
                              <w:rPr>
                                <w:bCs/>
                                <w:sz w:val="28"/>
                                <w:szCs w:val="28"/>
                              </w:rPr>
                            </w:pPr>
                            <w:r>
                              <w:rPr>
                                <w:rFonts w:hint="eastAsia"/>
                                <w:bCs/>
                                <w:sz w:val="28"/>
                                <w:szCs w:val="28"/>
                              </w:rPr>
                              <w:t>注：采用电子保函形式缴纳的需将保函附到此处</w:t>
                            </w:r>
                          </w:p>
                        </w:txbxContent>
                      </wps:txbx>
                      <wps:bodyPr wrap="square" upright="1"/>
                    </wps:wsp>
                  </a:graphicData>
                </a:graphic>
              </wp:anchor>
            </w:drawing>
          </mc:Choice>
          <mc:Fallback>
            <w:pict>
              <v:rect id="_x0000_s1026" o:spid="_x0000_s1026" o:spt="1" style="position:absolute;left:0pt;margin-left:0.65pt;margin-top:3.9pt;height:249.6pt;width:432pt;z-index:251661312;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5+qc+9cAAAAHAQAADwAA&#10;AAAAAAABACAAAAAiAAAAZHJzL2Rvd25yZXYueG1sUEsBAhQAFAAAAAgAh07iQDheDCgXAgAASQQA&#10;AA4AAAAAAAAAAQAgAAAAJgEAAGRycy9lMm9Eb2MueG1sUEsFBgAAAAAGAAYAWQEAAK8FAAAAAA==&#10;">
                <v:fill on="t" focussize="0,0"/>
                <v:stroke weight="1.5pt" color="#000000" joinstyle="miter" dashstyle="dashDot"/>
                <v:imagedata o:title=""/>
                <o:lock v:ext="edit" aspectratio="f"/>
                <v:textbox>
                  <w:txbxContent>
                    <w:p w14:paraId="43F452A2">
                      <w:pPr>
                        <w:jc w:val="center"/>
                      </w:pPr>
                    </w:p>
                    <w:p w14:paraId="2A8B93B1">
                      <w:pPr>
                        <w:jc w:val="center"/>
                      </w:pPr>
                    </w:p>
                    <w:p w14:paraId="244080C8">
                      <w:pPr>
                        <w:jc w:val="center"/>
                      </w:pPr>
                    </w:p>
                    <w:p w14:paraId="658A910C">
                      <w:pPr>
                        <w:jc w:val="center"/>
                      </w:pPr>
                    </w:p>
                    <w:p w14:paraId="5CEBD260">
                      <w:pPr>
                        <w:jc w:val="center"/>
                      </w:pPr>
                    </w:p>
                    <w:p w14:paraId="2A8E888C">
                      <w:pPr>
                        <w:jc w:val="center"/>
                      </w:pPr>
                    </w:p>
                    <w:p w14:paraId="6467EE17">
                      <w:pPr>
                        <w:jc w:val="center"/>
                      </w:pPr>
                    </w:p>
                    <w:p w14:paraId="2367BA3E">
                      <w:pPr>
                        <w:jc w:val="center"/>
                        <w:rPr>
                          <w:b/>
                          <w:sz w:val="48"/>
                        </w:rPr>
                      </w:pPr>
                      <w:r>
                        <w:rPr>
                          <w:rFonts w:hint="eastAsia"/>
                          <w:b/>
                          <w:sz w:val="48"/>
                        </w:rPr>
                        <w:t>投标保证金有效证明资料</w:t>
                      </w:r>
                    </w:p>
                    <w:p w14:paraId="4924A4CA">
                      <w:pPr>
                        <w:jc w:val="center"/>
                        <w:rPr>
                          <w:bCs/>
                          <w:sz w:val="36"/>
                          <w:szCs w:val="15"/>
                        </w:rPr>
                      </w:pPr>
                      <w:r>
                        <w:rPr>
                          <w:rFonts w:hint="eastAsia"/>
                          <w:bCs/>
                          <w:sz w:val="36"/>
                          <w:szCs w:val="15"/>
                        </w:rPr>
                        <w:t>（ 交易系统生成的《投标保证金交纳回执单》）</w:t>
                      </w:r>
                    </w:p>
                    <w:p w14:paraId="1AAE75DB">
                      <w:pPr>
                        <w:jc w:val="center"/>
                        <w:rPr>
                          <w:bCs/>
                          <w:sz w:val="28"/>
                          <w:szCs w:val="28"/>
                        </w:rPr>
                      </w:pPr>
                      <w:r>
                        <w:rPr>
                          <w:rFonts w:hint="eastAsia"/>
                          <w:bCs/>
                          <w:sz w:val="28"/>
                          <w:szCs w:val="28"/>
                        </w:rPr>
                        <w:t>注：采用电子保函形式缴纳的需将保函附到此处</w:t>
                      </w:r>
                    </w:p>
                  </w:txbxContent>
                </v:textbox>
              </v:rect>
            </w:pict>
          </mc:Fallback>
        </mc:AlternateContent>
      </w:r>
    </w:p>
    <w:p w14:paraId="7D892B96">
      <w:pPr>
        <w:pStyle w:val="7"/>
        <w:overflowPunct w:val="0"/>
        <w:spacing w:line="400" w:lineRule="exact"/>
        <w:ind w:right="-34" w:rightChars="-16" w:firstLine="0"/>
        <w:rPr>
          <w:rFonts w:ascii="宋体" w:hAnsi="宋体" w:eastAsia="宋体" w:cs="宋体"/>
          <w:b/>
          <w:color w:val="auto"/>
          <w:sz w:val="21"/>
        </w:rPr>
      </w:pPr>
    </w:p>
    <w:p w14:paraId="774EBBA4">
      <w:pPr>
        <w:pStyle w:val="7"/>
        <w:overflowPunct w:val="0"/>
        <w:spacing w:line="400" w:lineRule="exact"/>
        <w:ind w:right="-34" w:rightChars="-16" w:firstLine="0"/>
        <w:rPr>
          <w:rFonts w:ascii="宋体" w:hAnsi="宋体" w:eastAsia="宋体" w:cs="宋体"/>
          <w:b/>
          <w:color w:val="auto"/>
          <w:sz w:val="21"/>
        </w:rPr>
      </w:pPr>
    </w:p>
    <w:p w14:paraId="2680479A">
      <w:pPr>
        <w:pStyle w:val="7"/>
        <w:overflowPunct w:val="0"/>
        <w:spacing w:line="400" w:lineRule="exact"/>
        <w:ind w:right="-34" w:rightChars="-16" w:firstLine="0"/>
        <w:rPr>
          <w:rFonts w:ascii="宋体" w:hAnsi="宋体" w:eastAsia="宋体" w:cs="宋体"/>
          <w:b/>
          <w:color w:val="auto"/>
          <w:sz w:val="21"/>
        </w:rPr>
      </w:pPr>
    </w:p>
    <w:p w14:paraId="78411037">
      <w:pPr>
        <w:pStyle w:val="7"/>
        <w:overflowPunct w:val="0"/>
        <w:spacing w:line="400" w:lineRule="exact"/>
        <w:ind w:right="-34" w:rightChars="-16" w:firstLine="0"/>
        <w:rPr>
          <w:rFonts w:ascii="宋体" w:hAnsi="宋体" w:eastAsia="宋体" w:cs="宋体"/>
          <w:b/>
          <w:color w:val="auto"/>
          <w:sz w:val="21"/>
        </w:rPr>
      </w:pPr>
    </w:p>
    <w:p w14:paraId="650E2FFB">
      <w:pPr>
        <w:pStyle w:val="7"/>
        <w:overflowPunct w:val="0"/>
        <w:spacing w:line="400" w:lineRule="exact"/>
        <w:ind w:right="-34" w:rightChars="-16" w:firstLine="0"/>
        <w:rPr>
          <w:rFonts w:ascii="宋体" w:hAnsi="宋体" w:eastAsia="宋体" w:cs="宋体"/>
          <w:b/>
          <w:color w:val="auto"/>
          <w:sz w:val="21"/>
        </w:rPr>
      </w:pPr>
    </w:p>
    <w:p w14:paraId="60C13918">
      <w:pPr>
        <w:pStyle w:val="7"/>
        <w:overflowPunct w:val="0"/>
        <w:spacing w:line="400" w:lineRule="exact"/>
        <w:ind w:right="-34" w:rightChars="-16" w:firstLine="0"/>
        <w:rPr>
          <w:rFonts w:ascii="宋体" w:hAnsi="宋体" w:eastAsia="宋体" w:cs="宋体"/>
          <w:b/>
          <w:color w:val="auto"/>
          <w:sz w:val="21"/>
        </w:rPr>
      </w:pPr>
    </w:p>
    <w:p w14:paraId="7F6285D9">
      <w:pPr>
        <w:pStyle w:val="7"/>
        <w:overflowPunct w:val="0"/>
        <w:spacing w:line="400" w:lineRule="exact"/>
        <w:ind w:right="-34" w:rightChars="-16" w:firstLine="0"/>
        <w:rPr>
          <w:rFonts w:ascii="宋体" w:hAnsi="宋体" w:eastAsia="宋体" w:cs="宋体"/>
          <w:b/>
          <w:color w:val="auto"/>
          <w:sz w:val="21"/>
        </w:rPr>
      </w:pPr>
    </w:p>
    <w:p w14:paraId="756A4801">
      <w:pPr>
        <w:pStyle w:val="7"/>
        <w:overflowPunct w:val="0"/>
        <w:spacing w:line="400" w:lineRule="exact"/>
        <w:ind w:right="-34" w:rightChars="-16" w:firstLine="0"/>
        <w:rPr>
          <w:rFonts w:ascii="宋体" w:hAnsi="宋体" w:eastAsia="宋体" w:cs="宋体"/>
          <w:b/>
          <w:color w:val="auto"/>
          <w:sz w:val="21"/>
        </w:rPr>
      </w:pPr>
    </w:p>
    <w:p w14:paraId="486525FA">
      <w:pPr>
        <w:pStyle w:val="7"/>
        <w:overflowPunct w:val="0"/>
        <w:spacing w:line="400" w:lineRule="exact"/>
        <w:ind w:right="-34" w:rightChars="-16" w:firstLine="0"/>
        <w:rPr>
          <w:rFonts w:ascii="宋体" w:hAnsi="宋体" w:eastAsia="宋体" w:cs="宋体"/>
          <w:b/>
          <w:color w:val="auto"/>
          <w:sz w:val="21"/>
        </w:rPr>
      </w:pPr>
    </w:p>
    <w:p w14:paraId="42C53822">
      <w:pPr>
        <w:pStyle w:val="10"/>
        <w:rPr>
          <w:rFonts w:hint="eastAsia" w:ascii="宋体" w:eastAsia="宋体" w:cs="宋体"/>
          <w:color w:val="auto"/>
          <w:highlight w:val="none"/>
        </w:rPr>
      </w:pPr>
    </w:p>
    <w:p w14:paraId="16DA3D16">
      <w:pPr>
        <w:pStyle w:val="25"/>
        <w:rPr>
          <w:rFonts w:hint="eastAsia" w:ascii="宋体" w:hAnsi="宋体" w:eastAsia="宋体" w:cs="宋体"/>
          <w:color w:val="auto"/>
          <w:highlight w:val="none"/>
        </w:rPr>
      </w:pPr>
    </w:p>
    <w:p w14:paraId="3903ED41">
      <w:pPr>
        <w:pStyle w:val="10"/>
        <w:rPr>
          <w:rFonts w:hint="eastAsia" w:ascii="宋体" w:hAnsi="宋体" w:eastAsia="宋体" w:cs="宋体"/>
          <w:color w:val="auto"/>
          <w:highlight w:val="none"/>
        </w:rPr>
      </w:pPr>
    </w:p>
    <w:p w14:paraId="5D8D9B9E">
      <w:pPr>
        <w:pStyle w:val="13"/>
        <w:rPr>
          <w:rFonts w:hint="default"/>
          <w:color w:val="auto"/>
          <w:highlight w:val="none"/>
          <w:lang w:val="en-US"/>
        </w:rPr>
      </w:pPr>
    </w:p>
    <w:p w14:paraId="45BF240B">
      <w:pPr>
        <w:rPr>
          <w:rFonts w:hint="default"/>
          <w:color w:val="auto"/>
          <w:highlight w:val="none"/>
          <w:lang w:val="en-US"/>
        </w:rPr>
      </w:pPr>
    </w:p>
    <w:p w14:paraId="4DC8DCA5">
      <w:pPr>
        <w:pStyle w:val="13"/>
        <w:rPr>
          <w:rFonts w:hint="default"/>
          <w:color w:val="auto"/>
          <w:highlight w:val="none"/>
          <w:lang w:val="en-US"/>
        </w:rPr>
      </w:pPr>
    </w:p>
    <w:p w14:paraId="60429621">
      <w:pPr>
        <w:rPr>
          <w:rFonts w:hint="default"/>
          <w:color w:val="auto"/>
          <w:highlight w:val="none"/>
          <w:lang w:val="en-US"/>
        </w:rPr>
      </w:pPr>
    </w:p>
    <w:p w14:paraId="0DA77EDD">
      <w:pPr>
        <w:pStyle w:val="13"/>
        <w:rPr>
          <w:rFonts w:hint="default"/>
          <w:color w:val="auto"/>
          <w:highlight w:val="none"/>
          <w:lang w:val="en-US"/>
        </w:rPr>
      </w:pPr>
    </w:p>
    <w:p w14:paraId="115BFD3D">
      <w:pPr>
        <w:rPr>
          <w:rFonts w:hint="default"/>
          <w:color w:val="auto"/>
          <w:highlight w:val="none"/>
          <w:lang w:val="en-US"/>
        </w:rPr>
      </w:pPr>
    </w:p>
    <w:p w14:paraId="605AC1FD">
      <w:pPr>
        <w:keepLines w:val="0"/>
        <w:pageBreakBefore w:val="0"/>
        <w:widowControl w:val="0"/>
        <w:kinsoku/>
        <w:wordWrap w:val="0"/>
        <w:overflowPunct/>
        <w:topLinePunct w:val="0"/>
        <w:autoSpaceDE/>
        <w:autoSpaceDN/>
        <w:bidi w:val="0"/>
        <w:snapToGrid/>
        <w:spacing w:before="14"/>
        <w:ind w:right="2056"/>
        <w:jc w:val="both"/>
        <w:rPr>
          <w:rFonts w:hint="eastAsia" w:ascii="宋体" w:hAnsi="宋体" w:eastAsia="宋体" w:cs="宋体"/>
          <w:b/>
          <w:bCs w:val="0"/>
          <w:color w:val="auto"/>
          <w:kern w:val="0"/>
          <w:sz w:val="30"/>
          <w:szCs w:val="30"/>
          <w:highlight w:val="none"/>
          <w:lang w:eastAsia="zh-CN"/>
        </w:rPr>
      </w:pPr>
    </w:p>
    <w:p w14:paraId="620F039D">
      <w:pPr>
        <w:keepLines w:val="0"/>
        <w:pageBreakBefore w:val="0"/>
        <w:widowControl w:val="0"/>
        <w:kinsoku/>
        <w:wordWrap w:val="0"/>
        <w:overflowPunct/>
        <w:topLinePunct w:val="0"/>
        <w:autoSpaceDE/>
        <w:autoSpaceDN/>
        <w:bidi w:val="0"/>
        <w:snapToGrid/>
        <w:spacing w:before="14"/>
        <w:ind w:left="2257" w:right="2056" w:firstLine="0"/>
        <w:jc w:val="center"/>
        <w:rPr>
          <w:rFonts w:hint="eastAsia" w:ascii="宋体" w:hAnsi="宋体" w:eastAsia="宋体" w:cs="宋体"/>
          <w:b/>
          <w:bCs w:val="0"/>
          <w:color w:val="auto"/>
          <w:sz w:val="30"/>
          <w:szCs w:val="30"/>
          <w:highlight w:val="none"/>
        </w:rPr>
      </w:pPr>
      <w:r>
        <w:rPr>
          <w:rFonts w:hint="eastAsia" w:ascii="宋体" w:hAnsi="宋体" w:eastAsia="宋体" w:cs="宋体"/>
          <w:b/>
          <w:bCs w:val="0"/>
          <w:color w:val="auto"/>
          <w:kern w:val="0"/>
          <w:sz w:val="30"/>
          <w:szCs w:val="30"/>
          <w:highlight w:val="none"/>
          <w:lang w:eastAsia="zh-CN"/>
        </w:rPr>
        <w:t>四</w:t>
      </w:r>
      <w:r>
        <w:rPr>
          <w:rFonts w:hint="eastAsia" w:ascii="宋体" w:hAnsi="宋体" w:eastAsia="宋体" w:cs="宋体"/>
          <w:b/>
          <w:bCs w:val="0"/>
          <w:color w:val="auto"/>
          <w:sz w:val="30"/>
          <w:szCs w:val="30"/>
          <w:highlight w:val="none"/>
        </w:rPr>
        <w:t>、施工组织设计</w:t>
      </w:r>
    </w:p>
    <w:p w14:paraId="48F6AF38">
      <w:pPr>
        <w:pStyle w:val="10"/>
        <w:keepLines w:val="0"/>
        <w:pageBreakBefore w:val="0"/>
        <w:widowControl w:val="0"/>
        <w:kinsoku/>
        <w:wordWrap w:val="0"/>
        <w:overflowPunct/>
        <w:topLinePunct w:val="0"/>
        <w:autoSpaceDE/>
        <w:autoSpaceDN/>
        <w:bidi w:val="0"/>
        <w:snapToGrid/>
        <w:spacing w:line="240" w:lineRule="auto"/>
        <w:ind w:left="624" w:right="0"/>
        <w:jc w:val="left"/>
        <w:rPr>
          <w:rFonts w:hint="eastAsia" w:ascii="宋体" w:hAnsi="宋体" w:eastAsia="宋体" w:cs="宋体"/>
          <w:color w:val="auto"/>
          <w:spacing w:val="-4"/>
          <w:highlight w:val="none"/>
        </w:rPr>
      </w:pPr>
    </w:p>
    <w:p w14:paraId="45BFC653">
      <w:pPr>
        <w:spacing w:line="360" w:lineRule="auto"/>
        <w:jc w:val="left"/>
        <w:rPr>
          <w:rFonts w:hint="eastAsia" w:ascii="宋体" w:hAnsi="宋体" w:cs="宋体"/>
          <w:szCs w:val="21"/>
        </w:rPr>
      </w:pPr>
      <w:r>
        <w:rPr>
          <w:rFonts w:hint="eastAsia" w:ascii="宋体" w:hAnsi="宋体" w:cs="宋体"/>
          <w:szCs w:val="21"/>
        </w:rPr>
        <w:t>1. 投标人应按以下要点编制施工组织设计（文字宜精炼、内容具有针对性）：</w:t>
      </w:r>
    </w:p>
    <w:p w14:paraId="4493C00D">
      <w:pPr>
        <w:spacing w:line="360" w:lineRule="auto"/>
        <w:jc w:val="left"/>
        <w:rPr>
          <w:rFonts w:hint="eastAsia" w:ascii="宋体" w:hAnsi="宋体" w:cs="宋体"/>
          <w:szCs w:val="21"/>
        </w:rPr>
      </w:pPr>
      <w:r>
        <w:rPr>
          <w:rFonts w:hint="eastAsia" w:ascii="宋体" w:hAnsi="宋体" w:cs="宋体"/>
          <w:szCs w:val="21"/>
        </w:rPr>
        <w:t>（1）总体施工组织布置及规划</w:t>
      </w:r>
    </w:p>
    <w:p w14:paraId="6C3C73EF">
      <w:pPr>
        <w:spacing w:line="360" w:lineRule="auto"/>
        <w:jc w:val="left"/>
        <w:rPr>
          <w:rFonts w:hint="eastAsia" w:ascii="宋体" w:hAnsi="宋体" w:cs="宋体"/>
          <w:szCs w:val="21"/>
        </w:rPr>
      </w:pPr>
      <w:r>
        <w:rPr>
          <w:rFonts w:hint="eastAsia" w:ascii="宋体" w:hAnsi="宋体" w:cs="宋体"/>
          <w:szCs w:val="21"/>
        </w:rPr>
        <w:t>（2）主要工程项目的施工方案、方法与技术措施（尤其对重点、关键和难点工程的施工方案、方法及措施）</w:t>
      </w:r>
    </w:p>
    <w:p w14:paraId="3B18FA2E">
      <w:pPr>
        <w:spacing w:line="360" w:lineRule="auto"/>
        <w:jc w:val="left"/>
        <w:rPr>
          <w:rFonts w:hint="eastAsia" w:ascii="宋体" w:hAnsi="宋体" w:cs="宋体"/>
          <w:szCs w:val="21"/>
        </w:rPr>
      </w:pPr>
      <w:r>
        <w:rPr>
          <w:rFonts w:hint="eastAsia" w:ascii="宋体" w:hAnsi="宋体" w:cs="宋体"/>
          <w:szCs w:val="21"/>
        </w:rPr>
        <w:t>（3）工期保证体系及保证措施</w:t>
      </w:r>
    </w:p>
    <w:p w14:paraId="2663F454">
      <w:pPr>
        <w:spacing w:line="360" w:lineRule="auto"/>
        <w:jc w:val="left"/>
        <w:rPr>
          <w:rFonts w:hint="eastAsia" w:ascii="宋体" w:hAnsi="宋体" w:cs="宋体"/>
          <w:szCs w:val="21"/>
        </w:rPr>
      </w:pPr>
      <w:r>
        <w:rPr>
          <w:rFonts w:hint="eastAsia" w:ascii="宋体" w:hAnsi="宋体" w:cs="宋体"/>
          <w:szCs w:val="21"/>
        </w:rPr>
        <w:t>（4）工程质量管理体系及保证措施</w:t>
      </w:r>
    </w:p>
    <w:p w14:paraId="3FC7C4F2">
      <w:pPr>
        <w:spacing w:line="360" w:lineRule="auto"/>
        <w:jc w:val="left"/>
        <w:rPr>
          <w:rFonts w:hint="eastAsia" w:ascii="宋体" w:hAnsi="宋体" w:cs="宋体"/>
          <w:szCs w:val="21"/>
        </w:rPr>
      </w:pPr>
      <w:r>
        <w:rPr>
          <w:rFonts w:hint="eastAsia" w:ascii="宋体" w:hAnsi="宋体" w:cs="宋体"/>
          <w:szCs w:val="21"/>
        </w:rPr>
        <w:t>（5）安全生产管理体系及保证措施</w:t>
      </w:r>
    </w:p>
    <w:p w14:paraId="4758FE9B">
      <w:pPr>
        <w:spacing w:line="360" w:lineRule="auto"/>
        <w:jc w:val="left"/>
        <w:rPr>
          <w:rFonts w:hint="eastAsia" w:ascii="宋体" w:hAnsi="宋体" w:cs="宋体"/>
          <w:szCs w:val="21"/>
        </w:rPr>
      </w:pPr>
      <w:r>
        <w:rPr>
          <w:rFonts w:hint="eastAsia" w:ascii="宋体" w:hAnsi="宋体" w:cs="宋体"/>
          <w:szCs w:val="21"/>
        </w:rPr>
        <w:t>（6）环境保护、水土保持保证体系及保证措施</w:t>
      </w:r>
    </w:p>
    <w:p w14:paraId="149BD7B9">
      <w:pPr>
        <w:spacing w:line="360" w:lineRule="auto"/>
        <w:jc w:val="left"/>
        <w:rPr>
          <w:rFonts w:hint="eastAsia" w:ascii="宋体" w:hAnsi="宋体" w:cs="宋体"/>
          <w:szCs w:val="21"/>
        </w:rPr>
      </w:pPr>
      <w:r>
        <w:rPr>
          <w:rFonts w:hint="eastAsia" w:ascii="宋体" w:hAnsi="宋体" w:cs="宋体"/>
          <w:szCs w:val="21"/>
        </w:rPr>
        <w:t>（7）文明施工、文物保护保证体系及保证措施</w:t>
      </w:r>
    </w:p>
    <w:p w14:paraId="554F93EB">
      <w:pPr>
        <w:spacing w:line="360" w:lineRule="auto"/>
        <w:jc w:val="left"/>
        <w:rPr>
          <w:rFonts w:hint="eastAsia" w:ascii="宋体" w:hAnsi="宋体" w:cs="宋体"/>
          <w:szCs w:val="21"/>
        </w:rPr>
      </w:pPr>
      <w:r>
        <w:rPr>
          <w:rFonts w:hint="eastAsia" w:ascii="宋体" w:hAnsi="宋体" w:cs="宋体"/>
          <w:szCs w:val="21"/>
        </w:rPr>
        <w:t>（8）项目风险预测与防范，事故应急预案</w:t>
      </w:r>
    </w:p>
    <w:p w14:paraId="14A6F219">
      <w:pPr>
        <w:spacing w:line="360" w:lineRule="auto"/>
        <w:jc w:val="left"/>
        <w:rPr>
          <w:rFonts w:hint="eastAsia" w:ascii="宋体" w:hAnsi="宋体" w:cs="宋体"/>
          <w:szCs w:val="21"/>
        </w:rPr>
      </w:pPr>
      <w:r>
        <w:rPr>
          <w:rFonts w:hint="eastAsia" w:ascii="宋体" w:hAnsi="宋体" w:cs="宋体"/>
          <w:szCs w:val="21"/>
        </w:rPr>
        <w:t>（9）其他应说明的事项</w:t>
      </w:r>
    </w:p>
    <w:p w14:paraId="17EA1270">
      <w:pPr>
        <w:spacing w:line="360" w:lineRule="auto"/>
        <w:jc w:val="left"/>
        <w:rPr>
          <w:rFonts w:hint="eastAsia" w:ascii="宋体" w:hAnsi="宋体" w:cs="宋体"/>
          <w:szCs w:val="21"/>
        </w:rPr>
      </w:pPr>
      <w:r>
        <w:rPr>
          <w:rFonts w:hint="eastAsia" w:ascii="宋体" w:hAnsi="宋体" w:cs="宋体"/>
          <w:szCs w:val="21"/>
        </w:rPr>
        <w:t>2. 施工组织设计除采用文字表述外可附下列图表，图表及格式要求附后。</w:t>
      </w:r>
    </w:p>
    <w:p w14:paraId="069E0BC3">
      <w:pPr>
        <w:spacing w:line="360" w:lineRule="auto"/>
        <w:ind w:firstLine="210" w:firstLineChars="100"/>
        <w:jc w:val="left"/>
        <w:rPr>
          <w:rFonts w:hint="eastAsia" w:ascii="宋体" w:hAnsi="宋体" w:cs="宋体"/>
          <w:szCs w:val="21"/>
        </w:rPr>
      </w:pPr>
      <w:r>
        <w:rPr>
          <w:rFonts w:hint="eastAsia" w:ascii="宋体" w:hAnsi="宋体" w:cs="宋体"/>
          <w:szCs w:val="21"/>
        </w:rPr>
        <w:t>附表一 施工总体计划表</w:t>
      </w:r>
    </w:p>
    <w:p w14:paraId="42883561">
      <w:pPr>
        <w:spacing w:line="360" w:lineRule="auto"/>
        <w:ind w:firstLine="210" w:firstLineChars="100"/>
        <w:jc w:val="left"/>
        <w:rPr>
          <w:rFonts w:hint="eastAsia" w:ascii="宋体" w:hAnsi="宋体" w:cs="宋体"/>
          <w:szCs w:val="21"/>
        </w:rPr>
      </w:pPr>
      <w:r>
        <w:rPr>
          <w:rFonts w:hint="eastAsia" w:ascii="宋体" w:hAnsi="宋体" w:cs="宋体"/>
          <w:szCs w:val="21"/>
        </w:rPr>
        <w:t>附表二 分项工程进度率计划（斜率图）</w:t>
      </w:r>
    </w:p>
    <w:p w14:paraId="1FD9989A">
      <w:pPr>
        <w:spacing w:line="360" w:lineRule="auto"/>
        <w:ind w:firstLine="210" w:firstLineChars="100"/>
        <w:jc w:val="left"/>
        <w:rPr>
          <w:rFonts w:hint="eastAsia" w:ascii="宋体" w:hAnsi="宋体" w:cs="宋体"/>
          <w:szCs w:val="21"/>
        </w:rPr>
      </w:pPr>
      <w:r>
        <w:rPr>
          <w:rFonts w:hint="eastAsia" w:ascii="宋体" w:hAnsi="宋体" w:cs="宋体"/>
          <w:szCs w:val="21"/>
        </w:rPr>
        <w:t>附表三 工程管理曲线</w:t>
      </w:r>
    </w:p>
    <w:p w14:paraId="5CA21A38">
      <w:pPr>
        <w:spacing w:line="360" w:lineRule="auto"/>
        <w:ind w:firstLine="210" w:firstLineChars="100"/>
        <w:jc w:val="left"/>
        <w:rPr>
          <w:rFonts w:hint="eastAsia" w:ascii="宋体" w:hAnsi="宋体" w:cs="宋体"/>
          <w:szCs w:val="21"/>
        </w:rPr>
      </w:pPr>
      <w:r>
        <w:rPr>
          <w:rFonts w:hint="eastAsia" w:ascii="宋体" w:hAnsi="宋体" w:cs="宋体"/>
          <w:szCs w:val="21"/>
        </w:rPr>
        <w:t>附表四 分项工程生产率和施工周期表</w:t>
      </w:r>
    </w:p>
    <w:p w14:paraId="129C7E8E">
      <w:pPr>
        <w:spacing w:line="360" w:lineRule="auto"/>
        <w:ind w:firstLine="210" w:firstLineChars="100"/>
        <w:jc w:val="left"/>
        <w:rPr>
          <w:rFonts w:hint="eastAsia" w:ascii="宋体" w:hAnsi="宋体" w:cs="宋体"/>
          <w:szCs w:val="21"/>
        </w:rPr>
      </w:pPr>
      <w:r>
        <w:rPr>
          <w:rFonts w:hint="eastAsia" w:ascii="宋体" w:hAnsi="宋体" w:cs="宋体"/>
          <w:szCs w:val="21"/>
        </w:rPr>
        <w:t>附表五 施工总平面图</w:t>
      </w:r>
    </w:p>
    <w:p w14:paraId="49BA0A6E">
      <w:pPr>
        <w:spacing w:line="360" w:lineRule="auto"/>
        <w:ind w:firstLine="210" w:firstLineChars="100"/>
        <w:jc w:val="left"/>
        <w:rPr>
          <w:rFonts w:hint="eastAsia" w:ascii="宋体" w:hAnsi="宋体" w:cs="宋体"/>
          <w:szCs w:val="21"/>
        </w:rPr>
      </w:pPr>
      <w:r>
        <w:rPr>
          <w:rFonts w:hint="eastAsia" w:ascii="宋体" w:hAnsi="宋体" w:cs="宋体"/>
          <w:szCs w:val="21"/>
        </w:rPr>
        <w:t xml:space="preserve">附表六 劳动力计划表 </w:t>
      </w:r>
    </w:p>
    <w:p w14:paraId="3AFF885D">
      <w:pPr>
        <w:spacing w:line="360" w:lineRule="auto"/>
        <w:ind w:firstLine="210" w:firstLineChars="100"/>
        <w:jc w:val="left"/>
        <w:rPr>
          <w:rFonts w:hint="eastAsia" w:ascii="宋体" w:hAnsi="宋体" w:cs="宋体"/>
          <w:szCs w:val="21"/>
        </w:rPr>
      </w:pPr>
      <w:r>
        <w:rPr>
          <w:rFonts w:hint="eastAsia" w:ascii="宋体" w:hAnsi="宋体" w:cs="宋体"/>
          <w:szCs w:val="21"/>
        </w:rPr>
        <w:t>附表七 临时占地计划表</w:t>
      </w:r>
    </w:p>
    <w:p w14:paraId="69B7D247">
      <w:pPr>
        <w:spacing w:line="360" w:lineRule="auto"/>
        <w:ind w:firstLine="210" w:firstLineChars="100"/>
        <w:jc w:val="left"/>
        <w:rPr>
          <w:rFonts w:hint="eastAsia" w:ascii="宋体" w:hAnsi="宋体" w:cs="宋体"/>
          <w:szCs w:val="21"/>
        </w:rPr>
      </w:pPr>
      <w:r>
        <w:rPr>
          <w:rFonts w:hint="eastAsia" w:ascii="宋体" w:hAnsi="宋体" w:cs="宋体"/>
          <w:szCs w:val="21"/>
        </w:rPr>
        <w:t>附表八 外供电力需求计划表</w:t>
      </w:r>
    </w:p>
    <w:p w14:paraId="7CC05BF7">
      <w:pPr>
        <w:pStyle w:val="43"/>
        <w:shd w:val="clear" w:color="auto" w:fill="auto"/>
        <w:spacing w:after="424" w:line="360" w:lineRule="auto"/>
        <w:ind w:left="260"/>
        <w:jc w:val="left"/>
        <w:rPr>
          <w:rFonts w:hint="eastAsia" w:ascii="宋体" w:hAnsi="宋体" w:eastAsia="宋体" w:cs="宋体"/>
        </w:rPr>
        <w:sectPr>
          <w:headerReference r:id="rId6" w:type="first"/>
          <w:footerReference r:id="rId8" w:type="first"/>
          <w:headerReference r:id="rId5" w:type="default"/>
          <w:footerReference r:id="rId7" w:type="default"/>
          <w:pgSz w:w="11909" w:h="16838"/>
          <w:pgMar w:top="1418" w:right="1418" w:bottom="1418" w:left="1418" w:header="851" w:footer="964" w:gutter="0"/>
          <w:pgNumType w:fmt="decimal" w:start="1"/>
          <w:cols w:space="720" w:num="1"/>
          <w:titlePg/>
          <w:docGrid w:linePitch="360" w:charSpace="0"/>
        </w:sectPr>
      </w:pPr>
    </w:p>
    <w:p w14:paraId="5FD2EBA0">
      <w:pPr>
        <w:pStyle w:val="43"/>
        <w:shd w:val="clear" w:color="auto" w:fill="auto"/>
        <w:spacing w:after="424" w:line="240" w:lineRule="auto"/>
        <w:jc w:val="left"/>
        <w:outlineLvl w:val="9"/>
        <w:rPr>
          <w:rFonts w:hint="eastAsia" w:ascii="宋体" w:hAnsi="宋体" w:eastAsia="宋体" w:cs="宋体"/>
        </w:rPr>
      </w:pPr>
      <w:bookmarkStart w:id="599" w:name="_Toc3737"/>
      <w:bookmarkStart w:id="600" w:name="_Toc674"/>
      <w:r>
        <w:rPr>
          <w:rFonts w:hint="eastAsia" w:ascii="宋体" w:hAnsi="宋体" w:eastAsia="宋体" w:cs="宋体"/>
        </w:rPr>
        <w:t>附表一  施工总体计划表</w:t>
      </w:r>
      <w:bookmarkEnd w:id="599"/>
      <w:bookmarkEnd w:id="600"/>
    </w:p>
    <w:tbl>
      <w:tblPr>
        <w:tblStyle w:val="29"/>
        <w:tblW w:w="0" w:type="auto"/>
        <w:jc w:val="center"/>
        <w:tblLayout w:type="fixed"/>
        <w:tblCellMar>
          <w:top w:w="0" w:type="dxa"/>
          <w:left w:w="10" w:type="dxa"/>
          <w:bottom w:w="0" w:type="dxa"/>
          <w:right w:w="10" w:type="dxa"/>
        </w:tblCellMar>
      </w:tblPr>
      <w:tblGrid>
        <w:gridCol w:w="2424"/>
        <w:gridCol w:w="422"/>
        <w:gridCol w:w="427"/>
        <w:gridCol w:w="422"/>
        <w:gridCol w:w="427"/>
        <w:gridCol w:w="422"/>
        <w:gridCol w:w="427"/>
        <w:gridCol w:w="422"/>
        <w:gridCol w:w="422"/>
        <w:gridCol w:w="427"/>
        <w:gridCol w:w="422"/>
        <w:gridCol w:w="427"/>
        <w:gridCol w:w="422"/>
        <w:gridCol w:w="422"/>
        <w:gridCol w:w="427"/>
        <w:gridCol w:w="422"/>
        <w:gridCol w:w="427"/>
        <w:gridCol w:w="422"/>
        <w:gridCol w:w="422"/>
        <w:gridCol w:w="427"/>
        <w:gridCol w:w="422"/>
        <w:gridCol w:w="427"/>
        <w:gridCol w:w="422"/>
        <w:gridCol w:w="422"/>
        <w:gridCol w:w="427"/>
        <w:gridCol w:w="355"/>
        <w:gridCol w:w="360"/>
        <w:gridCol w:w="355"/>
        <w:gridCol w:w="360"/>
        <w:gridCol w:w="365"/>
      </w:tblGrid>
      <w:tr w14:paraId="31699622">
        <w:tblPrEx>
          <w:tblCellMar>
            <w:top w:w="0" w:type="dxa"/>
            <w:left w:w="10" w:type="dxa"/>
            <w:bottom w:w="0" w:type="dxa"/>
            <w:right w:w="10" w:type="dxa"/>
          </w:tblCellMar>
        </w:tblPrEx>
        <w:trPr>
          <w:trHeight w:val="379" w:hRule="exact"/>
          <w:jc w:val="center"/>
        </w:trPr>
        <w:tc>
          <w:tcPr>
            <w:tcW w:w="2424" w:type="dxa"/>
            <w:tcBorders>
              <w:top w:val="single" w:color="auto" w:sz="4" w:space="0"/>
              <w:left w:val="single" w:color="auto" w:sz="4" w:space="0"/>
            </w:tcBorders>
            <w:shd w:val="clear" w:color="auto" w:fill="FFFFFF"/>
            <w:noWrap w:val="0"/>
            <w:vAlign w:val="center"/>
          </w:tcPr>
          <w:p w14:paraId="24CA3E7A">
            <w:pPr>
              <w:pStyle w:val="32"/>
              <w:shd w:val="clear" w:color="auto" w:fill="auto"/>
              <w:spacing w:before="0" w:line="170" w:lineRule="exact"/>
              <w:ind w:firstLine="0"/>
              <w:jc w:val="center"/>
              <w:rPr>
                <w:rFonts w:hint="eastAsia" w:ascii="宋体" w:hAnsi="宋体" w:eastAsia="宋体" w:cs="宋体"/>
              </w:rPr>
            </w:pPr>
            <w:r>
              <w:rPr>
                <w:rStyle w:val="44"/>
                <w:rFonts w:hint="eastAsia" w:ascii="宋体" w:hAnsi="宋体" w:eastAsia="宋体" w:cs="宋体"/>
                <w:color w:val="auto"/>
              </w:rPr>
              <w:t>年</w:t>
            </w:r>
            <w:r>
              <w:rPr>
                <w:rStyle w:val="45"/>
                <w:rFonts w:hint="eastAsia" w:ascii="宋体" w:hAnsi="宋体" w:eastAsia="宋体" w:cs="宋体"/>
                <w:color w:val="auto"/>
              </w:rPr>
              <w:t xml:space="preserve"> </w:t>
            </w:r>
            <w:r>
              <w:rPr>
                <w:rStyle w:val="44"/>
                <w:rFonts w:hint="eastAsia" w:ascii="宋体" w:hAnsi="宋体" w:eastAsia="宋体" w:cs="宋体"/>
                <w:color w:val="auto"/>
              </w:rPr>
              <w:t>度</w:t>
            </w:r>
          </w:p>
        </w:tc>
        <w:tc>
          <w:tcPr>
            <w:tcW w:w="5089" w:type="dxa"/>
            <w:gridSpan w:val="12"/>
            <w:tcBorders>
              <w:top w:val="single" w:color="auto" w:sz="4" w:space="0"/>
              <w:left w:val="single" w:color="auto" w:sz="4" w:space="0"/>
            </w:tcBorders>
            <w:shd w:val="clear" w:color="auto" w:fill="FFFFFF"/>
            <w:noWrap w:val="0"/>
            <w:vAlign w:val="center"/>
          </w:tcPr>
          <w:p w14:paraId="38928533">
            <w:pPr>
              <w:pStyle w:val="32"/>
              <w:shd w:val="clear" w:color="auto" w:fill="auto"/>
              <w:spacing w:before="0" w:line="170" w:lineRule="exact"/>
              <w:ind w:left="1" w:leftChars="-1285" w:hanging="2699" w:hangingChars="1588"/>
              <w:jc w:val="center"/>
              <w:rPr>
                <w:rFonts w:hint="eastAsia" w:ascii="宋体" w:hAnsi="宋体" w:eastAsia="宋体" w:cs="宋体"/>
              </w:rPr>
            </w:pPr>
            <w:r>
              <w:rPr>
                <w:rStyle w:val="44"/>
                <w:rFonts w:hint="eastAsia" w:ascii="宋体" w:hAnsi="宋体" w:eastAsia="宋体" w:cs="宋体"/>
                <w:color w:val="auto"/>
              </w:rPr>
              <w:t xml:space="preserve">                                </w:t>
            </w:r>
            <w:r>
              <w:rPr>
                <w:rStyle w:val="44"/>
                <w:rFonts w:hint="eastAsia" w:ascii="宋体" w:hAnsi="宋体" w:eastAsia="宋体" w:cs="宋体"/>
                <w:color w:val="auto"/>
                <w:u w:val="single"/>
              </w:rPr>
              <w:t xml:space="preserve">                   </w:t>
            </w:r>
            <w:r>
              <w:rPr>
                <w:rStyle w:val="44"/>
                <w:rFonts w:hint="eastAsia" w:ascii="宋体" w:hAnsi="宋体" w:eastAsia="宋体" w:cs="宋体"/>
                <w:color w:val="auto"/>
              </w:rPr>
              <w:t>年</w:t>
            </w:r>
          </w:p>
        </w:tc>
        <w:tc>
          <w:tcPr>
            <w:tcW w:w="5089" w:type="dxa"/>
            <w:gridSpan w:val="12"/>
            <w:tcBorders>
              <w:top w:val="single" w:color="auto" w:sz="4" w:space="0"/>
              <w:left w:val="single" w:color="auto" w:sz="4" w:space="0"/>
            </w:tcBorders>
            <w:shd w:val="clear" w:color="auto" w:fill="FFFFFF"/>
            <w:noWrap w:val="0"/>
            <w:vAlign w:val="center"/>
          </w:tcPr>
          <w:p w14:paraId="5574443A">
            <w:pPr>
              <w:pStyle w:val="32"/>
              <w:shd w:val="clear" w:color="auto" w:fill="auto"/>
              <w:spacing w:before="0" w:line="170" w:lineRule="exact"/>
              <w:ind w:left="1" w:leftChars="-1301" w:hanging="2733" w:hangingChars="1608"/>
              <w:jc w:val="center"/>
              <w:rPr>
                <w:rFonts w:hint="eastAsia" w:ascii="宋体" w:hAnsi="宋体" w:eastAsia="宋体" w:cs="宋体"/>
              </w:rPr>
            </w:pPr>
            <w:r>
              <w:rPr>
                <w:rStyle w:val="44"/>
                <w:rFonts w:hint="eastAsia" w:ascii="宋体" w:hAnsi="宋体" w:eastAsia="宋体" w:cs="宋体"/>
                <w:color w:val="auto"/>
              </w:rPr>
              <w:t xml:space="preserve">                      </w:t>
            </w:r>
            <w:r>
              <w:rPr>
                <w:rStyle w:val="44"/>
                <w:rFonts w:hint="eastAsia" w:ascii="宋体" w:hAnsi="宋体" w:eastAsia="宋体" w:cs="宋体"/>
                <w:color w:val="auto"/>
                <w:u w:val="single"/>
              </w:rPr>
              <w:t xml:space="preserve">               </w:t>
            </w:r>
            <w:r>
              <w:rPr>
                <w:rStyle w:val="44"/>
                <w:rFonts w:hint="eastAsia" w:ascii="宋体" w:hAnsi="宋体" w:eastAsia="宋体" w:cs="宋体"/>
                <w:color w:val="auto"/>
              </w:rPr>
              <w:t>年</w:t>
            </w:r>
          </w:p>
        </w:tc>
        <w:tc>
          <w:tcPr>
            <w:tcW w:w="1795" w:type="dxa"/>
            <w:gridSpan w:val="5"/>
            <w:tcBorders>
              <w:top w:val="single" w:color="auto" w:sz="4" w:space="0"/>
              <w:left w:val="single" w:color="auto" w:sz="4" w:space="0"/>
              <w:right w:val="single" w:color="auto" w:sz="4" w:space="0"/>
            </w:tcBorders>
            <w:shd w:val="clear" w:color="auto" w:fill="FFFFFF"/>
            <w:noWrap w:val="0"/>
            <w:vAlign w:val="center"/>
          </w:tcPr>
          <w:p w14:paraId="3319D4CC">
            <w:pPr>
              <w:pStyle w:val="32"/>
              <w:shd w:val="clear" w:color="auto" w:fill="auto"/>
              <w:spacing w:before="0" w:line="170" w:lineRule="exact"/>
              <w:ind w:left="1" w:leftChars="-504" w:hanging="1059" w:hangingChars="623"/>
              <w:jc w:val="center"/>
              <w:rPr>
                <w:rFonts w:hint="eastAsia" w:ascii="宋体" w:hAnsi="宋体" w:eastAsia="宋体" w:cs="宋体"/>
              </w:rPr>
            </w:pPr>
            <w:r>
              <w:rPr>
                <w:rStyle w:val="44"/>
                <w:rFonts w:hint="eastAsia" w:ascii="宋体" w:hAnsi="宋体" w:eastAsia="宋体" w:cs="宋体"/>
                <w:color w:val="auto"/>
              </w:rPr>
              <w:t xml:space="preserve">              </w:t>
            </w:r>
            <w:r>
              <w:rPr>
                <w:rStyle w:val="44"/>
                <w:rFonts w:hint="eastAsia" w:ascii="宋体" w:hAnsi="宋体" w:eastAsia="宋体" w:cs="宋体"/>
                <w:color w:val="auto"/>
                <w:u w:val="single"/>
              </w:rPr>
              <w:t xml:space="preserve">        </w:t>
            </w:r>
            <w:r>
              <w:rPr>
                <w:rStyle w:val="44"/>
                <w:rFonts w:hint="eastAsia" w:ascii="宋体" w:hAnsi="宋体" w:eastAsia="宋体" w:cs="宋体"/>
                <w:color w:val="auto"/>
              </w:rPr>
              <w:t>年</w:t>
            </w:r>
          </w:p>
        </w:tc>
      </w:tr>
      <w:tr w14:paraId="1A820FEB">
        <w:tblPrEx>
          <w:tblCellMar>
            <w:top w:w="0" w:type="dxa"/>
            <w:left w:w="10" w:type="dxa"/>
            <w:bottom w:w="0" w:type="dxa"/>
            <w:right w:w="10" w:type="dxa"/>
          </w:tblCellMar>
        </w:tblPrEx>
        <w:trPr>
          <w:trHeight w:val="561" w:hRule="exact"/>
          <w:jc w:val="center"/>
        </w:trPr>
        <w:tc>
          <w:tcPr>
            <w:tcW w:w="2424" w:type="dxa"/>
            <w:tcBorders>
              <w:top w:val="single" w:color="auto" w:sz="4" w:space="0"/>
              <w:left w:val="single" w:color="auto" w:sz="4" w:space="0"/>
              <w:tl2br w:val="single" w:color="auto" w:sz="4" w:space="0"/>
            </w:tcBorders>
            <w:shd w:val="clear" w:color="auto" w:fill="FFFFFF"/>
            <w:noWrap w:val="0"/>
            <w:vAlign w:val="center"/>
          </w:tcPr>
          <w:p w14:paraId="242F8A55">
            <w:pPr>
              <w:pStyle w:val="32"/>
              <w:shd w:val="clear" w:color="auto" w:fill="auto"/>
              <w:spacing w:before="0" w:line="170" w:lineRule="exact"/>
              <w:ind w:firstLine="0"/>
              <w:jc w:val="both"/>
              <w:rPr>
                <w:rStyle w:val="44"/>
                <w:rFonts w:hint="eastAsia" w:ascii="宋体" w:hAnsi="宋体" w:eastAsia="宋体" w:cs="宋体"/>
                <w:color w:val="auto"/>
              </w:rPr>
            </w:pPr>
          </w:p>
          <w:p w14:paraId="263A3188">
            <w:pPr>
              <w:pStyle w:val="32"/>
              <w:shd w:val="clear" w:color="auto" w:fill="auto"/>
              <w:spacing w:before="0" w:line="170" w:lineRule="exact"/>
              <w:ind w:firstLine="0"/>
              <w:jc w:val="both"/>
              <w:rPr>
                <w:rFonts w:hint="eastAsia" w:ascii="宋体" w:hAnsi="宋体" w:eastAsia="宋体" w:cs="宋体"/>
              </w:rPr>
            </w:pPr>
            <w:r>
              <w:rPr>
                <w:rStyle w:val="44"/>
                <w:rFonts w:hint="eastAsia" w:ascii="宋体" w:hAnsi="宋体" w:eastAsia="宋体" w:cs="宋体"/>
                <w:color w:val="auto"/>
              </w:rPr>
              <w:t>主要工程项目</w:t>
            </w:r>
            <w:r>
              <w:rPr>
                <w:rStyle w:val="44"/>
                <w:rFonts w:hint="eastAsia" w:ascii="宋体" w:hAnsi="宋体" w:eastAsia="宋体" w:cs="宋体"/>
                <w:color w:val="auto"/>
                <w:lang w:val="en-US"/>
              </w:rPr>
              <w:t xml:space="preserve"> </w:t>
            </w:r>
            <w:r>
              <w:rPr>
                <w:rStyle w:val="46"/>
                <w:rFonts w:hint="eastAsia" w:ascii="宋体" w:hAnsi="宋体" w:eastAsia="宋体" w:cs="宋体"/>
                <w:color w:val="auto"/>
                <w:lang w:val="en-US"/>
              </w:rPr>
              <w:t xml:space="preserve">                   </w:t>
            </w:r>
            <w:r>
              <w:rPr>
                <w:rStyle w:val="44"/>
                <w:rFonts w:hint="eastAsia" w:ascii="宋体" w:hAnsi="宋体" w:eastAsia="宋体" w:cs="宋体"/>
                <w:color w:val="auto"/>
              </w:rPr>
              <w:t>月份</w:t>
            </w:r>
          </w:p>
        </w:tc>
        <w:tc>
          <w:tcPr>
            <w:tcW w:w="422" w:type="dxa"/>
            <w:tcBorders>
              <w:top w:val="single" w:color="auto" w:sz="4" w:space="0"/>
              <w:left w:val="single" w:color="auto" w:sz="4" w:space="0"/>
            </w:tcBorders>
            <w:shd w:val="clear" w:color="auto" w:fill="FFFFFF"/>
            <w:noWrap w:val="0"/>
            <w:vAlign w:val="center"/>
          </w:tcPr>
          <w:p w14:paraId="6C870224">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1</w:t>
            </w:r>
          </w:p>
        </w:tc>
        <w:tc>
          <w:tcPr>
            <w:tcW w:w="427" w:type="dxa"/>
            <w:tcBorders>
              <w:top w:val="single" w:color="auto" w:sz="4" w:space="0"/>
              <w:left w:val="single" w:color="auto" w:sz="4" w:space="0"/>
            </w:tcBorders>
            <w:shd w:val="clear" w:color="auto" w:fill="FFFFFF"/>
            <w:noWrap w:val="0"/>
            <w:vAlign w:val="center"/>
          </w:tcPr>
          <w:p w14:paraId="6A8E6528">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2</w:t>
            </w:r>
          </w:p>
        </w:tc>
        <w:tc>
          <w:tcPr>
            <w:tcW w:w="422" w:type="dxa"/>
            <w:tcBorders>
              <w:top w:val="single" w:color="auto" w:sz="4" w:space="0"/>
              <w:left w:val="single" w:color="auto" w:sz="4" w:space="0"/>
            </w:tcBorders>
            <w:shd w:val="clear" w:color="auto" w:fill="FFFFFF"/>
            <w:noWrap w:val="0"/>
            <w:vAlign w:val="center"/>
          </w:tcPr>
          <w:p w14:paraId="07E2DD2A">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3</w:t>
            </w:r>
          </w:p>
        </w:tc>
        <w:tc>
          <w:tcPr>
            <w:tcW w:w="427" w:type="dxa"/>
            <w:tcBorders>
              <w:top w:val="single" w:color="auto" w:sz="4" w:space="0"/>
              <w:left w:val="single" w:color="auto" w:sz="4" w:space="0"/>
            </w:tcBorders>
            <w:noWrap w:val="0"/>
            <w:vAlign w:val="center"/>
          </w:tcPr>
          <w:p w14:paraId="7F071047">
            <w:pPr>
              <w:pStyle w:val="32"/>
              <w:shd w:val="clear" w:color="auto" w:fill="auto"/>
              <w:spacing w:before="0" w:line="170" w:lineRule="exact"/>
              <w:ind w:left="160" w:firstLine="0"/>
              <w:jc w:val="center"/>
              <w:rPr>
                <w:rFonts w:hint="eastAsia" w:ascii="宋体" w:hAnsi="宋体" w:eastAsia="宋体" w:cs="宋体"/>
              </w:rPr>
            </w:pPr>
            <w:r>
              <w:rPr>
                <w:rStyle w:val="45"/>
                <w:rFonts w:hint="eastAsia" w:ascii="宋体" w:hAnsi="宋体" w:eastAsia="宋体" w:cs="宋体"/>
                <w:color w:val="auto"/>
              </w:rPr>
              <w:t>4</w:t>
            </w:r>
          </w:p>
        </w:tc>
        <w:tc>
          <w:tcPr>
            <w:tcW w:w="422" w:type="dxa"/>
            <w:tcBorders>
              <w:top w:val="single" w:color="auto" w:sz="4" w:space="0"/>
              <w:left w:val="single" w:color="auto" w:sz="4" w:space="0"/>
            </w:tcBorders>
            <w:noWrap w:val="0"/>
            <w:vAlign w:val="center"/>
          </w:tcPr>
          <w:p w14:paraId="5FB22C58">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5</w:t>
            </w:r>
          </w:p>
        </w:tc>
        <w:tc>
          <w:tcPr>
            <w:tcW w:w="427" w:type="dxa"/>
            <w:tcBorders>
              <w:top w:val="single" w:color="auto" w:sz="4" w:space="0"/>
              <w:left w:val="single" w:color="auto" w:sz="4" w:space="0"/>
            </w:tcBorders>
            <w:noWrap w:val="0"/>
            <w:vAlign w:val="center"/>
          </w:tcPr>
          <w:p w14:paraId="07312EEB">
            <w:pPr>
              <w:pStyle w:val="32"/>
              <w:shd w:val="clear" w:color="auto" w:fill="auto"/>
              <w:spacing w:before="0" w:line="170" w:lineRule="exact"/>
              <w:ind w:left="160" w:firstLine="0"/>
              <w:jc w:val="center"/>
              <w:rPr>
                <w:rFonts w:hint="eastAsia" w:ascii="宋体" w:hAnsi="宋体" w:eastAsia="宋体" w:cs="宋体"/>
              </w:rPr>
            </w:pPr>
            <w:r>
              <w:rPr>
                <w:rStyle w:val="45"/>
                <w:rFonts w:hint="eastAsia" w:ascii="宋体" w:hAnsi="宋体" w:eastAsia="宋体" w:cs="宋体"/>
                <w:color w:val="auto"/>
              </w:rPr>
              <w:t>6</w:t>
            </w:r>
          </w:p>
        </w:tc>
        <w:tc>
          <w:tcPr>
            <w:tcW w:w="422" w:type="dxa"/>
            <w:tcBorders>
              <w:top w:val="single" w:color="auto" w:sz="4" w:space="0"/>
              <w:left w:val="single" w:color="auto" w:sz="4" w:space="0"/>
            </w:tcBorders>
            <w:noWrap w:val="0"/>
            <w:vAlign w:val="center"/>
          </w:tcPr>
          <w:p w14:paraId="5CA2D610">
            <w:pPr>
              <w:pStyle w:val="32"/>
              <w:shd w:val="clear" w:color="auto" w:fill="auto"/>
              <w:spacing w:before="0" w:line="170" w:lineRule="exact"/>
              <w:ind w:left="160" w:firstLine="0"/>
              <w:jc w:val="center"/>
              <w:rPr>
                <w:rFonts w:hint="eastAsia" w:ascii="宋体" w:hAnsi="宋体" w:eastAsia="宋体" w:cs="宋体"/>
              </w:rPr>
            </w:pPr>
            <w:r>
              <w:rPr>
                <w:rStyle w:val="45"/>
                <w:rFonts w:hint="eastAsia" w:ascii="宋体" w:hAnsi="宋体" w:eastAsia="宋体" w:cs="宋体"/>
                <w:color w:val="auto"/>
              </w:rPr>
              <w:t>7</w:t>
            </w:r>
          </w:p>
        </w:tc>
        <w:tc>
          <w:tcPr>
            <w:tcW w:w="422" w:type="dxa"/>
            <w:tcBorders>
              <w:top w:val="single" w:color="auto" w:sz="4" w:space="0"/>
              <w:left w:val="single" w:color="auto" w:sz="4" w:space="0"/>
            </w:tcBorders>
            <w:noWrap w:val="0"/>
            <w:vAlign w:val="center"/>
          </w:tcPr>
          <w:p w14:paraId="00CCF8D6">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8</w:t>
            </w:r>
          </w:p>
        </w:tc>
        <w:tc>
          <w:tcPr>
            <w:tcW w:w="427" w:type="dxa"/>
            <w:tcBorders>
              <w:top w:val="single" w:color="auto" w:sz="4" w:space="0"/>
              <w:left w:val="single" w:color="auto" w:sz="4" w:space="0"/>
            </w:tcBorders>
            <w:noWrap w:val="0"/>
            <w:vAlign w:val="center"/>
          </w:tcPr>
          <w:p w14:paraId="37203CD2">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9</w:t>
            </w:r>
          </w:p>
        </w:tc>
        <w:tc>
          <w:tcPr>
            <w:tcW w:w="422" w:type="dxa"/>
            <w:tcBorders>
              <w:top w:val="single" w:color="auto" w:sz="4" w:space="0"/>
              <w:left w:val="single" w:color="auto" w:sz="4" w:space="0"/>
            </w:tcBorders>
            <w:noWrap w:val="0"/>
            <w:vAlign w:val="center"/>
          </w:tcPr>
          <w:p w14:paraId="63AFECEF">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10</w:t>
            </w:r>
          </w:p>
        </w:tc>
        <w:tc>
          <w:tcPr>
            <w:tcW w:w="427" w:type="dxa"/>
            <w:tcBorders>
              <w:top w:val="single" w:color="auto" w:sz="4" w:space="0"/>
              <w:left w:val="single" w:color="auto" w:sz="4" w:space="0"/>
            </w:tcBorders>
            <w:noWrap w:val="0"/>
            <w:vAlign w:val="center"/>
          </w:tcPr>
          <w:p w14:paraId="7E371496">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11</w:t>
            </w:r>
          </w:p>
        </w:tc>
        <w:tc>
          <w:tcPr>
            <w:tcW w:w="422" w:type="dxa"/>
            <w:tcBorders>
              <w:top w:val="single" w:color="auto" w:sz="4" w:space="0"/>
              <w:left w:val="single" w:color="auto" w:sz="4" w:space="0"/>
            </w:tcBorders>
            <w:noWrap w:val="0"/>
            <w:vAlign w:val="center"/>
          </w:tcPr>
          <w:p w14:paraId="3B888F2B">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12</w:t>
            </w:r>
          </w:p>
        </w:tc>
        <w:tc>
          <w:tcPr>
            <w:tcW w:w="422" w:type="dxa"/>
            <w:tcBorders>
              <w:top w:val="single" w:color="auto" w:sz="4" w:space="0"/>
              <w:left w:val="single" w:color="auto" w:sz="4" w:space="0"/>
            </w:tcBorders>
            <w:noWrap w:val="0"/>
            <w:vAlign w:val="center"/>
          </w:tcPr>
          <w:p w14:paraId="4B4CDC07">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1</w:t>
            </w:r>
          </w:p>
        </w:tc>
        <w:tc>
          <w:tcPr>
            <w:tcW w:w="427" w:type="dxa"/>
            <w:tcBorders>
              <w:top w:val="single" w:color="auto" w:sz="4" w:space="0"/>
              <w:left w:val="single" w:color="auto" w:sz="4" w:space="0"/>
            </w:tcBorders>
            <w:noWrap w:val="0"/>
            <w:vAlign w:val="center"/>
          </w:tcPr>
          <w:p w14:paraId="553159C3">
            <w:pPr>
              <w:pStyle w:val="32"/>
              <w:shd w:val="clear" w:color="auto" w:fill="auto"/>
              <w:spacing w:before="0" w:line="170" w:lineRule="exact"/>
              <w:ind w:left="160" w:firstLine="0"/>
              <w:jc w:val="center"/>
              <w:rPr>
                <w:rFonts w:hint="eastAsia" w:ascii="宋体" w:hAnsi="宋体" w:eastAsia="宋体" w:cs="宋体"/>
              </w:rPr>
            </w:pPr>
            <w:r>
              <w:rPr>
                <w:rStyle w:val="45"/>
                <w:rFonts w:hint="eastAsia" w:ascii="宋体" w:hAnsi="宋体" w:eastAsia="宋体" w:cs="宋体"/>
                <w:color w:val="auto"/>
              </w:rPr>
              <w:t>2</w:t>
            </w:r>
          </w:p>
        </w:tc>
        <w:tc>
          <w:tcPr>
            <w:tcW w:w="422" w:type="dxa"/>
            <w:tcBorders>
              <w:top w:val="single" w:color="auto" w:sz="4" w:space="0"/>
              <w:left w:val="single" w:color="auto" w:sz="4" w:space="0"/>
            </w:tcBorders>
            <w:noWrap w:val="0"/>
            <w:vAlign w:val="center"/>
          </w:tcPr>
          <w:p w14:paraId="333DA9B5">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3</w:t>
            </w:r>
          </w:p>
        </w:tc>
        <w:tc>
          <w:tcPr>
            <w:tcW w:w="427" w:type="dxa"/>
            <w:tcBorders>
              <w:top w:val="single" w:color="auto" w:sz="4" w:space="0"/>
              <w:left w:val="single" w:color="auto" w:sz="4" w:space="0"/>
            </w:tcBorders>
            <w:noWrap w:val="0"/>
            <w:vAlign w:val="center"/>
          </w:tcPr>
          <w:p w14:paraId="5E61B02F">
            <w:pPr>
              <w:pStyle w:val="32"/>
              <w:shd w:val="clear" w:color="auto" w:fill="auto"/>
              <w:spacing w:before="0" w:line="170" w:lineRule="exact"/>
              <w:ind w:left="160" w:firstLine="0"/>
              <w:jc w:val="center"/>
              <w:rPr>
                <w:rFonts w:hint="eastAsia" w:ascii="宋体" w:hAnsi="宋体" w:eastAsia="宋体" w:cs="宋体"/>
              </w:rPr>
            </w:pPr>
            <w:r>
              <w:rPr>
                <w:rStyle w:val="45"/>
                <w:rFonts w:hint="eastAsia" w:ascii="宋体" w:hAnsi="宋体" w:eastAsia="宋体" w:cs="宋体"/>
                <w:color w:val="auto"/>
              </w:rPr>
              <w:t>4</w:t>
            </w:r>
          </w:p>
        </w:tc>
        <w:tc>
          <w:tcPr>
            <w:tcW w:w="422" w:type="dxa"/>
            <w:tcBorders>
              <w:top w:val="single" w:color="auto" w:sz="4" w:space="0"/>
              <w:left w:val="single" w:color="auto" w:sz="4" w:space="0"/>
            </w:tcBorders>
            <w:noWrap w:val="0"/>
            <w:vAlign w:val="center"/>
          </w:tcPr>
          <w:p w14:paraId="57FADE7E">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5</w:t>
            </w:r>
          </w:p>
        </w:tc>
        <w:tc>
          <w:tcPr>
            <w:tcW w:w="422" w:type="dxa"/>
            <w:tcBorders>
              <w:top w:val="single" w:color="auto" w:sz="4" w:space="0"/>
              <w:left w:val="single" w:color="auto" w:sz="4" w:space="0"/>
            </w:tcBorders>
            <w:noWrap w:val="0"/>
            <w:vAlign w:val="center"/>
          </w:tcPr>
          <w:p w14:paraId="24E5AC2C">
            <w:pPr>
              <w:pStyle w:val="32"/>
              <w:shd w:val="clear" w:color="auto" w:fill="auto"/>
              <w:spacing w:before="0" w:line="170" w:lineRule="exact"/>
              <w:ind w:left="160" w:firstLine="0"/>
              <w:jc w:val="center"/>
              <w:rPr>
                <w:rFonts w:hint="eastAsia" w:ascii="宋体" w:hAnsi="宋体" w:eastAsia="宋体" w:cs="宋体"/>
              </w:rPr>
            </w:pPr>
            <w:r>
              <w:rPr>
                <w:rStyle w:val="45"/>
                <w:rFonts w:hint="eastAsia" w:ascii="宋体" w:hAnsi="宋体" w:eastAsia="宋体" w:cs="宋体"/>
                <w:color w:val="auto"/>
              </w:rPr>
              <w:t>6</w:t>
            </w:r>
          </w:p>
        </w:tc>
        <w:tc>
          <w:tcPr>
            <w:tcW w:w="427" w:type="dxa"/>
            <w:tcBorders>
              <w:top w:val="single" w:color="auto" w:sz="4" w:space="0"/>
              <w:left w:val="single" w:color="auto" w:sz="4" w:space="0"/>
            </w:tcBorders>
            <w:noWrap w:val="0"/>
            <w:vAlign w:val="center"/>
          </w:tcPr>
          <w:p w14:paraId="6AFBBCEE">
            <w:pPr>
              <w:pStyle w:val="32"/>
              <w:shd w:val="clear" w:color="auto" w:fill="auto"/>
              <w:spacing w:before="0" w:line="170" w:lineRule="exact"/>
              <w:ind w:left="160" w:firstLine="0"/>
              <w:jc w:val="center"/>
              <w:rPr>
                <w:rFonts w:hint="eastAsia" w:ascii="宋体" w:hAnsi="宋体" w:eastAsia="宋体" w:cs="宋体"/>
              </w:rPr>
            </w:pPr>
            <w:r>
              <w:rPr>
                <w:rStyle w:val="45"/>
                <w:rFonts w:hint="eastAsia" w:ascii="宋体" w:hAnsi="宋体" w:eastAsia="宋体" w:cs="宋体"/>
                <w:color w:val="auto"/>
              </w:rPr>
              <w:t>7</w:t>
            </w:r>
          </w:p>
        </w:tc>
        <w:tc>
          <w:tcPr>
            <w:tcW w:w="422" w:type="dxa"/>
            <w:tcBorders>
              <w:top w:val="single" w:color="auto" w:sz="4" w:space="0"/>
              <w:left w:val="single" w:color="auto" w:sz="4" w:space="0"/>
            </w:tcBorders>
            <w:noWrap w:val="0"/>
            <w:vAlign w:val="center"/>
          </w:tcPr>
          <w:p w14:paraId="7D0CB09F">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8</w:t>
            </w:r>
          </w:p>
        </w:tc>
        <w:tc>
          <w:tcPr>
            <w:tcW w:w="427" w:type="dxa"/>
            <w:tcBorders>
              <w:top w:val="single" w:color="auto" w:sz="4" w:space="0"/>
              <w:left w:val="single" w:color="auto" w:sz="4" w:space="0"/>
            </w:tcBorders>
            <w:noWrap w:val="0"/>
            <w:vAlign w:val="center"/>
          </w:tcPr>
          <w:p w14:paraId="66DE4540">
            <w:pPr>
              <w:pStyle w:val="32"/>
              <w:shd w:val="clear" w:color="auto" w:fill="auto"/>
              <w:spacing w:before="0" w:line="170" w:lineRule="exact"/>
              <w:ind w:left="180" w:firstLine="0"/>
              <w:jc w:val="center"/>
              <w:rPr>
                <w:rFonts w:hint="eastAsia" w:ascii="宋体" w:hAnsi="宋体" w:eastAsia="宋体" w:cs="宋体"/>
              </w:rPr>
            </w:pPr>
            <w:r>
              <w:rPr>
                <w:rStyle w:val="45"/>
                <w:rFonts w:hint="eastAsia" w:ascii="宋体" w:hAnsi="宋体" w:eastAsia="宋体" w:cs="宋体"/>
                <w:color w:val="auto"/>
              </w:rPr>
              <w:t>9</w:t>
            </w:r>
          </w:p>
        </w:tc>
        <w:tc>
          <w:tcPr>
            <w:tcW w:w="422" w:type="dxa"/>
            <w:tcBorders>
              <w:top w:val="single" w:color="auto" w:sz="4" w:space="0"/>
              <w:left w:val="single" w:color="auto" w:sz="4" w:space="0"/>
            </w:tcBorders>
            <w:noWrap w:val="0"/>
            <w:vAlign w:val="center"/>
          </w:tcPr>
          <w:p w14:paraId="293DD503">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10</w:t>
            </w:r>
          </w:p>
        </w:tc>
        <w:tc>
          <w:tcPr>
            <w:tcW w:w="422" w:type="dxa"/>
            <w:tcBorders>
              <w:top w:val="single" w:color="auto" w:sz="4" w:space="0"/>
              <w:left w:val="single" w:color="auto" w:sz="4" w:space="0"/>
            </w:tcBorders>
            <w:noWrap w:val="0"/>
            <w:vAlign w:val="center"/>
          </w:tcPr>
          <w:p w14:paraId="40EDB164">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11</w:t>
            </w:r>
          </w:p>
        </w:tc>
        <w:tc>
          <w:tcPr>
            <w:tcW w:w="427" w:type="dxa"/>
            <w:tcBorders>
              <w:top w:val="single" w:color="auto" w:sz="4" w:space="0"/>
              <w:left w:val="single" w:color="auto" w:sz="4" w:space="0"/>
            </w:tcBorders>
            <w:noWrap w:val="0"/>
            <w:vAlign w:val="center"/>
          </w:tcPr>
          <w:p w14:paraId="5542CE4F">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12</w:t>
            </w:r>
          </w:p>
        </w:tc>
        <w:tc>
          <w:tcPr>
            <w:tcW w:w="355" w:type="dxa"/>
            <w:tcBorders>
              <w:top w:val="single" w:color="auto" w:sz="4" w:space="0"/>
              <w:left w:val="single" w:color="auto" w:sz="4" w:space="0"/>
            </w:tcBorders>
            <w:noWrap w:val="0"/>
            <w:vAlign w:val="center"/>
          </w:tcPr>
          <w:p w14:paraId="747911C2">
            <w:pPr>
              <w:pStyle w:val="32"/>
              <w:shd w:val="clear" w:color="auto" w:fill="auto"/>
              <w:spacing w:before="0" w:line="170" w:lineRule="exact"/>
              <w:ind w:left="160" w:firstLine="0"/>
              <w:jc w:val="center"/>
              <w:rPr>
                <w:rFonts w:hint="eastAsia" w:ascii="宋体" w:hAnsi="宋体" w:eastAsia="宋体" w:cs="宋体"/>
              </w:rPr>
            </w:pPr>
            <w:r>
              <w:rPr>
                <w:rStyle w:val="45"/>
                <w:rFonts w:hint="eastAsia" w:ascii="宋体" w:hAnsi="宋体" w:eastAsia="宋体" w:cs="宋体"/>
                <w:color w:val="auto"/>
              </w:rPr>
              <w:t>1</w:t>
            </w:r>
          </w:p>
        </w:tc>
        <w:tc>
          <w:tcPr>
            <w:tcW w:w="360" w:type="dxa"/>
            <w:tcBorders>
              <w:top w:val="single" w:color="auto" w:sz="4" w:space="0"/>
              <w:left w:val="single" w:color="auto" w:sz="4" w:space="0"/>
            </w:tcBorders>
            <w:noWrap w:val="0"/>
            <w:vAlign w:val="center"/>
          </w:tcPr>
          <w:p w14:paraId="19B2CD30">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2</w:t>
            </w:r>
          </w:p>
        </w:tc>
        <w:tc>
          <w:tcPr>
            <w:tcW w:w="355" w:type="dxa"/>
            <w:tcBorders>
              <w:top w:val="single" w:color="auto" w:sz="4" w:space="0"/>
              <w:left w:val="single" w:color="auto" w:sz="4" w:space="0"/>
            </w:tcBorders>
            <w:noWrap w:val="0"/>
            <w:vAlign w:val="center"/>
          </w:tcPr>
          <w:p w14:paraId="53D8FE58">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3</w:t>
            </w:r>
          </w:p>
        </w:tc>
        <w:tc>
          <w:tcPr>
            <w:tcW w:w="360" w:type="dxa"/>
            <w:tcBorders>
              <w:top w:val="single" w:color="auto" w:sz="4" w:space="0"/>
              <w:left w:val="single" w:color="auto" w:sz="4" w:space="0"/>
            </w:tcBorders>
            <w:noWrap w:val="0"/>
            <w:vAlign w:val="center"/>
          </w:tcPr>
          <w:p w14:paraId="618065D7">
            <w:pPr>
              <w:pStyle w:val="32"/>
              <w:shd w:val="clear" w:color="auto" w:fill="auto"/>
              <w:spacing w:before="0" w:line="170" w:lineRule="exact"/>
              <w:ind w:left="140" w:firstLine="0"/>
              <w:jc w:val="center"/>
              <w:rPr>
                <w:rFonts w:hint="eastAsia" w:ascii="宋体" w:hAnsi="宋体" w:eastAsia="宋体" w:cs="宋体"/>
              </w:rPr>
            </w:pPr>
            <w:r>
              <w:rPr>
                <w:rStyle w:val="45"/>
                <w:rFonts w:hint="eastAsia" w:ascii="宋体" w:hAnsi="宋体" w:eastAsia="宋体" w:cs="宋体"/>
                <w:color w:val="auto"/>
              </w:rPr>
              <w:t>4</w:t>
            </w:r>
          </w:p>
        </w:tc>
        <w:tc>
          <w:tcPr>
            <w:tcW w:w="365" w:type="dxa"/>
            <w:tcBorders>
              <w:top w:val="single" w:color="auto" w:sz="4" w:space="0"/>
              <w:left w:val="single" w:color="auto" w:sz="4" w:space="0"/>
              <w:right w:val="single" w:color="auto" w:sz="4" w:space="0"/>
            </w:tcBorders>
            <w:noWrap w:val="0"/>
            <w:vAlign w:val="center"/>
          </w:tcPr>
          <w:p w14:paraId="3CE781D6">
            <w:pPr>
              <w:jc w:val="center"/>
              <w:rPr>
                <w:rFonts w:ascii="宋体" w:hAnsi="宋体" w:cs="宋体"/>
                <w:sz w:val="10"/>
                <w:szCs w:val="10"/>
              </w:rPr>
            </w:pPr>
            <w:r>
              <w:rPr>
                <w:rFonts w:hint="eastAsia" w:ascii="宋体" w:hAnsi="宋体" w:cs="宋体"/>
                <w:sz w:val="10"/>
                <w:szCs w:val="10"/>
              </w:rPr>
              <w:t>...</w:t>
            </w:r>
          </w:p>
        </w:tc>
      </w:tr>
      <w:tr w14:paraId="114EF55F">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12EBC194">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1</w:t>
            </w:r>
            <w:r>
              <w:rPr>
                <w:rStyle w:val="44"/>
                <w:rFonts w:hint="eastAsia" w:ascii="宋体" w:hAnsi="宋体" w:eastAsia="宋体" w:cs="宋体"/>
                <w:color w:val="auto"/>
                <w:lang w:val="en-US"/>
              </w:rPr>
              <w:t>.</w:t>
            </w:r>
            <w:r>
              <w:rPr>
                <w:rStyle w:val="44"/>
                <w:rFonts w:hint="eastAsia" w:ascii="宋体" w:hAnsi="宋体" w:eastAsia="宋体" w:cs="宋体"/>
                <w:color w:val="auto"/>
              </w:rPr>
              <w:t>施工准备</w:t>
            </w:r>
          </w:p>
        </w:tc>
        <w:tc>
          <w:tcPr>
            <w:tcW w:w="422" w:type="dxa"/>
            <w:tcBorders>
              <w:top w:val="single" w:color="auto" w:sz="4" w:space="0"/>
              <w:left w:val="single" w:color="auto" w:sz="4" w:space="0"/>
            </w:tcBorders>
            <w:shd w:val="clear" w:color="auto" w:fill="FFFFFF"/>
            <w:noWrap w:val="0"/>
            <w:vAlign w:val="top"/>
          </w:tcPr>
          <w:p w14:paraId="4F472DFB">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5FDE4A8A">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1F04495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39A13A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D2E908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F92530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44D4C5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675014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04ED57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51644F3">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0EC164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E26BE8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2F80A5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60E89D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5674D4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1F1D97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EF310C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FEDB7A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8F5DCE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2CCA2A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084447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6C90E2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48C140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BD74387">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62E1414D">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2DC140C">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0AAFB429">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6BF55CDA">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0F9861F9">
            <w:pPr>
              <w:rPr>
                <w:rFonts w:hint="eastAsia" w:ascii="宋体" w:hAnsi="宋体" w:cs="宋体"/>
                <w:sz w:val="10"/>
                <w:szCs w:val="10"/>
              </w:rPr>
            </w:pPr>
          </w:p>
        </w:tc>
      </w:tr>
      <w:tr w14:paraId="00876066">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5CA9EC7F">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2</w:t>
            </w:r>
            <w:r>
              <w:rPr>
                <w:rStyle w:val="44"/>
                <w:rFonts w:hint="eastAsia" w:ascii="宋体" w:hAnsi="宋体" w:eastAsia="宋体" w:cs="宋体"/>
                <w:color w:val="auto"/>
                <w:lang w:val="en-US"/>
              </w:rPr>
              <w:t>.</w:t>
            </w:r>
            <w:r>
              <w:rPr>
                <w:rStyle w:val="44"/>
                <w:rFonts w:hint="eastAsia" w:ascii="宋体" w:hAnsi="宋体" w:eastAsia="宋体" w:cs="宋体"/>
                <w:color w:val="auto"/>
              </w:rPr>
              <w:t>路基处理</w:t>
            </w:r>
          </w:p>
        </w:tc>
        <w:tc>
          <w:tcPr>
            <w:tcW w:w="422" w:type="dxa"/>
            <w:tcBorders>
              <w:top w:val="single" w:color="auto" w:sz="4" w:space="0"/>
              <w:left w:val="single" w:color="auto" w:sz="4" w:space="0"/>
            </w:tcBorders>
            <w:shd w:val="clear" w:color="auto" w:fill="FFFFFF"/>
            <w:noWrap w:val="0"/>
            <w:vAlign w:val="top"/>
          </w:tcPr>
          <w:p w14:paraId="14A56C34">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4B0D4B09">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37D69B3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AD0C2F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08F2C6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988EC1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8F1A8B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AF024B0">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F257D4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8852B7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C80EC8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5F74FA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313F411">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DD1D5F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8D857B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7945B3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B4EDB0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D86D30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437961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4675B7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3E631C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75DEBF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873808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EFBE591">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09A491FD">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39C556D7">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79781859">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45568E63">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2A5E9229">
            <w:pPr>
              <w:rPr>
                <w:rFonts w:hint="eastAsia" w:ascii="宋体" w:hAnsi="宋体" w:cs="宋体"/>
                <w:sz w:val="10"/>
                <w:szCs w:val="10"/>
              </w:rPr>
            </w:pPr>
          </w:p>
        </w:tc>
      </w:tr>
      <w:tr w14:paraId="11B881FE">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10D30BD8">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3</w:t>
            </w:r>
            <w:r>
              <w:rPr>
                <w:rStyle w:val="44"/>
                <w:rFonts w:hint="eastAsia" w:ascii="宋体" w:hAnsi="宋体" w:eastAsia="宋体" w:cs="宋体"/>
                <w:color w:val="auto"/>
                <w:lang w:val="en-US"/>
              </w:rPr>
              <w:t>.</w:t>
            </w:r>
            <w:r>
              <w:rPr>
                <w:rStyle w:val="44"/>
                <w:rFonts w:hint="eastAsia" w:ascii="宋体" w:hAnsi="宋体" w:eastAsia="宋体" w:cs="宋体"/>
                <w:color w:val="auto"/>
              </w:rPr>
              <w:t>路基填筑</w:t>
            </w:r>
          </w:p>
        </w:tc>
        <w:tc>
          <w:tcPr>
            <w:tcW w:w="422" w:type="dxa"/>
            <w:tcBorders>
              <w:top w:val="single" w:color="auto" w:sz="4" w:space="0"/>
              <w:left w:val="single" w:color="auto" w:sz="4" w:space="0"/>
            </w:tcBorders>
            <w:shd w:val="clear" w:color="auto" w:fill="FFFFFF"/>
            <w:noWrap w:val="0"/>
            <w:vAlign w:val="top"/>
          </w:tcPr>
          <w:p w14:paraId="0E393D58">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48717F58">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7340037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AAD228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19EAD0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924CED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1CA022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52EAB0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4BB271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061749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DE5006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CADB4E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BC28CA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431E83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7F36E5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97EFEE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62DD00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8F3003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8EE8D4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8F311B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E6CA43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37F881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713D1A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E9D3F58">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57433E77">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34793B7">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1FADDFB1">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1A43EE98">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7F4DACD5">
            <w:pPr>
              <w:rPr>
                <w:rFonts w:hint="eastAsia" w:ascii="宋体" w:hAnsi="宋体" w:cs="宋体"/>
                <w:sz w:val="10"/>
                <w:szCs w:val="10"/>
              </w:rPr>
            </w:pPr>
          </w:p>
        </w:tc>
      </w:tr>
      <w:tr w14:paraId="024718D9">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662EE2C0">
            <w:pPr>
              <w:pStyle w:val="32"/>
              <w:shd w:val="clear" w:color="auto" w:fill="auto"/>
              <w:spacing w:before="0" w:line="240" w:lineRule="auto"/>
              <w:ind w:left="80" w:firstLine="0"/>
              <w:jc w:val="both"/>
              <w:rPr>
                <w:rFonts w:hint="eastAsia" w:ascii="宋体" w:hAnsi="宋体" w:eastAsia="宋体" w:cs="宋体"/>
              </w:rPr>
            </w:pPr>
            <w:r>
              <w:rPr>
                <w:rStyle w:val="45"/>
                <w:rFonts w:hint="eastAsia" w:ascii="宋体" w:hAnsi="宋体" w:eastAsia="宋体" w:cs="宋体"/>
                <w:color w:val="auto"/>
                <w:lang w:val="en-US"/>
              </w:rPr>
              <w:t>4</w:t>
            </w:r>
            <w:r>
              <w:rPr>
                <w:rStyle w:val="44"/>
                <w:rFonts w:hint="eastAsia" w:ascii="宋体" w:hAnsi="宋体" w:eastAsia="宋体" w:cs="宋体"/>
                <w:color w:val="auto"/>
                <w:lang w:val="en-US"/>
              </w:rPr>
              <w:t>.</w:t>
            </w:r>
            <w:r>
              <w:rPr>
                <w:rStyle w:val="44"/>
                <w:rFonts w:hint="eastAsia" w:ascii="宋体" w:hAnsi="宋体" w:eastAsia="宋体" w:cs="宋体"/>
                <w:color w:val="auto"/>
              </w:rPr>
              <w:t>涵洞</w:t>
            </w:r>
          </w:p>
        </w:tc>
        <w:tc>
          <w:tcPr>
            <w:tcW w:w="422" w:type="dxa"/>
            <w:tcBorders>
              <w:top w:val="single" w:color="auto" w:sz="4" w:space="0"/>
              <w:left w:val="single" w:color="auto" w:sz="4" w:space="0"/>
            </w:tcBorders>
            <w:shd w:val="clear" w:color="auto" w:fill="FFFFFF"/>
            <w:noWrap w:val="0"/>
            <w:vAlign w:val="top"/>
          </w:tcPr>
          <w:p w14:paraId="7F34509E">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2F2E0C41">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193B01C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EDA617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3967CF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E4E1CE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E19EC9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CB0B782">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2C0E91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21C84A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6C6699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C738EA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0065D4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7AD6CF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B779B4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AE5B8B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81B6ED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62EDD0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504937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256DE41">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CBB249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8BBA04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52E6E7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C74D058">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1F300554">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23CC98D2">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3D37A4DE">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5C43E34C">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22C4A183">
            <w:pPr>
              <w:rPr>
                <w:rFonts w:hint="eastAsia" w:ascii="宋体" w:hAnsi="宋体" w:cs="宋体"/>
                <w:sz w:val="10"/>
                <w:szCs w:val="10"/>
              </w:rPr>
            </w:pPr>
          </w:p>
        </w:tc>
      </w:tr>
      <w:tr w14:paraId="62A400DD">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4DC9D911">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5</w:t>
            </w:r>
            <w:r>
              <w:rPr>
                <w:rStyle w:val="44"/>
                <w:rFonts w:hint="eastAsia" w:ascii="宋体" w:hAnsi="宋体" w:eastAsia="宋体" w:cs="宋体"/>
                <w:color w:val="auto"/>
                <w:lang w:val="en-US"/>
              </w:rPr>
              <w:t>.</w:t>
            </w:r>
            <w:r>
              <w:rPr>
                <w:rStyle w:val="44"/>
                <w:rFonts w:hint="eastAsia" w:ascii="宋体" w:hAnsi="宋体" w:eastAsia="宋体" w:cs="宋体"/>
                <w:color w:val="auto"/>
              </w:rPr>
              <w:t>通道</w:t>
            </w:r>
          </w:p>
        </w:tc>
        <w:tc>
          <w:tcPr>
            <w:tcW w:w="422" w:type="dxa"/>
            <w:tcBorders>
              <w:top w:val="single" w:color="auto" w:sz="4" w:space="0"/>
              <w:left w:val="single" w:color="auto" w:sz="4" w:space="0"/>
            </w:tcBorders>
            <w:shd w:val="clear" w:color="auto" w:fill="FFFFFF"/>
            <w:noWrap w:val="0"/>
            <w:vAlign w:val="top"/>
          </w:tcPr>
          <w:p w14:paraId="04385F49">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4A5C31A8">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073822C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C6584B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8B7559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747FD3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E36C66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85F950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F0F6BD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1F4387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5FEA7F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A50F66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4345A7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325257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90BB43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A57D2E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328B63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4E57223">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9AB5FF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F07D702">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7276B8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835837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8287A3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34725D5">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74563789">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3998EEA8">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4DF45A32">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3EA3E934">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7E61B337">
            <w:pPr>
              <w:rPr>
                <w:rFonts w:hint="eastAsia" w:ascii="宋体" w:hAnsi="宋体" w:cs="宋体"/>
                <w:sz w:val="10"/>
                <w:szCs w:val="10"/>
              </w:rPr>
            </w:pPr>
          </w:p>
        </w:tc>
      </w:tr>
      <w:tr w14:paraId="2AC08E3A">
        <w:tblPrEx>
          <w:tblCellMar>
            <w:top w:w="0" w:type="dxa"/>
            <w:left w:w="10" w:type="dxa"/>
            <w:bottom w:w="0" w:type="dxa"/>
            <w:right w:w="10" w:type="dxa"/>
          </w:tblCellMar>
        </w:tblPrEx>
        <w:trPr>
          <w:trHeight w:val="336" w:hRule="exact"/>
          <w:jc w:val="center"/>
        </w:trPr>
        <w:tc>
          <w:tcPr>
            <w:tcW w:w="2424" w:type="dxa"/>
            <w:tcBorders>
              <w:top w:val="single" w:color="auto" w:sz="4" w:space="0"/>
              <w:left w:val="single" w:color="auto" w:sz="4" w:space="0"/>
            </w:tcBorders>
            <w:shd w:val="clear" w:color="auto" w:fill="FFFFFF"/>
            <w:noWrap w:val="0"/>
            <w:vAlign w:val="center"/>
          </w:tcPr>
          <w:p w14:paraId="191E6440">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6</w:t>
            </w:r>
            <w:r>
              <w:rPr>
                <w:rStyle w:val="44"/>
                <w:rFonts w:hint="eastAsia" w:ascii="宋体" w:hAnsi="宋体" w:eastAsia="宋体" w:cs="宋体"/>
                <w:color w:val="auto"/>
                <w:lang w:val="en-US"/>
              </w:rPr>
              <w:t>.</w:t>
            </w:r>
            <w:r>
              <w:rPr>
                <w:rStyle w:val="44"/>
                <w:rFonts w:hint="eastAsia" w:ascii="宋体" w:hAnsi="宋体" w:eastAsia="宋体" w:cs="宋体"/>
                <w:color w:val="auto"/>
              </w:rPr>
              <w:t>防护及排水</w:t>
            </w:r>
          </w:p>
        </w:tc>
        <w:tc>
          <w:tcPr>
            <w:tcW w:w="422" w:type="dxa"/>
            <w:tcBorders>
              <w:top w:val="single" w:color="auto" w:sz="4" w:space="0"/>
              <w:left w:val="single" w:color="auto" w:sz="4" w:space="0"/>
            </w:tcBorders>
            <w:shd w:val="clear" w:color="auto" w:fill="FFFFFF"/>
            <w:noWrap w:val="0"/>
            <w:vAlign w:val="top"/>
          </w:tcPr>
          <w:p w14:paraId="34F8FCF7">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44679479">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1884917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B897AF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2FC1F7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410A87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769325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DFA0231">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214B6E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43D34B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F42D27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345E0A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A5D3BC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0332AA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0B3253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DB0B96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886312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A27B94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C624AB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9561C0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B5E47F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48C402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9719C5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EDD767D">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57674442">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580AD147">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6881A539">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4E99D8A">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33D856DD">
            <w:pPr>
              <w:rPr>
                <w:rFonts w:hint="eastAsia" w:ascii="宋体" w:hAnsi="宋体" w:cs="宋体"/>
                <w:sz w:val="10"/>
                <w:szCs w:val="10"/>
              </w:rPr>
            </w:pPr>
          </w:p>
        </w:tc>
      </w:tr>
      <w:tr w14:paraId="2777C1D8">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5AC69218">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7</w:t>
            </w:r>
            <w:r>
              <w:rPr>
                <w:rStyle w:val="44"/>
                <w:rFonts w:hint="eastAsia" w:ascii="宋体" w:hAnsi="宋体" w:eastAsia="宋体" w:cs="宋体"/>
                <w:color w:val="auto"/>
                <w:lang w:val="en-US"/>
              </w:rPr>
              <w:t>.</w:t>
            </w:r>
            <w:r>
              <w:rPr>
                <w:rStyle w:val="44"/>
                <w:rFonts w:hint="eastAsia" w:ascii="宋体" w:hAnsi="宋体" w:eastAsia="宋体" w:cs="宋体"/>
                <w:color w:val="auto"/>
              </w:rPr>
              <w:t>路面基层</w:t>
            </w:r>
          </w:p>
        </w:tc>
        <w:tc>
          <w:tcPr>
            <w:tcW w:w="422" w:type="dxa"/>
            <w:tcBorders>
              <w:top w:val="single" w:color="auto" w:sz="4" w:space="0"/>
              <w:left w:val="single" w:color="auto" w:sz="4" w:space="0"/>
            </w:tcBorders>
            <w:shd w:val="clear" w:color="auto" w:fill="FFFFFF"/>
            <w:noWrap w:val="0"/>
            <w:vAlign w:val="top"/>
          </w:tcPr>
          <w:p w14:paraId="529A3B65">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27166344">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767DDCB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1F0528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29D9C5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D29FA2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50AE91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84DC1F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EA7C99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911E3F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814A77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E9F6FC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9C1A4C2">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175068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711177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937CB4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B8B9E9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0A15D6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0035ED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9A41B5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D02E1A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8A791D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C6AE5A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69D3C2E">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4276A595">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171C5139">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6E4455CE">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348C4285">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0105A83F">
            <w:pPr>
              <w:rPr>
                <w:rFonts w:hint="eastAsia" w:ascii="宋体" w:hAnsi="宋体" w:cs="宋体"/>
                <w:sz w:val="10"/>
                <w:szCs w:val="10"/>
              </w:rPr>
            </w:pPr>
          </w:p>
        </w:tc>
      </w:tr>
      <w:tr w14:paraId="7613E92B">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38E7ECDB">
            <w:pPr>
              <w:pStyle w:val="32"/>
              <w:shd w:val="clear" w:color="auto" w:fill="auto"/>
              <w:spacing w:before="0" w:line="240" w:lineRule="auto"/>
              <w:ind w:left="440" w:firstLine="0"/>
              <w:jc w:val="both"/>
              <w:rPr>
                <w:rFonts w:hint="eastAsia" w:ascii="宋体" w:hAnsi="宋体" w:eastAsia="宋体" w:cs="宋体"/>
              </w:rPr>
            </w:pPr>
            <w:r>
              <w:rPr>
                <w:rStyle w:val="45"/>
                <w:rFonts w:hint="eastAsia" w:ascii="宋体" w:hAnsi="宋体" w:eastAsia="宋体" w:cs="宋体"/>
                <w:color w:val="auto"/>
                <w:lang w:val="en-US"/>
              </w:rPr>
              <w:t>(1</w:t>
            </w:r>
            <w:r>
              <w:rPr>
                <w:rStyle w:val="47"/>
                <w:rFonts w:hint="eastAsia" w:ascii="宋体" w:hAnsi="宋体" w:eastAsia="宋体" w:cs="宋体"/>
                <w:color w:val="auto"/>
                <w:lang w:val="en-US"/>
              </w:rPr>
              <w:t>)</w:t>
            </w:r>
            <w:r>
              <w:rPr>
                <w:rStyle w:val="47"/>
                <w:rFonts w:hint="eastAsia" w:ascii="宋体" w:hAnsi="宋体" w:eastAsia="宋体" w:cs="宋体"/>
                <w:color w:val="auto"/>
              </w:rPr>
              <w:t>底基层</w:t>
            </w:r>
          </w:p>
        </w:tc>
        <w:tc>
          <w:tcPr>
            <w:tcW w:w="422" w:type="dxa"/>
            <w:tcBorders>
              <w:top w:val="single" w:color="auto" w:sz="4" w:space="0"/>
              <w:left w:val="single" w:color="auto" w:sz="4" w:space="0"/>
            </w:tcBorders>
            <w:shd w:val="clear" w:color="auto" w:fill="FFFFFF"/>
            <w:noWrap w:val="0"/>
            <w:vAlign w:val="top"/>
          </w:tcPr>
          <w:p w14:paraId="4FC63D60">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0830C3E9">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043A13B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F9E469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F03D150">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00A177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33F589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97D109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6D7AE0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EFD571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7D6FCB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DAD86F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6352762">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0F7455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860DD63">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BC9369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553FD0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8F49ED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321765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0B044C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ADFBD7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9CB863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9B2BA5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83F01C9">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30831C32">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60872822">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1222644D">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3C8FAC3F">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1DE9D15D">
            <w:pPr>
              <w:rPr>
                <w:rFonts w:hint="eastAsia" w:ascii="宋体" w:hAnsi="宋体" w:cs="宋体"/>
                <w:sz w:val="10"/>
                <w:szCs w:val="10"/>
              </w:rPr>
            </w:pPr>
          </w:p>
        </w:tc>
      </w:tr>
      <w:tr w14:paraId="5C8103DA">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64B1583D">
            <w:pPr>
              <w:pStyle w:val="32"/>
              <w:shd w:val="clear" w:color="auto" w:fill="auto"/>
              <w:spacing w:before="0" w:line="240" w:lineRule="auto"/>
              <w:ind w:left="440" w:firstLine="0"/>
              <w:jc w:val="both"/>
              <w:rPr>
                <w:rFonts w:hint="eastAsia" w:ascii="宋体" w:hAnsi="宋体" w:eastAsia="宋体" w:cs="宋体"/>
              </w:rPr>
            </w:pPr>
            <w:r>
              <w:rPr>
                <w:rStyle w:val="45"/>
                <w:rFonts w:hint="eastAsia" w:ascii="宋体" w:hAnsi="宋体" w:eastAsia="宋体" w:cs="宋体"/>
                <w:color w:val="auto"/>
                <w:lang w:val="en-US"/>
              </w:rPr>
              <w:t>(2</w:t>
            </w:r>
            <w:r>
              <w:rPr>
                <w:rStyle w:val="47"/>
                <w:rFonts w:hint="eastAsia" w:ascii="宋体" w:hAnsi="宋体" w:eastAsia="宋体" w:cs="宋体"/>
                <w:color w:val="auto"/>
                <w:lang w:val="en-US"/>
              </w:rPr>
              <w:t>)</w:t>
            </w:r>
            <w:r>
              <w:rPr>
                <w:rStyle w:val="47"/>
                <w:rFonts w:hint="eastAsia" w:ascii="宋体" w:hAnsi="宋体" w:eastAsia="宋体" w:cs="宋体"/>
                <w:color w:val="auto"/>
              </w:rPr>
              <w:t>基层</w:t>
            </w:r>
          </w:p>
        </w:tc>
        <w:tc>
          <w:tcPr>
            <w:tcW w:w="422" w:type="dxa"/>
            <w:tcBorders>
              <w:top w:val="single" w:color="auto" w:sz="4" w:space="0"/>
              <w:left w:val="single" w:color="auto" w:sz="4" w:space="0"/>
            </w:tcBorders>
            <w:shd w:val="clear" w:color="auto" w:fill="FFFFFF"/>
            <w:noWrap w:val="0"/>
            <w:vAlign w:val="top"/>
          </w:tcPr>
          <w:p w14:paraId="6DE095BB">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7B436100">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6DF30F0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069859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7CF42C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C1B9C7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20DBDA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F6BEF1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EFA53D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E11003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BDAD2D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AE437A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18F825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75F1A0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0CCB54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D5FB35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C28CA5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E9AB2B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759772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C8A904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938D1C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6A22D8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074D40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5B23314">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39C53F90">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6E80DE0C">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401A058C">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E48DFD5">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2061F885">
            <w:pPr>
              <w:rPr>
                <w:rFonts w:hint="eastAsia" w:ascii="宋体" w:hAnsi="宋体" w:cs="宋体"/>
                <w:sz w:val="10"/>
                <w:szCs w:val="10"/>
              </w:rPr>
            </w:pPr>
          </w:p>
        </w:tc>
      </w:tr>
      <w:tr w14:paraId="69B703AD">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58214AF7">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8</w:t>
            </w:r>
            <w:r>
              <w:rPr>
                <w:rStyle w:val="44"/>
                <w:rFonts w:hint="eastAsia" w:ascii="宋体" w:hAnsi="宋体" w:eastAsia="宋体" w:cs="宋体"/>
                <w:color w:val="auto"/>
                <w:lang w:val="en-US"/>
              </w:rPr>
              <w:t>.</w:t>
            </w:r>
            <w:r>
              <w:rPr>
                <w:rStyle w:val="44"/>
                <w:rFonts w:hint="eastAsia" w:ascii="宋体" w:hAnsi="宋体" w:eastAsia="宋体" w:cs="宋体"/>
                <w:color w:val="auto"/>
              </w:rPr>
              <w:t>路面铺筑</w:t>
            </w:r>
          </w:p>
        </w:tc>
        <w:tc>
          <w:tcPr>
            <w:tcW w:w="422" w:type="dxa"/>
            <w:tcBorders>
              <w:top w:val="single" w:color="auto" w:sz="4" w:space="0"/>
              <w:left w:val="single" w:color="auto" w:sz="4" w:space="0"/>
            </w:tcBorders>
            <w:shd w:val="clear" w:color="auto" w:fill="FFFFFF"/>
            <w:noWrap w:val="0"/>
            <w:vAlign w:val="top"/>
          </w:tcPr>
          <w:p w14:paraId="2A88ACC4">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09D2D6D2">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11E2BAC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9DCBC6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21A012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3C6D20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4B27E8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25EA35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885C51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C42CC5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695DD1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30D7BB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7AACB2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1281CA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FB85CD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8CFC5D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FF2FAF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36E674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E80A41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61B8CF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F6DB22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C0C60B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B5B1030">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A30C788">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0D9A4AFF">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75F80D1">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72A7F6A3">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6D39EA60">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26539439">
            <w:pPr>
              <w:rPr>
                <w:rFonts w:hint="eastAsia" w:ascii="宋体" w:hAnsi="宋体" w:cs="宋体"/>
                <w:sz w:val="10"/>
                <w:szCs w:val="10"/>
              </w:rPr>
            </w:pPr>
          </w:p>
        </w:tc>
      </w:tr>
      <w:tr w14:paraId="4EEC78E0">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21FBDDF4">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9</w:t>
            </w:r>
            <w:r>
              <w:rPr>
                <w:rStyle w:val="44"/>
                <w:rFonts w:hint="eastAsia" w:ascii="宋体" w:hAnsi="宋体" w:eastAsia="宋体" w:cs="宋体"/>
                <w:color w:val="auto"/>
                <w:lang w:val="en-US"/>
              </w:rPr>
              <w:t>.</w:t>
            </w:r>
            <w:r>
              <w:rPr>
                <w:rStyle w:val="44"/>
                <w:rFonts w:hint="eastAsia" w:ascii="宋体" w:hAnsi="宋体" w:eastAsia="宋体" w:cs="宋体"/>
                <w:color w:val="auto"/>
              </w:rPr>
              <w:t>路面标志标线</w:t>
            </w:r>
          </w:p>
        </w:tc>
        <w:tc>
          <w:tcPr>
            <w:tcW w:w="422" w:type="dxa"/>
            <w:tcBorders>
              <w:top w:val="single" w:color="auto" w:sz="4" w:space="0"/>
              <w:left w:val="single" w:color="auto" w:sz="4" w:space="0"/>
            </w:tcBorders>
            <w:shd w:val="clear" w:color="auto" w:fill="FFFFFF"/>
            <w:noWrap w:val="0"/>
            <w:vAlign w:val="top"/>
          </w:tcPr>
          <w:p w14:paraId="21321378">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29ACDDF9">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3B1EA0E0">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962204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20DD0C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C9E80F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D5DCFD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7B2809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01FF23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BFE013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3551E9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E44EA6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ED0647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6C1A47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3AF54B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D0F8B9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C6293D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87490F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725F1C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2BF29A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05D902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8E661E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7EC4A2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AB83E17">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2CD682F9">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DA1FC3F">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58CF7E1A">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15B67687">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7079BCB6">
            <w:pPr>
              <w:rPr>
                <w:rFonts w:hint="eastAsia" w:ascii="宋体" w:hAnsi="宋体" w:cs="宋体"/>
                <w:sz w:val="10"/>
                <w:szCs w:val="10"/>
              </w:rPr>
            </w:pPr>
          </w:p>
        </w:tc>
      </w:tr>
      <w:tr w14:paraId="067C22E2">
        <w:tblPrEx>
          <w:tblCellMar>
            <w:top w:w="0" w:type="dxa"/>
            <w:left w:w="10" w:type="dxa"/>
            <w:bottom w:w="0" w:type="dxa"/>
            <w:right w:w="10" w:type="dxa"/>
          </w:tblCellMar>
        </w:tblPrEx>
        <w:trPr>
          <w:trHeight w:val="336" w:hRule="exact"/>
          <w:jc w:val="center"/>
        </w:trPr>
        <w:tc>
          <w:tcPr>
            <w:tcW w:w="2424" w:type="dxa"/>
            <w:tcBorders>
              <w:top w:val="single" w:color="auto" w:sz="4" w:space="0"/>
              <w:left w:val="single" w:color="auto" w:sz="4" w:space="0"/>
            </w:tcBorders>
            <w:shd w:val="clear" w:color="auto" w:fill="FFFFFF"/>
            <w:noWrap w:val="0"/>
            <w:vAlign w:val="center"/>
          </w:tcPr>
          <w:p w14:paraId="7F66A9FF">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10</w:t>
            </w:r>
            <w:r>
              <w:rPr>
                <w:rStyle w:val="44"/>
                <w:rFonts w:hint="eastAsia" w:ascii="宋体" w:hAnsi="宋体" w:eastAsia="宋体" w:cs="宋体"/>
                <w:color w:val="auto"/>
                <w:lang w:val="en-US"/>
              </w:rPr>
              <w:t>.</w:t>
            </w:r>
            <w:r>
              <w:rPr>
                <w:rStyle w:val="44"/>
                <w:rFonts w:hint="eastAsia" w:ascii="宋体" w:hAnsi="宋体" w:eastAsia="宋体" w:cs="宋体"/>
                <w:color w:val="auto"/>
              </w:rPr>
              <w:t>桥梁工程</w:t>
            </w:r>
          </w:p>
        </w:tc>
        <w:tc>
          <w:tcPr>
            <w:tcW w:w="422" w:type="dxa"/>
            <w:tcBorders>
              <w:top w:val="single" w:color="auto" w:sz="4" w:space="0"/>
              <w:left w:val="single" w:color="auto" w:sz="4" w:space="0"/>
            </w:tcBorders>
            <w:shd w:val="clear" w:color="auto" w:fill="FFFFFF"/>
            <w:noWrap w:val="0"/>
            <w:vAlign w:val="top"/>
          </w:tcPr>
          <w:p w14:paraId="70BE5ABD">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1DA048BB">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1D3A95D1">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F8FE08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B0E5B7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51CE80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68062B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F6BD7B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1283AF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D9B949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0954AA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A5A9C3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539D551">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402285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EA77E3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292AF7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EE7703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07EC9A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66FF06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EBC921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F55F77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BD39B6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63DC88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B936073">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7BC72950">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7A9F0F37">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486BC5FA">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2EC637FA">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4DFDC8FB">
            <w:pPr>
              <w:rPr>
                <w:rFonts w:hint="eastAsia" w:ascii="宋体" w:hAnsi="宋体" w:cs="宋体"/>
                <w:sz w:val="10"/>
                <w:szCs w:val="10"/>
              </w:rPr>
            </w:pPr>
          </w:p>
        </w:tc>
      </w:tr>
      <w:tr w14:paraId="01F17179">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1F32C019">
            <w:pPr>
              <w:pStyle w:val="32"/>
              <w:shd w:val="clear" w:color="auto" w:fill="auto"/>
              <w:spacing w:before="0" w:line="240" w:lineRule="auto"/>
              <w:ind w:left="440" w:firstLine="0"/>
              <w:jc w:val="both"/>
              <w:rPr>
                <w:rFonts w:hint="eastAsia" w:ascii="宋体" w:hAnsi="宋体" w:eastAsia="宋体" w:cs="宋体"/>
              </w:rPr>
            </w:pPr>
            <w:r>
              <w:rPr>
                <w:rStyle w:val="45"/>
                <w:rFonts w:hint="eastAsia" w:ascii="宋体" w:hAnsi="宋体" w:eastAsia="宋体" w:cs="宋体"/>
                <w:color w:val="auto"/>
                <w:lang w:val="en-US"/>
              </w:rPr>
              <w:t>(1</w:t>
            </w:r>
            <w:r>
              <w:rPr>
                <w:rStyle w:val="47"/>
                <w:rFonts w:hint="eastAsia" w:ascii="宋体" w:hAnsi="宋体" w:eastAsia="宋体" w:cs="宋体"/>
                <w:color w:val="auto"/>
                <w:lang w:val="en-US"/>
              </w:rPr>
              <w:t>)</w:t>
            </w:r>
            <w:r>
              <w:rPr>
                <w:rStyle w:val="47"/>
                <w:rFonts w:hint="eastAsia" w:ascii="宋体" w:hAnsi="宋体" w:eastAsia="宋体" w:cs="宋体"/>
                <w:color w:val="auto"/>
              </w:rPr>
              <w:t>基础工程</w:t>
            </w:r>
          </w:p>
        </w:tc>
        <w:tc>
          <w:tcPr>
            <w:tcW w:w="422" w:type="dxa"/>
            <w:tcBorders>
              <w:top w:val="single" w:color="auto" w:sz="4" w:space="0"/>
              <w:left w:val="single" w:color="auto" w:sz="4" w:space="0"/>
            </w:tcBorders>
            <w:shd w:val="clear" w:color="auto" w:fill="FFFFFF"/>
            <w:noWrap w:val="0"/>
            <w:vAlign w:val="top"/>
          </w:tcPr>
          <w:p w14:paraId="406EE19B">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1328BF1E">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5032F040">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AA1F95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CE316C2">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60BDA1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5E54D0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62A6CB2">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C992F0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3666FA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744BD4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3C12CD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F5E0348">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35FDF9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F9E18F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95093B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45C4EB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3F7F7F3">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D46C12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4D6D18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472FB7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71911A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484C1E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75A6A14">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136D642C">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9269686">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4C6062DF">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28FAF775">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73C04577">
            <w:pPr>
              <w:rPr>
                <w:rFonts w:hint="eastAsia" w:ascii="宋体" w:hAnsi="宋体" w:cs="宋体"/>
                <w:sz w:val="10"/>
                <w:szCs w:val="10"/>
              </w:rPr>
            </w:pPr>
          </w:p>
        </w:tc>
      </w:tr>
      <w:tr w14:paraId="1B39FA24">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485CD579">
            <w:pPr>
              <w:pStyle w:val="32"/>
              <w:shd w:val="clear" w:color="auto" w:fill="auto"/>
              <w:spacing w:before="0" w:line="240" w:lineRule="auto"/>
              <w:ind w:left="440" w:firstLine="0"/>
              <w:jc w:val="both"/>
              <w:rPr>
                <w:rFonts w:hint="eastAsia" w:ascii="宋体" w:hAnsi="宋体" w:eastAsia="宋体" w:cs="宋体"/>
              </w:rPr>
            </w:pPr>
            <w:r>
              <w:rPr>
                <w:rStyle w:val="45"/>
                <w:rFonts w:hint="eastAsia" w:ascii="宋体" w:hAnsi="宋体" w:eastAsia="宋体" w:cs="宋体"/>
                <w:color w:val="auto"/>
                <w:lang w:val="en-US"/>
              </w:rPr>
              <w:t>(2</w:t>
            </w:r>
            <w:r>
              <w:rPr>
                <w:rStyle w:val="47"/>
                <w:rFonts w:hint="eastAsia" w:ascii="宋体" w:hAnsi="宋体" w:eastAsia="宋体" w:cs="宋体"/>
                <w:color w:val="auto"/>
                <w:lang w:val="en-US"/>
              </w:rPr>
              <w:t>)</w:t>
            </w:r>
            <w:r>
              <w:rPr>
                <w:rStyle w:val="47"/>
                <w:rFonts w:hint="eastAsia" w:ascii="宋体" w:hAnsi="宋体" w:eastAsia="宋体" w:cs="宋体"/>
                <w:color w:val="auto"/>
              </w:rPr>
              <w:t>墩台工程</w:t>
            </w:r>
          </w:p>
        </w:tc>
        <w:tc>
          <w:tcPr>
            <w:tcW w:w="422" w:type="dxa"/>
            <w:tcBorders>
              <w:top w:val="single" w:color="auto" w:sz="4" w:space="0"/>
              <w:left w:val="single" w:color="auto" w:sz="4" w:space="0"/>
            </w:tcBorders>
            <w:shd w:val="clear" w:color="auto" w:fill="FFFFFF"/>
            <w:noWrap w:val="0"/>
            <w:vAlign w:val="top"/>
          </w:tcPr>
          <w:p w14:paraId="2FC680AE">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7878C61C">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4B5324A2">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7437E7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7540D0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BD3421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DA2F17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D1DB33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0DD7AD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1DFF70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49404E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1C83AB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6B3235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B74DA4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4A27F75">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101B78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9C7FC7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928DF6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4C24D09">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6D499C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1DF777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714871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41E2843">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2F15F88">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38676843">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6E462048">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775E446A">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5DE52899">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57DC83A0">
            <w:pPr>
              <w:rPr>
                <w:rFonts w:hint="eastAsia" w:ascii="宋体" w:hAnsi="宋体" w:cs="宋体"/>
                <w:sz w:val="10"/>
                <w:szCs w:val="10"/>
              </w:rPr>
            </w:pPr>
          </w:p>
        </w:tc>
      </w:tr>
      <w:tr w14:paraId="1A636476">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2D71E229">
            <w:pPr>
              <w:pStyle w:val="32"/>
              <w:shd w:val="clear" w:color="auto" w:fill="auto"/>
              <w:spacing w:before="0" w:line="240" w:lineRule="auto"/>
              <w:ind w:left="440" w:firstLine="0"/>
              <w:jc w:val="both"/>
              <w:rPr>
                <w:rFonts w:hint="eastAsia" w:ascii="宋体" w:hAnsi="宋体" w:eastAsia="宋体" w:cs="宋体"/>
              </w:rPr>
            </w:pPr>
            <w:r>
              <w:rPr>
                <w:rStyle w:val="45"/>
                <w:rFonts w:hint="eastAsia" w:ascii="宋体" w:hAnsi="宋体" w:eastAsia="宋体" w:cs="宋体"/>
                <w:color w:val="auto"/>
                <w:lang w:val="en-US"/>
              </w:rPr>
              <w:t>(3</w:t>
            </w:r>
            <w:r>
              <w:rPr>
                <w:rStyle w:val="47"/>
                <w:rFonts w:hint="eastAsia" w:ascii="宋体" w:hAnsi="宋体" w:eastAsia="宋体" w:cs="宋体"/>
                <w:color w:val="auto"/>
                <w:lang w:val="en-US"/>
              </w:rPr>
              <w:t>)</w:t>
            </w:r>
            <w:r>
              <w:rPr>
                <w:rStyle w:val="47"/>
                <w:rFonts w:hint="eastAsia" w:ascii="宋体" w:hAnsi="宋体" w:eastAsia="宋体" w:cs="宋体"/>
                <w:color w:val="auto"/>
              </w:rPr>
              <w:t>梁体工程</w:t>
            </w:r>
          </w:p>
        </w:tc>
        <w:tc>
          <w:tcPr>
            <w:tcW w:w="422" w:type="dxa"/>
            <w:tcBorders>
              <w:top w:val="single" w:color="auto" w:sz="4" w:space="0"/>
              <w:left w:val="single" w:color="auto" w:sz="4" w:space="0"/>
            </w:tcBorders>
            <w:shd w:val="clear" w:color="auto" w:fill="FFFFFF"/>
            <w:noWrap w:val="0"/>
            <w:vAlign w:val="top"/>
          </w:tcPr>
          <w:p w14:paraId="4D4D725B">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71A8A78B">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7BF81AC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A281DA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D4E5F5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4B164A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24E4C8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42615D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F6F1CB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1665BC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150A51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D40550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1DAAD4F">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9522DCC">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6B9335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050B53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5AF808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7ED0677">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5DC1337">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8CED040">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987C37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B2175BA">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BAE0F30">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F47FB96">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00442FEE">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1C2A795E">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17A17B46">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F85A872">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10E1FC3C">
            <w:pPr>
              <w:rPr>
                <w:rFonts w:hint="eastAsia" w:ascii="宋体" w:hAnsi="宋体" w:cs="宋体"/>
                <w:sz w:val="10"/>
                <w:szCs w:val="10"/>
              </w:rPr>
            </w:pPr>
          </w:p>
        </w:tc>
      </w:tr>
      <w:tr w14:paraId="3FEBCCFB">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1D2CFFF2">
            <w:pPr>
              <w:pStyle w:val="32"/>
              <w:shd w:val="clear" w:color="auto" w:fill="auto"/>
              <w:spacing w:before="0" w:line="240" w:lineRule="auto"/>
              <w:ind w:left="440" w:firstLine="0"/>
              <w:jc w:val="both"/>
              <w:rPr>
                <w:rFonts w:hint="eastAsia" w:ascii="宋体" w:hAnsi="宋体" w:eastAsia="宋体" w:cs="宋体"/>
              </w:rPr>
            </w:pPr>
            <w:r>
              <w:rPr>
                <w:rStyle w:val="45"/>
                <w:rFonts w:hint="eastAsia" w:ascii="宋体" w:hAnsi="宋体" w:eastAsia="宋体" w:cs="宋体"/>
                <w:color w:val="auto"/>
                <w:lang w:val="en-US"/>
              </w:rPr>
              <w:t>(4</w:t>
            </w:r>
            <w:r>
              <w:rPr>
                <w:rStyle w:val="47"/>
                <w:rFonts w:hint="eastAsia" w:ascii="宋体" w:hAnsi="宋体" w:eastAsia="宋体" w:cs="宋体"/>
                <w:color w:val="auto"/>
                <w:lang w:val="en-US"/>
              </w:rPr>
              <w:t>)</w:t>
            </w:r>
            <w:r>
              <w:rPr>
                <w:rStyle w:val="47"/>
                <w:rFonts w:hint="eastAsia" w:ascii="宋体" w:hAnsi="宋体" w:eastAsia="宋体" w:cs="宋体"/>
                <w:color w:val="auto"/>
              </w:rPr>
              <w:t>梁体安装</w:t>
            </w:r>
          </w:p>
        </w:tc>
        <w:tc>
          <w:tcPr>
            <w:tcW w:w="422" w:type="dxa"/>
            <w:tcBorders>
              <w:top w:val="single" w:color="auto" w:sz="4" w:space="0"/>
              <w:left w:val="single" w:color="auto" w:sz="4" w:space="0"/>
            </w:tcBorders>
            <w:shd w:val="clear" w:color="auto" w:fill="FFFFFF"/>
            <w:noWrap w:val="0"/>
            <w:vAlign w:val="top"/>
          </w:tcPr>
          <w:p w14:paraId="6D77D2F6">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128BFBE3">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49D5DA7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5C545E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43F6993">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81950B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2FEE7B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58669C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23D057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84B67B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43CC08D">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D7572A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A7C295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3CDCC7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E088B51">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585F62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3A8FFC4">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05BC8321">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DC6CFA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09F92C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4BD234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16F10B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97B026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BAFF8BC">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4195B37B">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76D39010">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7B7E5B1E">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4FA52692">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299B2DC6">
            <w:pPr>
              <w:rPr>
                <w:rFonts w:hint="eastAsia" w:ascii="宋体" w:hAnsi="宋体" w:cs="宋体"/>
                <w:sz w:val="10"/>
                <w:szCs w:val="10"/>
              </w:rPr>
            </w:pPr>
          </w:p>
        </w:tc>
      </w:tr>
      <w:tr w14:paraId="308E7108">
        <w:tblPrEx>
          <w:tblCellMar>
            <w:top w:w="0" w:type="dxa"/>
            <w:left w:w="10" w:type="dxa"/>
            <w:bottom w:w="0" w:type="dxa"/>
            <w:right w:w="10" w:type="dxa"/>
          </w:tblCellMar>
        </w:tblPrEx>
        <w:trPr>
          <w:trHeight w:val="341" w:hRule="exact"/>
          <w:jc w:val="center"/>
        </w:trPr>
        <w:tc>
          <w:tcPr>
            <w:tcW w:w="2424" w:type="dxa"/>
            <w:tcBorders>
              <w:top w:val="single" w:color="auto" w:sz="4" w:space="0"/>
              <w:left w:val="single" w:color="auto" w:sz="4" w:space="0"/>
            </w:tcBorders>
            <w:shd w:val="clear" w:color="auto" w:fill="FFFFFF"/>
            <w:noWrap w:val="0"/>
            <w:vAlign w:val="center"/>
          </w:tcPr>
          <w:p w14:paraId="1EC8B5C3">
            <w:pPr>
              <w:pStyle w:val="32"/>
              <w:shd w:val="clear" w:color="auto" w:fill="auto"/>
              <w:spacing w:before="0" w:line="240" w:lineRule="auto"/>
              <w:ind w:left="440" w:firstLine="0"/>
              <w:jc w:val="both"/>
              <w:rPr>
                <w:rFonts w:hint="eastAsia" w:ascii="宋体" w:hAnsi="宋体" w:eastAsia="宋体" w:cs="宋体"/>
              </w:rPr>
            </w:pPr>
            <w:r>
              <w:rPr>
                <w:rStyle w:val="45"/>
                <w:rFonts w:hint="eastAsia" w:ascii="宋体" w:hAnsi="宋体" w:eastAsia="宋体" w:cs="宋体"/>
                <w:color w:val="auto"/>
                <w:lang w:val="en-US"/>
              </w:rPr>
              <w:t>(5</w:t>
            </w:r>
            <w:r>
              <w:rPr>
                <w:rStyle w:val="44"/>
                <w:rFonts w:hint="eastAsia" w:ascii="宋体" w:hAnsi="宋体" w:eastAsia="宋体" w:cs="宋体"/>
                <w:color w:val="auto"/>
                <w:lang w:val="en-US"/>
              </w:rPr>
              <w:t>)</w:t>
            </w:r>
            <w:r>
              <w:rPr>
                <w:rStyle w:val="44"/>
                <w:rFonts w:hint="eastAsia" w:ascii="宋体" w:hAnsi="宋体" w:eastAsia="宋体" w:cs="宋体"/>
                <w:color w:val="auto"/>
              </w:rPr>
              <w:t>桥面铺装及人行道</w:t>
            </w:r>
          </w:p>
        </w:tc>
        <w:tc>
          <w:tcPr>
            <w:tcW w:w="422" w:type="dxa"/>
            <w:tcBorders>
              <w:top w:val="single" w:color="auto" w:sz="4" w:space="0"/>
              <w:left w:val="single" w:color="auto" w:sz="4" w:space="0"/>
            </w:tcBorders>
            <w:shd w:val="clear" w:color="auto" w:fill="FFFFFF"/>
            <w:noWrap w:val="0"/>
            <w:vAlign w:val="top"/>
          </w:tcPr>
          <w:p w14:paraId="1D01977F">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0BAF2DCC">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7F2D183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62BBE0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302EEB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0ADCB12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B5BB5AE">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A685A1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3786651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61B1FC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422F5D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0A2437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5A005F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D036AA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CB07C3B">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B565952">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AA23685">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5F9489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2DAFF4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A7899E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A1E2A9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8007B9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52D92F6">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8053E79">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3AB8658E">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74D5DC5F">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0E022745">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6826B857">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3F781A0C">
            <w:pPr>
              <w:rPr>
                <w:rFonts w:hint="eastAsia" w:ascii="宋体" w:hAnsi="宋体" w:cs="宋体"/>
                <w:sz w:val="10"/>
                <w:szCs w:val="10"/>
              </w:rPr>
            </w:pPr>
          </w:p>
        </w:tc>
      </w:tr>
      <w:tr w14:paraId="27030AF9">
        <w:tblPrEx>
          <w:tblCellMar>
            <w:top w:w="0" w:type="dxa"/>
            <w:left w:w="10" w:type="dxa"/>
            <w:bottom w:w="0" w:type="dxa"/>
            <w:right w:w="10" w:type="dxa"/>
          </w:tblCellMar>
        </w:tblPrEx>
        <w:trPr>
          <w:trHeight w:val="336" w:hRule="exact"/>
          <w:jc w:val="center"/>
        </w:trPr>
        <w:tc>
          <w:tcPr>
            <w:tcW w:w="2424" w:type="dxa"/>
            <w:tcBorders>
              <w:top w:val="single" w:color="auto" w:sz="4" w:space="0"/>
              <w:left w:val="single" w:color="auto" w:sz="4" w:space="0"/>
            </w:tcBorders>
            <w:shd w:val="clear" w:color="auto" w:fill="FFFFFF"/>
            <w:noWrap w:val="0"/>
            <w:vAlign w:val="center"/>
          </w:tcPr>
          <w:p w14:paraId="10D6A86E">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11</w:t>
            </w:r>
            <w:r>
              <w:rPr>
                <w:rStyle w:val="44"/>
                <w:rFonts w:hint="eastAsia" w:ascii="宋体" w:hAnsi="宋体" w:eastAsia="宋体" w:cs="宋体"/>
                <w:color w:val="auto"/>
                <w:lang w:val="en-US"/>
              </w:rPr>
              <w:t>.</w:t>
            </w:r>
            <w:r>
              <w:rPr>
                <w:rStyle w:val="44"/>
                <w:rFonts w:hint="eastAsia" w:ascii="宋体" w:hAnsi="宋体" w:eastAsia="宋体" w:cs="宋体"/>
                <w:color w:val="auto"/>
              </w:rPr>
              <w:t>隧道</w:t>
            </w:r>
          </w:p>
        </w:tc>
        <w:tc>
          <w:tcPr>
            <w:tcW w:w="422" w:type="dxa"/>
            <w:tcBorders>
              <w:top w:val="single" w:color="auto" w:sz="4" w:space="0"/>
              <w:left w:val="single" w:color="auto" w:sz="4" w:space="0"/>
            </w:tcBorders>
            <w:shd w:val="clear" w:color="auto" w:fill="FFFFFF"/>
            <w:noWrap w:val="0"/>
            <w:vAlign w:val="top"/>
          </w:tcPr>
          <w:p w14:paraId="460EB734">
            <w:pPr>
              <w:rPr>
                <w:rFonts w:hint="eastAsia" w:ascii="宋体" w:hAnsi="宋体" w:cs="宋体"/>
                <w:sz w:val="10"/>
                <w:szCs w:val="10"/>
              </w:rPr>
            </w:pPr>
          </w:p>
        </w:tc>
        <w:tc>
          <w:tcPr>
            <w:tcW w:w="427" w:type="dxa"/>
            <w:tcBorders>
              <w:top w:val="single" w:color="auto" w:sz="4" w:space="0"/>
              <w:left w:val="single" w:color="auto" w:sz="4" w:space="0"/>
            </w:tcBorders>
            <w:shd w:val="clear" w:color="auto" w:fill="FFFFFF"/>
            <w:noWrap w:val="0"/>
            <w:vAlign w:val="top"/>
          </w:tcPr>
          <w:p w14:paraId="046BA6A0">
            <w:pPr>
              <w:rPr>
                <w:rFonts w:hint="eastAsia" w:ascii="宋体" w:hAnsi="宋体" w:cs="宋体"/>
                <w:sz w:val="10"/>
                <w:szCs w:val="10"/>
              </w:rPr>
            </w:pPr>
          </w:p>
        </w:tc>
        <w:tc>
          <w:tcPr>
            <w:tcW w:w="422" w:type="dxa"/>
            <w:tcBorders>
              <w:top w:val="single" w:color="auto" w:sz="4" w:space="0"/>
              <w:left w:val="single" w:color="auto" w:sz="4" w:space="0"/>
            </w:tcBorders>
            <w:shd w:val="clear" w:color="auto" w:fill="FFFFFF"/>
            <w:noWrap w:val="0"/>
            <w:vAlign w:val="top"/>
          </w:tcPr>
          <w:p w14:paraId="19EA707C">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21AD8858">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FC3DDD2">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8B0D1A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19AE189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729D5A53">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42DDB6B1">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D3C85F4">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596286B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3DBB421B">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6A31C1A">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77DB041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5C9980FD">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E776A60">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AC04256">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668D62C0">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3FC084F">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2248A90E">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187DC18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DD373F3">
            <w:pPr>
              <w:rPr>
                <w:rFonts w:hint="eastAsia" w:ascii="宋体" w:hAnsi="宋体" w:cs="宋体"/>
                <w:sz w:val="10"/>
                <w:szCs w:val="10"/>
              </w:rPr>
            </w:pPr>
          </w:p>
        </w:tc>
        <w:tc>
          <w:tcPr>
            <w:tcW w:w="422" w:type="dxa"/>
            <w:tcBorders>
              <w:top w:val="single" w:color="auto" w:sz="4" w:space="0"/>
              <w:left w:val="single" w:color="auto" w:sz="4" w:space="0"/>
            </w:tcBorders>
            <w:noWrap w:val="0"/>
            <w:vAlign w:val="top"/>
          </w:tcPr>
          <w:p w14:paraId="4DB32C99">
            <w:pPr>
              <w:rPr>
                <w:rFonts w:hint="eastAsia" w:ascii="宋体" w:hAnsi="宋体" w:cs="宋体"/>
                <w:sz w:val="10"/>
                <w:szCs w:val="10"/>
              </w:rPr>
            </w:pPr>
          </w:p>
        </w:tc>
        <w:tc>
          <w:tcPr>
            <w:tcW w:w="427" w:type="dxa"/>
            <w:tcBorders>
              <w:top w:val="single" w:color="auto" w:sz="4" w:space="0"/>
              <w:left w:val="single" w:color="auto" w:sz="4" w:space="0"/>
            </w:tcBorders>
            <w:noWrap w:val="0"/>
            <w:vAlign w:val="top"/>
          </w:tcPr>
          <w:p w14:paraId="6800628D">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5544E335">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004FC5F4">
            <w:pPr>
              <w:rPr>
                <w:rFonts w:hint="eastAsia" w:ascii="宋体" w:hAnsi="宋体" w:cs="宋体"/>
                <w:sz w:val="10"/>
                <w:szCs w:val="10"/>
              </w:rPr>
            </w:pPr>
          </w:p>
        </w:tc>
        <w:tc>
          <w:tcPr>
            <w:tcW w:w="355" w:type="dxa"/>
            <w:tcBorders>
              <w:top w:val="single" w:color="auto" w:sz="4" w:space="0"/>
              <w:left w:val="single" w:color="auto" w:sz="4" w:space="0"/>
            </w:tcBorders>
            <w:noWrap w:val="0"/>
            <w:vAlign w:val="top"/>
          </w:tcPr>
          <w:p w14:paraId="601CFE38">
            <w:pPr>
              <w:rPr>
                <w:rFonts w:hint="eastAsia" w:ascii="宋体" w:hAnsi="宋体" w:cs="宋体"/>
                <w:sz w:val="10"/>
                <w:szCs w:val="10"/>
              </w:rPr>
            </w:pPr>
          </w:p>
        </w:tc>
        <w:tc>
          <w:tcPr>
            <w:tcW w:w="360" w:type="dxa"/>
            <w:tcBorders>
              <w:top w:val="single" w:color="auto" w:sz="4" w:space="0"/>
              <w:left w:val="single" w:color="auto" w:sz="4" w:space="0"/>
            </w:tcBorders>
            <w:noWrap w:val="0"/>
            <w:vAlign w:val="top"/>
          </w:tcPr>
          <w:p w14:paraId="7392D56E">
            <w:pPr>
              <w:rPr>
                <w:rFonts w:hint="eastAsia" w:ascii="宋体" w:hAnsi="宋体" w:cs="宋体"/>
                <w:sz w:val="10"/>
                <w:szCs w:val="10"/>
              </w:rPr>
            </w:pPr>
          </w:p>
        </w:tc>
        <w:tc>
          <w:tcPr>
            <w:tcW w:w="365" w:type="dxa"/>
            <w:tcBorders>
              <w:top w:val="single" w:color="auto" w:sz="4" w:space="0"/>
              <w:left w:val="single" w:color="auto" w:sz="4" w:space="0"/>
              <w:right w:val="single" w:color="auto" w:sz="4" w:space="0"/>
            </w:tcBorders>
            <w:noWrap w:val="0"/>
            <w:vAlign w:val="top"/>
          </w:tcPr>
          <w:p w14:paraId="533829EB">
            <w:pPr>
              <w:rPr>
                <w:rFonts w:hint="eastAsia" w:ascii="宋体" w:hAnsi="宋体" w:cs="宋体"/>
                <w:sz w:val="10"/>
                <w:szCs w:val="10"/>
              </w:rPr>
            </w:pPr>
          </w:p>
        </w:tc>
      </w:tr>
      <w:tr w14:paraId="04D3F281">
        <w:tblPrEx>
          <w:tblCellMar>
            <w:top w:w="0" w:type="dxa"/>
            <w:left w:w="10" w:type="dxa"/>
            <w:bottom w:w="0" w:type="dxa"/>
            <w:right w:w="10" w:type="dxa"/>
          </w:tblCellMar>
        </w:tblPrEx>
        <w:trPr>
          <w:trHeight w:val="350" w:hRule="exact"/>
          <w:jc w:val="center"/>
        </w:trPr>
        <w:tc>
          <w:tcPr>
            <w:tcW w:w="2424" w:type="dxa"/>
            <w:tcBorders>
              <w:top w:val="single" w:color="auto" w:sz="4" w:space="0"/>
              <w:left w:val="single" w:color="auto" w:sz="4" w:space="0"/>
              <w:bottom w:val="single" w:color="auto" w:sz="4" w:space="0"/>
            </w:tcBorders>
            <w:shd w:val="clear" w:color="auto" w:fill="FFFFFF"/>
            <w:noWrap w:val="0"/>
            <w:vAlign w:val="center"/>
          </w:tcPr>
          <w:p w14:paraId="39FAAB63">
            <w:pPr>
              <w:pStyle w:val="32"/>
              <w:shd w:val="clear" w:color="auto" w:fill="auto"/>
              <w:spacing w:before="0" w:line="170" w:lineRule="exact"/>
              <w:ind w:left="80" w:firstLine="0"/>
              <w:jc w:val="both"/>
              <w:rPr>
                <w:rFonts w:hint="eastAsia" w:ascii="宋体" w:hAnsi="宋体" w:eastAsia="宋体" w:cs="宋体"/>
              </w:rPr>
            </w:pPr>
            <w:r>
              <w:rPr>
                <w:rStyle w:val="45"/>
                <w:rFonts w:hint="eastAsia" w:ascii="宋体" w:hAnsi="宋体" w:eastAsia="宋体" w:cs="宋体"/>
                <w:color w:val="auto"/>
                <w:lang w:val="en-US"/>
              </w:rPr>
              <w:t>12</w:t>
            </w:r>
            <w:r>
              <w:rPr>
                <w:rStyle w:val="44"/>
                <w:rFonts w:hint="eastAsia" w:ascii="宋体" w:hAnsi="宋体" w:eastAsia="宋体" w:cs="宋体"/>
                <w:color w:val="auto"/>
                <w:lang w:val="en-US"/>
              </w:rPr>
              <w:t>.</w:t>
            </w:r>
            <w:r>
              <w:rPr>
                <w:rStyle w:val="44"/>
                <w:rFonts w:hint="eastAsia" w:ascii="宋体" w:hAnsi="宋体" w:eastAsia="宋体" w:cs="宋体"/>
                <w:color w:val="auto"/>
              </w:rPr>
              <w:t>其他</w:t>
            </w:r>
          </w:p>
        </w:tc>
        <w:tc>
          <w:tcPr>
            <w:tcW w:w="422" w:type="dxa"/>
            <w:tcBorders>
              <w:top w:val="single" w:color="auto" w:sz="4" w:space="0"/>
              <w:left w:val="single" w:color="auto" w:sz="4" w:space="0"/>
              <w:bottom w:val="single" w:color="auto" w:sz="4" w:space="0"/>
            </w:tcBorders>
            <w:shd w:val="clear" w:color="auto" w:fill="FFFFFF"/>
            <w:noWrap w:val="0"/>
            <w:vAlign w:val="top"/>
          </w:tcPr>
          <w:p w14:paraId="6BA7D110">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shd w:val="clear" w:color="auto" w:fill="FFFFFF"/>
            <w:noWrap w:val="0"/>
            <w:vAlign w:val="top"/>
          </w:tcPr>
          <w:p w14:paraId="4D2F0927">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shd w:val="clear" w:color="auto" w:fill="FFFFFF"/>
            <w:noWrap w:val="0"/>
            <w:vAlign w:val="top"/>
          </w:tcPr>
          <w:p w14:paraId="507A11E9">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7D5C8C99">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0BB95234">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78EE660E">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1B60F7A1">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63CAC38B">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1FF83656">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5CF8F624">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7D6F97B1">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49BEEC9D">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34EF08BB">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3FF71F98">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449D5A2A">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55994D99">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43A9F867">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2733459C">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39629774">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09E6C610">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6F41C68A">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46B86A1C">
            <w:pPr>
              <w:rPr>
                <w:rFonts w:hint="eastAsia" w:ascii="宋体" w:hAnsi="宋体" w:cs="宋体"/>
                <w:sz w:val="10"/>
                <w:szCs w:val="10"/>
              </w:rPr>
            </w:pPr>
          </w:p>
        </w:tc>
        <w:tc>
          <w:tcPr>
            <w:tcW w:w="422" w:type="dxa"/>
            <w:tcBorders>
              <w:top w:val="single" w:color="auto" w:sz="4" w:space="0"/>
              <w:left w:val="single" w:color="auto" w:sz="4" w:space="0"/>
              <w:bottom w:val="single" w:color="auto" w:sz="4" w:space="0"/>
            </w:tcBorders>
            <w:noWrap w:val="0"/>
            <w:vAlign w:val="top"/>
          </w:tcPr>
          <w:p w14:paraId="7A7FE3A9">
            <w:pPr>
              <w:rPr>
                <w:rFonts w:hint="eastAsia" w:ascii="宋体" w:hAnsi="宋体" w:cs="宋体"/>
                <w:sz w:val="10"/>
                <w:szCs w:val="10"/>
              </w:rPr>
            </w:pPr>
          </w:p>
        </w:tc>
        <w:tc>
          <w:tcPr>
            <w:tcW w:w="427" w:type="dxa"/>
            <w:tcBorders>
              <w:top w:val="single" w:color="auto" w:sz="4" w:space="0"/>
              <w:left w:val="single" w:color="auto" w:sz="4" w:space="0"/>
              <w:bottom w:val="single" w:color="auto" w:sz="4" w:space="0"/>
            </w:tcBorders>
            <w:noWrap w:val="0"/>
            <w:vAlign w:val="top"/>
          </w:tcPr>
          <w:p w14:paraId="0CD8107F">
            <w:pPr>
              <w:rPr>
                <w:rFonts w:hint="eastAsia" w:ascii="宋体" w:hAnsi="宋体" w:cs="宋体"/>
                <w:sz w:val="10"/>
                <w:szCs w:val="10"/>
              </w:rPr>
            </w:pPr>
          </w:p>
        </w:tc>
        <w:tc>
          <w:tcPr>
            <w:tcW w:w="355" w:type="dxa"/>
            <w:tcBorders>
              <w:top w:val="single" w:color="auto" w:sz="4" w:space="0"/>
              <w:left w:val="single" w:color="auto" w:sz="4" w:space="0"/>
              <w:bottom w:val="single" w:color="auto" w:sz="4" w:space="0"/>
            </w:tcBorders>
            <w:noWrap w:val="0"/>
            <w:vAlign w:val="top"/>
          </w:tcPr>
          <w:p w14:paraId="64446534">
            <w:pPr>
              <w:rPr>
                <w:rFonts w:hint="eastAsia" w:ascii="宋体" w:hAnsi="宋体" w:cs="宋体"/>
                <w:sz w:val="10"/>
                <w:szCs w:val="10"/>
              </w:rPr>
            </w:pPr>
          </w:p>
        </w:tc>
        <w:tc>
          <w:tcPr>
            <w:tcW w:w="360" w:type="dxa"/>
            <w:tcBorders>
              <w:top w:val="single" w:color="auto" w:sz="4" w:space="0"/>
              <w:left w:val="single" w:color="auto" w:sz="4" w:space="0"/>
              <w:bottom w:val="single" w:color="auto" w:sz="4" w:space="0"/>
            </w:tcBorders>
            <w:noWrap w:val="0"/>
            <w:vAlign w:val="top"/>
          </w:tcPr>
          <w:p w14:paraId="770B337C">
            <w:pPr>
              <w:rPr>
                <w:rFonts w:hint="eastAsia" w:ascii="宋体" w:hAnsi="宋体" w:cs="宋体"/>
                <w:sz w:val="10"/>
                <w:szCs w:val="10"/>
              </w:rPr>
            </w:pPr>
          </w:p>
        </w:tc>
        <w:tc>
          <w:tcPr>
            <w:tcW w:w="355" w:type="dxa"/>
            <w:tcBorders>
              <w:top w:val="single" w:color="auto" w:sz="4" w:space="0"/>
              <w:left w:val="single" w:color="auto" w:sz="4" w:space="0"/>
              <w:bottom w:val="single" w:color="auto" w:sz="4" w:space="0"/>
            </w:tcBorders>
            <w:noWrap w:val="0"/>
            <w:vAlign w:val="top"/>
          </w:tcPr>
          <w:p w14:paraId="41114159">
            <w:pPr>
              <w:rPr>
                <w:rFonts w:hint="eastAsia" w:ascii="宋体" w:hAnsi="宋体" w:cs="宋体"/>
                <w:sz w:val="10"/>
                <w:szCs w:val="10"/>
              </w:rPr>
            </w:pPr>
          </w:p>
        </w:tc>
        <w:tc>
          <w:tcPr>
            <w:tcW w:w="360" w:type="dxa"/>
            <w:tcBorders>
              <w:top w:val="single" w:color="auto" w:sz="4" w:space="0"/>
              <w:left w:val="single" w:color="auto" w:sz="4" w:space="0"/>
              <w:bottom w:val="single" w:color="auto" w:sz="4" w:space="0"/>
            </w:tcBorders>
            <w:noWrap w:val="0"/>
            <w:vAlign w:val="top"/>
          </w:tcPr>
          <w:p w14:paraId="6DA73074">
            <w:pPr>
              <w:rPr>
                <w:rFonts w:hint="eastAsia" w:ascii="宋体" w:hAnsi="宋体" w:cs="宋体"/>
                <w:sz w:val="10"/>
                <w:szCs w:val="10"/>
              </w:rPr>
            </w:pPr>
          </w:p>
        </w:tc>
        <w:tc>
          <w:tcPr>
            <w:tcW w:w="365" w:type="dxa"/>
            <w:tcBorders>
              <w:top w:val="single" w:color="auto" w:sz="4" w:space="0"/>
              <w:left w:val="single" w:color="auto" w:sz="4" w:space="0"/>
              <w:bottom w:val="single" w:color="auto" w:sz="4" w:space="0"/>
              <w:right w:val="single" w:color="auto" w:sz="4" w:space="0"/>
            </w:tcBorders>
            <w:noWrap w:val="0"/>
            <w:vAlign w:val="top"/>
          </w:tcPr>
          <w:p w14:paraId="357BAAB1">
            <w:pPr>
              <w:rPr>
                <w:rFonts w:hint="eastAsia" w:ascii="宋体" w:hAnsi="宋体" w:cs="宋体"/>
                <w:sz w:val="10"/>
                <w:szCs w:val="10"/>
              </w:rPr>
            </w:pPr>
          </w:p>
        </w:tc>
      </w:tr>
    </w:tbl>
    <w:p w14:paraId="2D73395A">
      <w:pPr>
        <w:pStyle w:val="43"/>
        <w:shd w:val="clear" w:color="auto" w:fill="auto"/>
        <w:spacing w:after="420" w:line="300" w:lineRule="exact"/>
        <w:ind w:left="340"/>
        <w:jc w:val="left"/>
        <w:rPr>
          <w:rStyle w:val="48"/>
          <w:rFonts w:hint="eastAsia" w:ascii="宋体" w:hAnsi="宋体" w:eastAsia="宋体" w:cs="宋体"/>
          <w:color w:val="auto"/>
          <w:sz w:val="18"/>
          <w:szCs w:val="18"/>
        </w:rPr>
      </w:pPr>
      <w:bookmarkStart w:id="601" w:name="bookmark563"/>
      <w:bookmarkStart w:id="602" w:name="bookmark564"/>
      <w:r>
        <w:rPr>
          <w:rStyle w:val="48"/>
          <w:rFonts w:hint="eastAsia" w:ascii="宋体" w:hAnsi="宋体" w:eastAsia="宋体" w:cs="宋体"/>
          <w:color w:val="auto"/>
          <w:sz w:val="18"/>
          <w:szCs w:val="18"/>
        </w:rPr>
        <w:t>注：本表可根据项目情况自行调整</w:t>
      </w:r>
    </w:p>
    <w:p w14:paraId="64A2966E">
      <w:pPr>
        <w:pStyle w:val="43"/>
        <w:shd w:val="clear" w:color="auto" w:fill="auto"/>
        <w:spacing w:after="424" w:line="240" w:lineRule="auto"/>
        <w:jc w:val="left"/>
        <w:outlineLvl w:val="9"/>
        <w:rPr>
          <w:rFonts w:hint="eastAsia" w:ascii="宋体" w:hAnsi="宋体" w:eastAsia="宋体" w:cs="宋体"/>
        </w:rPr>
      </w:pPr>
      <w:r>
        <w:rPr>
          <w:rFonts w:hint="eastAsia" w:ascii="宋体" w:hAnsi="宋体" w:eastAsia="宋体" w:cs="宋体"/>
        </w:rPr>
        <w:br w:type="page"/>
      </w:r>
      <w:bookmarkStart w:id="603" w:name="_Toc13241"/>
      <w:bookmarkStart w:id="604" w:name="_Toc28100"/>
      <w:r>
        <w:rPr>
          <w:rFonts w:hint="eastAsia" w:ascii="宋体" w:hAnsi="宋体" w:eastAsia="宋体" w:cs="宋体"/>
        </w:rPr>
        <w:t>附表二  分项工程进度率计划（斜率图)</w:t>
      </w:r>
      <w:bookmarkEnd w:id="601"/>
      <w:bookmarkEnd w:id="602"/>
      <w:bookmarkEnd w:id="603"/>
      <w:bookmarkEnd w:id="604"/>
    </w:p>
    <w:tbl>
      <w:tblPr>
        <w:tblStyle w:val="29"/>
        <w:tblW w:w="0" w:type="auto"/>
        <w:tblInd w:w="0" w:type="dxa"/>
        <w:tblLayout w:type="fixed"/>
        <w:tblCellMar>
          <w:top w:w="0" w:type="dxa"/>
          <w:left w:w="10" w:type="dxa"/>
          <w:bottom w:w="0" w:type="dxa"/>
          <w:right w:w="10" w:type="dxa"/>
        </w:tblCellMar>
      </w:tblPr>
      <w:tblGrid>
        <w:gridCol w:w="3206"/>
        <w:gridCol w:w="485"/>
        <w:gridCol w:w="485"/>
        <w:gridCol w:w="485"/>
        <w:gridCol w:w="485"/>
        <w:gridCol w:w="485"/>
        <w:gridCol w:w="485"/>
        <w:gridCol w:w="490"/>
        <w:gridCol w:w="485"/>
        <w:gridCol w:w="485"/>
        <w:gridCol w:w="485"/>
        <w:gridCol w:w="485"/>
        <w:gridCol w:w="485"/>
        <w:gridCol w:w="485"/>
        <w:gridCol w:w="485"/>
        <w:gridCol w:w="485"/>
        <w:gridCol w:w="485"/>
        <w:gridCol w:w="485"/>
        <w:gridCol w:w="494"/>
        <w:gridCol w:w="475"/>
        <w:gridCol w:w="485"/>
        <w:gridCol w:w="485"/>
        <w:gridCol w:w="485"/>
        <w:gridCol w:w="499"/>
      </w:tblGrid>
      <w:tr w14:paraId="314BE3A7">
        <w:tblPrEx>
          <w:tblCellMar>
            <w:top w:w="0" w:type="dxa"/>
            <w:left w:w="10" w:type="dxa"/>
            <w:bottom w:w="0" w:type="dxa"/>
            <w:right w:w="10" w:type="dxa"/>
          </w:tblCellMar>
        </w:tblPrEx>
        <w:trPr>
          <w:trHeight w:val="341" w:hRule="exact"/>
        </w:trPr>
        <w:tc>
          <w:tcPr>
            <w:tcW w:w="3206" w:type="dxa"/>
            <w:tcBorders>
              <w:top w:val="single" w:color="auto" w:sz="4" w:space="0"/>
              <w:left w:val="single" w:color="auto" w:sz="4" w:space="0"/>
            </w:tcBorders>
            <w:shd w:val="clear" w:color="auto" w:fill="FFFFFF"/>
            <w:noWrap w:val="0"/>
            <w:vAlign w:val="center"/>
          </w:tcPr>
          <w:p w14:paraId="251884B5">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年度</w:t>
            </w:r>
          </w:p>
        </w:tc>
        <w:tc>
          <w:tcPr>
            <w:tcW w:w="5825" w:type="dxa"/>
            <w:gridSpan w:val="12"/>
            <w:tcBorders>
              <w:top w:val="single" w:color="auto" w:sz="4" w:space="0"/>
              <w:left w:val="single" w:color="auto" w:sz="4" w:space="0"/>
            </w:tcBorders>
            <w:shd w:val="clear" w:color="auto" w:fill="FFFFFF"/>
            <w:noWrap w:val="0"/>
            <w:vAlign w:val="center"/>
          </w:tcPr>
          <w:p w14:paraId="39188495">
            <w:pPr>
              <w:pStyle w:val="32"/>
              <w:shd w:val="clear" w:color="auto" w:fill="auto"/>
              <w:spacing w:before="0" w:line="170" w:lineRule="exact"/>
              <w:ind w:leftChars="-1466" w:hanging="3078" w:hangingChars="1811"/>
              <w:jc w:val="center"/>
              <w:rPr>
                <w:rFonts w:hint="eastAsia" w:ascii="宋体" w:hAnsi="宋体" w:eastAsia="宋体" w:cs="宋体"/>
              </w:rPr>
            </w:pPr>
            <w:r>
              <w:rPr>
                <w:rStyle w:val="49"/>
                <w:rFonts w:hint="eastAsia" w:ascii="宋体" w:hAnsi="宋体" w:eastAsia="宋体" w:cs="宋体"/>
                <w:color w:val="auto"/>
              </w:rPr>
              <w:t xml:space="preserve">                                  </w:t>
            </w:r>
            <w:r>
              <w:rPr>
                <w:rStyle w:val="49"/>
                <w:rFonts w:hint="eastAsia" w:ascii="宋体" w:hAnsi="宋体" w:eastAsia="宋体" w:cs="宋体"/>
                <w:color w:val="auto"/>
                <w:u w:val="single"/>
              </w:rPr>
              <w:t xml:space="preserve">                 </w:t>
            </w:r>
            <w:r>
              <w:rPr>
                <w:rStyle w:val="49"/>
                <w:rFonts w:hint="eastAsia" w:ascii="宋体" w:hAnsi="宋体" w:eastAsia="宋体" w:cs="宋体"/>
                <w:color w:val="auto"/>
              </w:rPr>
              <w:t>年</w:t>
            </w:r>
          </w:p>
        </w:tc>
        <w:tc>
          <w:tcPr>
            <w:tcW w:w="5348" w:type="dxa"/>
            <w:gridSpan w:val="11"/>
            <w:tcBorders>
              <w:top w:val="single" w:color="auto" w:sz="4" w:space="0"/>
              <w:left w:val="single" w:color="auto" w:sz="4" w:space="0"/>
              <w:right w:val="single" w:color="auto" w:sz="4" w:space="0"/>
            </w:tcBorders>
            <w:shd w:val="clear" w:color="auto" w:fill="FFFFFF"/>
            <w:noWrap w:val="0"/>
            <w:vAlign w:val="center"/>
          </w:tcPr>
          <w:p w14:paraId="348A0810">
            <w:pPr>
              <w:jc w:val="center"/>
              <w:rPr>
                <w:rFonts w:hint="eastAsia" w:ascii="宋体" w:hAnsi="宋体" w:cs="宋体"/>
                <w:sz w:val="10"/>
                <w:szCs w:val="10"/>
              </w:rPr>
            </w:pPr>
            <w:r>
              <w:rPr>
                <w:rStyle w:val="49"/>
                <w:rFonts w:hint="eastAsia" w:ascii="宋体" w:hAnsi="宋体" w:eastAsia="宋体" w:cs="宋体"/>
                <w:color w:val="auto"/>
                <w:u w:val="single"/>
              </w:rPr>
              <w:t xml:space="preserve">                    </w:t>
            </w:r>
            <w:r>
              <w:rPr>
                <w:rStyle w:val="49"/>
                <w:rFonts w:hint="eastAsia" w:ascii="宋体" w:hAnsi="宋体" w:eastAsia="宋体" w:cs="宋体"/>
                <w:color w:val="auto"/>
              </w:rPr>
              <w:t>年</w:t>
            </w:r>
          </w:p>
        </w:tc>
      </w:tr>
      <w:tr w14:paraId="6DC6E70A">
        <w:tblPrEx>
          <w:tblCellMar>
            <w:top w:w="0" w:type="dxa"/>
            <w:left w:w="10" w:type="dxa"/>
            <w:bottom w:w="0" w:type="dxa"/>
            <w:right w:w="10" w:type="dxa"/>
          </w:tblCellMar>
        </w:tblPrEx>
        <w:trPr>
          <w:trHeight w:val="346" w:hRule="exact"/>
        </w:trPr>
        <w:tc>
          <w:tcPr>
            <w:tcW w:w="3206" w:type="dxa"/>
            <w:tcBorders>
              <w:top w:val="single" w:color="auto" w:sz="4" w:space="0"/>
              <w:left w:val="single" w:color="auto" w:sz="4" w:space="0"/>
            </w:tcBorders>
            <w:shd w:val="clear" w:color="auto" w:fill="FFFFFF"/>
            <w:noWrap w:val="0"/>
            <w:vAlign w:val="center"/>
          </w:tcPr>
          <w:p w14:paraId="313D7010">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季度</w:t>
            </w:r>
          </w:p>
        </w:tc>
        <w:tc>
          <w:tcPr>
            <w:tcW w:w="1455" w:type="dxa"/>
            <w:gridSpan w:val="3"/>
            <w:tcBorders>
              <w:top w:val="single" w:color="auto" w:sz="4" w:space="0"/>
              <w:left w:val="single" w:color="auto" w:sz="4" w:space="0"/>
            </w:tcBorders>
            <w:shd w:val="clear" w:color="auto" w:fill="FFFFFF"/>
            <w:noWrap w:val="0"/>
            <w:vAlign w:val="center"/>
          </w:tcPr>
          <w:p w14:paraId="011D1D4A">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一</w:t>
            </w:r>
          </w:p>
        </w:tc>
        <w:tc>
          <w:tcPr>
            <w:tcW w:w="1455" w:type="dxa"/>
            <w:gridSpan w:val="3"/>
            <w:tcBorders>
              <w:top w:val="single" w:color="auto" w:sz="4" w:space="0"/>
              <w:left w:val="single" w:color="auto" w:sz="4" w:space="0"/>
            </w:tcBorders>
            <w:shd w:val="clear" w:color="auto" w:fill="FFFFFF"/>
            <w:noWrap w:val="0"/>
            <w:vAlign w:val="center"/>
          </w:tcPr>
          <w:p w14:paraId="69CBE071">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二</w:t>
            </w:r>
          </w:p>
        </w:tc>
        <w:tc>
          <w:tcPr>
            <w:tcW w:w="1460" w:type="dxa"/>
            <w:gridSpan w:val="3"/>
            <w:tcBorders>
              <w:top w:val="single" w:color="auto" w:sz="4" w:space="0"/>
              <w:left w:val="single" w:color="auto" w:sz="4" w:space="0"/>
            </w:tcBorders>
            <w:shd w:val="clear" w:color="auto" w:fill="FFFFFF"/>
            <w:noWrap w:val="0"/>
            <w:vAlign w:val="center"/>
          </w:tcPr>
          <w:p w14:paraId="3211C78C">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二</w:t>
            </w:r>
          </w:p>
        </w:tc>
        <w:tc>
          <w:tcPr>
            <w:tcW w:w="1455" w:type="dxa"/>
            <w:gridSpan w:val="3"/>
            <w:tcBorders>
              <w:top w:val="single" w:color="auto" w:sz="4" w:space="0"/>
              <w:left w:val="single" w:color="auto" w:sz="4" w:space="0"/>
            </w:tcBorders>
            <w:shd w:val="clear" w:color="auto" w:fill="FFFFFF"/>
            <w:noWrap w:val="0"/>
            <w:vAlign w:val="center"/>
          </w:tcPr>
          <w:p w14:paraId="3E53BF32">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四</w:t>
            </w:r>
          </w:p>
        </w:tc>
        <w:tc>
          <w:tcPr>
            <w:tcW w:w="1455" w:type="dxa"/>
            <w:gridSpan w:val="3"/>
            <w:tcBorders>
              <w:top w:val="single" w:color="auto" w:sz="4" w:space="0"/>
              <w:left w:val="single" w:color="auto" w:sz="4" w:space="0"/>
            </w:tcBorders>
            <w:shd w:val="clear" w:color="auto" w:fill="FFFFFF"/>
            <w:noWrap w:val="0"/>
            <w:vAlign w:val="center"/>
          </w:tcPr>
          <w:p w14:paraId="53486F34">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一</w:t>
            </w:r>
          </w:p>
        </w:tc>
        <w:tc>
          <w:tcPr>
            <w:tcW w:w="1464" w:type="dxa"/>
            <w:gridSpan w:val="3"/>
            <w:tcBorders>
              <w:top w:val="single" w:color="auto" w:sz="4" w:space="0"/>
              <w:left w:val="single" w:color="auto" w:sz="4" w:space="0"/>
            </w:tcBorders>
            <w:shd w:val="clear" w:color="auto" w:fill="FFFFFF"/>
            <w:noWrap w:val="0"/>
            <w:vAlign w:val="center"/>
          </w:tcPr>
          <w:p w14:paraId="16E7EA91">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二</w:t>
            </w:r>
          </w:p>
        </w:tc>
        <w:tc>
          <w:tcPr>
            <w:tcW w:w="1445" w:type="dxa"/>
            <w:gridSpan w:val="3"/>
            <w:tcBorders>
              <w:top w:val="single" w:color="auto" w:sz="4" w:space="0"/>
              <w:left w:val="single" w:color="auto" w:sz="4" w:space="0"/>
            </w:tcBorders>
            <w:shd w:val="clear" w:color="auto" w:fill="FFFFFF"/>
            <w:noWrap w:val="0"/>
            <w:vAlign w:val="center"/>
          </w:tcPr>
          <w:p w14:paraId="641BB602">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三</w:t>
            </w:r>
          </w:p>
        </w:tc>
        <w:tc>
          <w:tcPr>
            <w:tcW w:w="984" w:type="dxa"/>
            <w:gridSpan w:val="2"/>
            <w:tcBorders>
              <w:top w:val="single" w:color="auto" w:sz="4" w:space="0"/>
              <w:left w:val="single" w:color="auto" w:sz="4" w:space="0"/>
              <w:right w:val="single" w:color="auto" w:sz="4" w:space="0"/>
            </w:tcBorders>
            <w:shd w:val="clear" w:color="auto" w:fill="FFFFFF"/>
            <w:noWrap w:val="0"/>
            <w:vAlign w:val="center"/>
          </w:tcPr>
          <w:p w14:paraId="7F25C895">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四</w:t>
            </w:r>
          </w:p>
        </w:tc>
      </w:tr>
      <w:tr w14:paraId="4E67F6EF">
        <w:tblPrEx>
          <w:tblCellMar>
            <w:top w:w="0" w:type="dxa"/>
            <w:left w:w="10" w:type="dxa"/>
            <w:bottom w:w="0" w:type="dxa"/>
            <w:right w:w="10" w:type="dxa"/>
          </w:tblCellMar>
        </w:tblPrEx>
        <w:trPr>
          <w:trHeight w:val="341" w:hRule="exact"/>
        </w:trPr>
        <w:tc>
          <w:tcPr>
            <w:tcW w:w="3206" w:type="dxa"/>
            <w:tcBorders>
              <w:top w:val="single" w:color="auto" w:sz="4" w:space="0"/>
              <w:left w:val="single" w:color="auto" w:sz="4" w:space="0"/>
            </w:tcBorders>
            <w:shd w:val="clear" w:color="auto" w:fill="FFFFFF"/>
            <w:noWrap w:val="0"/>
            <w:vAlign w:val="center"/>
          </w:tcPr>
          <w:p w14:paraId="7DCEE300">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月份</w:t>
            </w:r>
          </w:p>
        </w:tc>
        <w:tc>
          <w:tcPr>
            <w:tcW w:w="485" w:type="dxa"/>
            <w:tcBorders>
              <w:top w:val="single" w:color="auto" w:sz="4" w:space="0"/>
              <w:left w:val="single" w:color="auto" w:sz="4" w:space="0"/>
            </w:tcBorders>
            <w:shd w:val="clear" w:color="auto" w:fill="FFFFFF"/>
            <w:noWrap w:val="0"/>
            <w:vAlign w:val="center"/>
          </w:tcPr>
          <w:p w14:paraId="32E7EF76">
            <w:pPr>
              <w:pStyle w:val="32"/>
              <w:shd w:val="clear" w:color="auto" w:fill="auto"/>
              <w:spacing w:before="0" w:line="170" w:lineRule="exact"/>
              <w:ind w:left="220" w:firstLine="0"/>
              <w:jc w:val="both"/>
              <w:rPr>
                <w:rFonts w:hint="eastAsia" w:ascii="宋体" w:hAnsi="宋体" w:eastAsia="宋体" w:cs="宋体"/>
              </w:rPr>
            </w:pPr>
            <w:r>
              <w:rPr>
                <w:rStyle w:val="49"/>
                <w:rFonts w:hint="eastAsia" w:ascii="宋体" w:hAnsi="宋体" w:eastAsia="宋体" w:cs="宋体"/>
                <w:color w:val="auto"/>
              </w:rPr>
              <w:t>1</w:t>
            </w:r>
          </w:p>
        </w:tc>
        <w:tc>
          <w:tcPr>
            <w:tcW w:w="485" w:type="dxa"/>
            <w:tcBorders>
              <w:top w:val="single" w:color="auto" w:sz="4" w:space="0"/>
              <w:left w:val="single" w:color="auto" w:sz="4" w:space="0"/>
            </w:tcBorders>
            <w:shd w:val="clear" w:color="auto" w:fill="FFFFFF"/>
            <w:noWrap w:val="0"/>
            <w:vAlign w:val="center"/>
          </w:tcPr>
          <w:p w14:paraId="3179B1D8">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2</w:t>
            </w:r>
          </w:p>
        </w:tc>
        <w:tc>
          <w:tcPr>
            <w:tcW w:w="485" w:type="dxa"/>
            <w:tcBorders>
              <w:top w:val="single" w:color="auto" w:sz="4" w:space="0"/>
              <w:left w:val="single" w:color="auto" w:sz="4" w:space="0"/>
            </w:tcBorders>
            <w:shd w:val="clear" w:color="auto" w:fill="FFFFFF"/>
            <w:noWrap w:val="0"/>
            <w:vAlign w:val="center"/>
          </w:tcPr>
          <w:p w14:paraId="06B9F4E5">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3</w:t>
            </w:r>
          </w:p>
        </w:tc>
        <w:tc>
          <w:tcPr>
            <w:tcW w:w="485" w:type="dxa"/>
            <w:tcBorders>
              <w:top w:val="single" w:color="auto" w:sz="4" w:space="0"/>
              <w:left w:val="single" w:color="auto" w:sz="4" w:space="0"/>
            </w:tcBorders>
            <w:shd w:val="clear" w:color="auto" w:fill="FFFFFF"/>
            <w:noWrap w:val="0"/>
            <w:vAlign w:val="center"/>
          </w:tcPr>
          <w:p w14:paraId="41D6C386">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4</w:t>
            </w:r>
          </w:p>
        </w:tc>
        <w:tc>
          <w:tcPr>
            <w:tcW w:w="485" w:type="dxa"/>
            <w:tcBorders>
              <w:top w:val="single" w:color="auto" w:sz="4" w:space="0"/>
              <w:left w:val="single" w:color="auto" w:sz="4" w:space="0"/>
            </w:tcBorders>
            <w:shd w:val="clear" w:color="auto" w:fill="FFFFFF"/>
            <w:noWrap w:val="0"/>
            <w:vAlign w:val="center"/>
          </w:tcPr>
          <w:p w14:paraId="57282358">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5</w:t>
            </w:r>
          </w:p>
        </w:tc>
        <w:tc>
          <w:tcPr>
            <w:tcW w:w="485" w:type="dxa"/>
            <w:tcBorders>
              <w:top w:val="single" w:color="auto" w:sz="4" w:space="0"/>
              <w:left w:val="single" w:color="auto" w:sz="4" w:space="0"/>
            </w:tcBorders>
            <w:shd w:val="clear" w:color="auto" w:fill="FFFFFF"/>
            <w:noWrap w:val="0"/>
            <w:vAlign w:val="center"/>
          </w:tcPr>
          <w:p w14:paraId="2B28B2A7">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6</w:t>
            </w:r>
          </w:p>
        </w:tc>
        <w:tc>
          <w:tcPr>
            <w:tcW w:w="490" w:type="dxa"/>
            <w:tcBorders>
              <w:top w:val="single" w:color="auto" w:sz="4" w:space="0"/>
              <w:left w:val="single" w:color="auto" w:sz="4" w:space="0"/>
            </w:tcBorders>
            <w:shd w:val="clear" w:color="auto" w:fill="FFFFFF"/>
            <w:noWrap w:val="0"/>
            <w:vAlign w:val="center"/>
          </w:tcPr>
          <w:p w14:paraId="07072583">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7</w:t>
            </w:r>
          </w:p>
        </w:tc>
        <w:tc>
          <w:tcPr>
            <w:tcW w:w="485" w:type="dxa"/>
            <w:tcBorders>
              <w:top w:val="single" w:color="auto" w:sz="4" w:space="0"/>
              <w:left w:val="single" w:color="auto" w:sz="4" w:space="0"/>
            </w:tcBorders>
            <w:shd w:val="clear" w:color="auto" w:fill="FFFFFF"/>
            <w:noWrap w:val="0"/>
            <w:vAlign w:val="center"/>
          </w:tcPr>
          <w:p w14:paraId="500DB6D3">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8</w:t>
            </w:r>
          </w:p>
        </w:tc>
        <w:tc>
          <w:tcPr>
            <w:tcW w:w="485" w:type="dxa"/>
            <w:tcBorders>
              <w:top w:val="single" w:color="auto" w:sz="4" w:space="0"/>
              <w:left w:val="single" w:color="auto" w:sz="4" w:space="0"/>
            </w:tcBorders>
            <w:shd w:val="clear" w:color="auto" w:fill="FFFFFF"/>
            <w:noWrap w:val="0"/>
            <w:vAlign w:val="center"/>
          </w:tcPr>
          <w:p w14:paraId="0845A3F5">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9</w:t>
            </w:r>
          </w:p>
        </w:tc>
        <w:tc>
          <w:tcPr>
            <w:tcW w:w="485" w:type="dxa"/>
            <w:tcBorders>
              <w:top w:val="single" w:color="auto" w:sz="4" w:space="0"/>
              <w:left w:val="single" w:color="auto" w:sz="4" w:space="0"/>
            </w:tcBorders>
            <w:shd w:val="clear" w:color="auto" w:fill="FFFFFF"/>
            <w:noWrap w:val="0"/>
            <w:vAlign w:val="center"/>
          </w:tcPr>
          <w:p w14:paraId="2E81BCC5">
            <w:pPr>
              <w:pStyle w:val="32"/>
              <w:shd w:val="clear" w:color="auto" w:fill="auto"/>
              <w:spacing w:before="0" w:line="170" w:lineRule="exact"/>
              <w:ind w:firstLine="0"/>
              <w:jc w:val="center"/>
              <w:rPr>
                <w:rFonts w:hint="eastAsia" w:ascii="宋体" w:hAnsi="宋体" w:eastAsia="宋体" w:cs="宋体"/>
              </w:rPr>
            </w:pPr>
            <w:r>
              <w:rPr>
                <w:rStyle w:val="49"/>
                <w:rFonts w:hint="eastAsia" w:ascii="宋体" w:hAnsi="宋体" w:eastAsia="宋体" w:cs="宋体"/>
                <w:color w:val="auto"/>
              </w:rPr>
              <w:t>10</w:t>
            </w:r>
          </w:p>
        </w:tc>
        <w:tc>
          <w:tcPr>
            <w:tcW w:w="485" w:type="dxa"/>
            <w:tcBorders>
              <w:top w:val="single" w:color="auto" w:sz="4" w:space="0"/>
              <w:left w:val="single" w:color="auto" w:sz="4" w:space="0"/>
            </w:tcBorders>
            <w:shd w:val="clear" w:color="auto" w:fill="FFFFFF"/>
            <w:noWrap w:val="0"/>
            <w:vAlign w:val="center"/>
          </w:tcPr>
          <w:p w14:paraId="273EC76A">
            <w:pPr>
              <w:pStyle w:val="32"/>
              <w:shd w:val="clear" w:color="auto" w:fill="auto"/>
              <w:spacing w:before="0" w:line="170" w:lineRule="exact"/>
              <w:ind w:left="180" w:firstLine="0"/>
              <w:jc w:val="both"/>
              <w:rPr>
                <w:rFonts w:hint="eastAsia" w:ascii="宋体" w:hAnsi="宋体" w:eastAsia="宋体" w:cs="宋体"/>
              </w:rPr>
            </w:pPr>
            <w:r>
              <w:rPr>
                <w:rStyle w:val="49"/>
                <w:rFonts w:hint="eastAsia" w:ascii="宋体" w:hAnsi="宋体" w:eastAsia="宋体" w:cs="宋体"/>
                <w:color w:val="auto"/>
              </w:rPr>
              <w:t>11</w:t>
            </w:r>
          </w:p>
        </w:tc>
        <w:tc>
          <w:tcPr>
            <w:tcW w:w="485" w:type="dxa"/>
            <w:tcBorders>
              <w:top w:val="single" w:color="auto" w:sz="4" w:space="0"/>
              <w:left w:val="single" w:color="auto" w:sz="4" w:space="0"/>
            </w:tcBorders>
            <w:shd w:val="clear" w:color="auto" w:fill="FFFFFF"/>
            <w:noWrap w:val="0"/>
            <w:vAlign w:val="center"/>
          </w:tcPr>
          <w:p w14:paraId="3D31481D">
            <w:pPr>
              <w:pStyle w:val="32"/>
              <w:shd w:val="clear" w:color="auto" w:fill="auto"/>
              <w:spacing w:before="0" w:line="170" w:lineRule="exact"/>
              <w:ind w:left="160" w:firstLine="0"/>
              <w:jc w:val="both"/>
              <w:rPr>
                <w:rFonts w:hint="eastAsia" w:ascii="宋体" w:hAnsi="宋体" w:eastAsia="宋体" w:cs="宋体"/>
              </w:rPr>
            </w:pPr>
            <w:r>
              <w:rPr>
                <w:rStyle w:val="49"/>
                <w:rFonts w:hint="eastAsia" w:ascii="宋体" w:hAnsi="宋体" w:eastAsia="宋体" w:cs="宋体"/>
                <w:color w:val="auto"/>
              </w:rPr>
              <w:t>12</w:t>
            </w:r>
          </w:p>
        </w:tc>
        <w:tc>
          <w:tcPr>
            <w:tcW w:w="485" w:type="dxa"/>
            <w:tcBorders>
              <w:top w:val="single" w:color="auto" w:sz="4" w:space="0"/>
              <w:left w:val="single" w:color="auto" w:sz="4" w:space="0"/>
            </w:tcBorders>
            <w:shd w:val="clear" w:color="auto" w:fill="FFFFFF"/>
            <w:noWrap w:val="0"/>
            <w:vAlign w:val="center"/>
          </w:tcPr>
          <w:p w14:paraId="30798304">
            <w:pPr>
              <w:pStyle w:val="32"/>
              <w:shd w:val="clear" w:color="auto" w:fill="auto"/>
              <w:spacing w:before="0" w:line="170" w:lineRule="exact"/>
              <w:ind w:left="220" w:firstLine="0"/>
              <w:jc w:val="both"/>
              <w:rPr>
                <w:rFonts w:hint="eastAsia" w:ascii="宋体" w:hAnsi="宋体" w:eastAsia="宋体" w:cs="宋体"/>
              </w:rPr>
            </w:pPr>
            <w:r>
              <w:rPr>
                <w:rStyle w:val="49"/>
                <w:rFonts w:hint="eastAsia" w:ascii="宋体" w:hAnsi="宋体" w:eastAsia="宋体" w:cs="宋体"/>
                <w:color w:val="auto"/>
              </w:rPr>
              <w:t>1</w:t>
            </w:r>
          </w:p>
        </w:tc>
        <w:tc>
          <w:tcPr>
            <w:tcW w:w="485" w:type="dxa"/>
            <w:tcBorders>
              <w:top w:val="single" w:color="auto" w:sz="4" w:space="0"/>
              <w:left w:val="single" w:color="auto" w:sz="4" w:space="0"/>
            </w:tcBorders>
            <w:shd w:val="clear" w:color="auto" w:fill="FFFFFF"/>
            <w:noWrap w:val="0"/>
            <w:vAlign w:val="center"/>
          </w:tcPr>
          <w:p w14:paraId="036D3FE6">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2</w:t>
            </w:r>
          </w:p>
        </w:tc>
        <w:tc>
          <w:tcPr>
            <w:tcW w:w="485" w:type="dxa"/>
            <w:tcBorders>
              <w:top w:val="single" w:color="auto" w:sz="4" w:space="0"/>
              <w:left w:val="single" w:color="auto" w:sz="4" w:space="0"/>
            </w:tcBorders>
            <w:shd w:val="clear" w:color="auto" w:fill="FFFFFF"/>
            <w:noWrap w:val="0"/>
            <w:vAlign w:val="center"/>
          </w:tcPr>
          <w:p w14:paraId="0644C910">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3</w:t>
            </w:r>
          </w:p>
        </w:tc>
        <w:tc>
          <w:tcPr>
            <w:tcW w:w="485" w:type="dxa"/>
            <w:tcBorders>
              <w:top w:val="single" w:color="auto" w:sz="4" w:space="0"/>
              <w:left w:val="single" w:color="auto" w:sz="4" w:space="0"/>
            </w:tcBorders>
            <w:shd w:val="clear" w:color="auto" w:fill="FFFFFF"/>
            <w:noWrap w:val="0"/>
            <w:vAlign w:val="center"/>
          </w:tcPr>
          <w:p w14:paraId="5F042B95">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4</w:t>
            </w:r>
          </w:p>
        </w:tc>
        <w:tc>
          <w:tcPr>
            <w:tcW w:w="485" w:type="dxa"/>
            <w:tcBorders>
              <w:top w:val="single" w:color="auto" w:sz="4" w:space="0"/>
              <w:left w:val="single" w:color="auto" w:sz="4" w:space="0"/>
            </w:tcBorders>
            <w:shd w:val="clear" w:color="auto" w:fill="FFFFFF"/>
            <w:noWrap w:val="0"/>
            <w:vAlign w:val="center"/>
          </w:tcPr>
          <w:p w14:paraId="3D158C4D">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5</w:t>
            </w:r>
          </w:p>
        </w:tc>
        <w:tc>
          <w:tcPr>
            <w:tcW w:w="494" w:type="dxa"/>
            <w:tcBorders>
              <w:top w:val="single" w:color="auto" w:sz="4" w:space="0"/>
              <w:left w:val="single" w:color="auto" w:sz="4" w:space="0"/>
            </w:tcBorders>
            <w:shd w:val="clear" w:color="auto" w:fill="FFFFFF"/>
            <w:noWrap w:val="0"/>
            <w:vAlign w:val="center"/>
          </w:tcPr>
          <w:p w14:paraId="2D61C2D2">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6</w:t>
            </w:r>
          </w:p>
        </w:tc>
        <w:tc>
          <w:tcPr>
            <w:tcW w:w="475" w:type="dxa"/>
            <w:tcBorders>
              <w:top w:val="single" w:color="auto" w:sz="4" w:space="0"/>
              <w:left w:val="single" w:color="auto" w:sz="4" w:space="0"/>
            </w:tcBorders>
            <w:shd w:val="clear" w:color="auto" w:fill="FFFFFF"/>
            <w:noWrap w:val="0"/>
            <w:vAlign w:val="center"/>
          </w:tcPr>
          <w:p w14:paraId="5EE35BD6">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7</w:t>
            </w:r>
          </w:p>
        </w:tc>
        <w:tc>
          <w:tcPr>
            <w:tcW w:w="485" w:type="dxa"/>
            <w:tcBorders>
              <w:top w:val="single" w:color="auto" w:sz="4" w:space="0"/>
              <w:left w:val="single" w:color="auto" w:sz="4" w:space="0"/>
            </w:tcBorders>
            <w:shd w:val="clear" w:color="auto" w:fill="FFFFFF"/>
            <w:noWrap w:val="0"/>
            <w:vAlign w:val="center"/>
          </w:tcPr>
          <w:p w14:paraId="7D4BC8B6">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8</w:t>
            </w:r>
          </w:p>
        </w:tc>
        <w:tc>
          <w:tcPr>
            <w:tcW w:w="485" w:type="dxa"/>
            <w:tcBorders>
              <w:top w:val="single" w:color="auto" w:sz="4" w:space="0"/>
              <w:left w:val="single" w:color="auto" w:sz="4" w:space="0"/>
            </w:tcBorders>
            <w:shd w:val="clear" w:color="auto" w:fill="FFFFFF"/>
            <w:noWrap w:val="0"/>
            <w:vAlign w:val="center"/>
          </w:tcPr>
          <w:p w14:paraId="116A6205">
            <w:pPr>
              <w:pStyle w:val="32"/>
              <w:shd w:val="clear" w:color="auto" w:fill="auto"/>
              <w:spacing w:before="0" w:line="170" w:lineRule="exact"/>
              <w:ind w:left="200" w:firstLine="0"/>
              <w:jc w:val="both"/>
              <w:rPr>
                <w:rFonts w:hint="eastAsia" w:ascii="宋体" w:hAnsi="宋体" w:eastAsia="宋体" w:cs="宋体"/>
              </w:rPr>
            </w:pPr>
            <w:r>
              <w:rPr>
                <w:rStyle w:val="49"/>
                <w:rFonts w:hint="eastAsia" w:ascii="宋体" w:hAnsi="宋体" w:eastAsia="宋体" w:cs="宋体"/>
                <w:color w:val="auto"/>
              </w:rPr>
              <w:t>9</w:t>
            </w:r>
          </w:p>
        </w:tc>
        <w:tc>
          <w:tcPr>
            <w:tcW w:w="485" w:type="dxa"/>
            <w:tcBorders>
              <w:top w:val="single" w:color="auto" w:sz="4" w:space="0"/>
              <w:left w:val="single" w:color="auto" w:sz="4" w:space="0"/>
            </w:tcBorders>
            <w:noWrap w:val="0"/>
            <w:vAlign w:val="center"/>
          </w:tcPr>
          <w:p w14:paraId="67DA2036">
            <w:pPr>
              <w:pStyle w:val="32"/>
              <w:shd w:val="clear" w:color="auto" w:fill="auto"/>
              <w:spacing w:before="0" w:line="170" w:lineRule="exact"/>
              <w:ind w:left="160" w:firstLine="0"/>
              <w:jc w:val="both"/>
              <w:rPr>
                <w:rFonts w:hint="eastAsia" w:ascii="宋体" w:hAnsi="宋体" w:eastAsia="宋体" w:cs="宋体"/>
              </w:rPr>
            </w:pPr>
            <w:r>
              <w:rPr>
                <w:rStyle w:val="49"/>
                <w:rFonts w:hint="eastAsia" w:ascii="宋体" w:hAnsi="宋体" w:eastAsia="宋体" w:cs="宋体"/>
                <w:color w:val="auto"/>
              </w:rPr>
              <w:t>10</w:t>
            </w:r>
          </w:p>
        </w:tc>
        <w:tc>
          <w:tcPr>
            <w:tcW w:w="499" w:type="dxa"/>
            <w:tcBorders>
              <w:top w:val="single" w:color="auto" w:sz="4" w:space="0"/>
              <w:left w:val="single" w:color="auto" w:sz="4" w:space="0"/>
              <w:right w:val="single" w:color="auto" w:sz="4" w:space="0"/>
            </w:tcBorders>
            <w:noWrap w:val="0"/>
            <w:vAlign w:val="top"/>
          </w:tcPr>
          <w:p w14:paraId="3CF83940">
            <w:pPr>
              <w:rPr>
                <w:rFonts w:hint="eastAsia" w:ascii="宋体" w:hAnsi="宋体" w:cs="宋体"/>
                <w:sz w:val="10"/>
                <w:szCs w:val="10"/>
              </w:rPr>
            </w:pPr>
          </w:p>
        </w:tc>
      </w:tr>
      <w:tr w14:paraId="72FE80C0">
        <w:tblPrEx>
          <w:tblCellMar>
            <w:top w:w="0" w:type="dxa"/>
            <w:left w:w="10" w:type="dxa"/>
            <w:bottom w:w="0" w:type="dxa"/>
            <w:right w:w="10" w:type="dxa"/>
          </w:tblCellMar>
        </w:tblPrEx>
        <w:trPr>
          <w:trHeight w:val="283" w:hRule="exact"/>
        </w:trPr>
        <w:tc>
          <w:tcPr>
            <w:tcW w:w="3206" w:type="dxa"/>
            <w:vMerge w:val="restart"/>
            <w:tcBorders>
              <w:top w:val="single" w:color="auto" w:sz="4" w:space="0"/>
              <w:left w:val="single" w:color="auto" w:sz="4" w:space="0"/>
            </w:tcBorders>
            <w:shd w:val="clear" w:color="auto" w:fill="FFFFFF"/>
            <w:noWrap w:val="0"/>
            <w:vAlign w:val="center"/>
          </w:tcPr>
          <w:p w14:paraId="48821840">
            <w:pPr>
              <w:pStyle w:val="32"/>
              <w:shd w:val="clear" w:color="auto" w:fill="auto"/>
              <w:spacing w:before="0" w:line="240" w:lineRule="auto"/>
              <w:ind w:firstLine="0"/>
              <w:jc w:val="both"/>
              <w:rPr>
                <w:rFonts w:hint="eastAsia" w:ascii="宋体" w:hAnsi="宋体" w:eastAsia="宋体" w:cs="宋体"/>
              </w:rPr>
            </w:pPr>
            <w:r>
              <w:rPr>
                <w:rStyle w:val="49"/>
                <w:rFonts w:hint="eastAsia" w:ascii="宋体" w:hAnsi="宋体" w:eastAsia="宋体" w:cs="宋体"/>
                <w:color w:val="auto"/>
              </w:rPr>
              <w:t xml:space="preserve">图例：                        </w:t>
            </w:r>
            <w:r>
              <w:rPr>
                <w:rStyle w:val="49"/>
                <w:rFonts w:hint="eastAsia" w:ascii="宋体" w:hAnsi="宋体" w:eastAsia="宋体" w:cs="宋体"/>
                <w:color w:val="auto"/>
                <w:lang w:val="en-US"/>
              </w:rPr>
              <w:t xml:space="preserve">  </w:t>
            </w:r>
            <w:r>
              <w:rPr>
                <w:rStyle w:val="49"/>
                <w:rFonts w:hint="eastAsia" w:ascii="宋体" w:hAnsi="宋体" w:eastAsia="宋体" w:cs="宋体"/>
                <w:color w:val="auto"/>
              </w:rPr>
              <w:t xml:space="preserve">  100</w:t>
            </w:r>
          </w:p>
        </w:tc>
        <w:tc>
          <w:tcPr>
            <w:tcW w:w="485" w:type="dxa"/>
            <w:tcBorders>
              <w:top w:val="single" w:color="auto" w:sz="4" w:space="0"/>
              <w:left w:val="single" w:color="auto" w:sz="4" w:space="0"/>
            </w:tcBorders>
            <w:shd w:val="clear" w:color="auto" w:fill="FFFFFF"/>
            <w:noWrap w:val="0"/>
            <w:vAlign w:val="top"/>
          </w:tcPr>
          <w:p w14:paraId="25A9D6C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9DC68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189841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31FFBC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335F2C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4E7D28D">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4FC7F11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FA9BCE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D7873C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533786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2FA8A8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6DDEE4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A32459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94A03B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0121DA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BDD874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85DC35D">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2A6805CE">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154195F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A6ECE0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1813A1F">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748CE8BB">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10C0B320">
            <w:pPr>
              <w:rPr>
                <w:rFonts w:hint="eastAsia" w:ascii="宋体" w:hAnsi="宋体" w:cs="宋体"/>
                <w:sz w:val="10"/>
                <w:szCs w:val="10"/>
              </w:rPr>
            </w:pPr>
          </w:p>
        </w:tc>
      </w:tr>
      <w:tr w14:paraId="3A0A8179">
        <w:tblPrEx>
          <w:tblCellMar>
            <w:top w:w="0" w:type="dxa"/>
            <w:left w:w="10" w:type="dxa"/>
            <w:bottom w:w="0" w:type="dxa"/>
            <w:right w:w="10" w:type="dxa"/>
          </w:tblCellMar>
        </w:tblPrEx>
        <w:trPr>
          <w:trHeight w:val="283" w:hRule="exact"/>
        </w:trPr>
        <w:tc>
          <w:tcPr>
            <w:tcW w:w="3206" w:type="dxa"/>
            <w:vMerge w:val="continue"/>
            <w:tcBorders>
              <w:left w:val="single" w:color="auto" w:sz="4" w:space="0"/>
            </w:tcBorders>
            <w:shd w:val="clear" w:color="auto" w:fill="FFFFFF"/>
            <w:noWrap w:val="0"/>
            <w:vAlign w:val="center"/>
          </w:tcPr>
          <w:p w14:paraId="6B6D62F8">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73BB8EB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0ECA96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7A6A1C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A0A17B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5CBCF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93640B4">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35AF728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6B64E9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87D939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90DBB7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A3064C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AF2443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431F21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00D2EF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AF30FF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18676A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8E69209">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3FC62C57">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7D2C102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2A9F5E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0598977">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5C500D3F">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0633CEE6">
            <w:pPr>
              <w:rPr>
                <w:rFonts w:hint="eastAsia" w:ascii="宋体" w:hAnsi="宋体" w:cs="宋体"/>
                <w:sz w:val="10"/>
                <w:szCs w:val="10"/>
              </w:rPr>
            </w:pPr>
          </w:p>
        </w:tc>
      </w:tr>
      <w:tr w14:paraId="6BAE7291">
        <w:tblPrEx>
          <w:tblCellMar>
            <w:top w:w="0" w:type="dxa"/>
            <w:left w:w="10" w:type="dxa"/>
            <w:bottom w:w="0" w:type="dxa"/>
            <w:right w:w="10" w:type="dxa"/>
          </w:tblCellMar>
        </w:tblPrEx>
        <w:trPr>
          <w:trHeight w:val="283" w:hRule="exact"/>
        </w:trPr>
        <w:tc>
          <w:tcPr>
            <w:tcW w:w="3206" w:type="dxa"/>
            <w:vMerge w:val="restart"/>
            <w:tcBorders>
              <w:top w:val="single" w:color="auto" w:sz="4" w:space="0"/>
              <w:left w:val="single" w:color="auto" w:sz="4" w:space="0"/>
            </w:tcBorders>
            <w:shd w:val="clear" w:color="auto" w:fill="FFFFFF"/>
            <w:noWrap w:val="0"/>
            <w:vAlign w:val="center"/>
          </w:tcPr>
          <w:p w14:paraId="2EE2A6B9">
            <w:pPr>
              <w:pStyle w:val="32"/>
              <w:shd w:val="clear" w:color="auto" w:fill="auto"/>
              <w:wordWrap w:val="0"/>
              <w:spacing w:before="0" w:line="170" w:lineRule="exact"/>
              <w:ind w:right="60" w:firstLine="0"/>
              <w:jc w:val="center"/>
              <w:rPr>
                <w:rFonts w:hint="eastAsia" w:ascii="宋体" w:hAnsi="宋体" w:eastAsia="宋体" w:cs="宋体"/>
              </w:rPr>
            </w:pPr>
            <w:r>
              <w:rPr>
                <w:rStyle w:val="49"/>
                <w:rFonts w:hint="eastAsia" w:ascii="宋体" w:hAnsi="宋体" w:eastAsia="宋体" w:cs="宋体"/>
                <w:color w:val="auto"/>
              </w:rPr>
              <w:t>施工准备                          90</w:t>
            </w:r>
          </w:p>
        </w:tc>
        <w:tc>
          <w:tcPr>
            <w:tcW w:w="485" w:type="dxa"/>
            <w:tcBorders>
              <w:top w:val="single" w:color="auto" w:sz="4" w:space="0"/>
              <w:left w:val="single" w:color="auto" w:sz="4" w:space="0"/>
            </w:tcBorders>
            <w:shd w:val="clear" w:color="auto" w:fill="FFFFFF"/>
            <w:noWrap w:val="0"/>
            <w:vAlign w:val="top"/>
          </w:tcPr>
          <w:p w14:paraId="0CDA354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ED9B9E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75D39E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69F744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AB1F77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586DD54">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0785961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6AA6B2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68ED18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1299F6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7F6D75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98D6B2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DB569C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23D74E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433375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DA52CB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F839989">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448120EA">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545795A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421ECC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7661D49">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542B7D89">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0D9554F7">
            <w:pPr>
              <w:rPr>
                <w:rFonts w:hint="eastAsia" w:ascii="宋体" w:hAnsi="宋体" w:cs="宋体"/>
                <w:sz w:val="10"/>
                <w:szCs w:val="10"/>
              </w:rPr>
            </w:pPr>
          </w:p>
        </w:tc>
      </w:tr>
      <w:tr w14:paraId="353DB4E5">
        <w:tblPrEx>
          <w:tblCellMar>
            <w:top w:w="0" w:type="dxa"/>
            <w:left w:w="10" w:type="dxa"/>
            <w:bottom w:w="0" w:type="dxa"/>
            <w:right w:w="10" w:type="dxa"/>
          </w:tblCellMar>
        </w:tblPrEx>
        <w:trPr>
          <w:trHeight w:val="283" w:hRule="exact"/>
        </w:trPr>
        <w:tc>
          <w:tcPr>
            <w:tcW w:w="3206" w:type="dxa"/>
            <w:vMerge w:val="continue"/>
            <w:tcBorders>
              <w:left w:val="single" w:color="auto" w:sz="4" w:space="0"/>
              <w:bottom w:val="single" w:color="auto" w:sz="12" w:space="0"/>
            </w:tcBorders>
            <w:shd w:val="clear" w:color="auto" w:fill="FFFFFF"/>
            <w:noWrap w:val="0"/>
            <w:vAlign w:val="center"/>
          </w:tcPr>
          <w:p w14:paraId="75A4BF6A">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5981E72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F68362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5A763C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6BFA0A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4BEE44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F636ADF">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5D99D97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F93499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D14987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EDD77F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22CEE8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FD6B77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C14E22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39D438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B2BB84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17BF96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62AD41B">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26D66680">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5D54532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7AEB50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3719E3A">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10F81024">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73495F27">
            <w:pPr>
              <w:rPr>
                <w:rFonts w:hint="eastAsia" w:ascii="宋体" w:hAnsi="宋体" w:cs="宋体"/>
                <w:sz w:val="10"/>
                <w:szCs w:val="10"/>
              </w:rPr>
            </w:pPr>
          </w:p>
        </w:tc>
      </w:tr>
      <w:tr w14:paraId="5FAC6080">
        <w:tblPrEx>
          <w:tblCellMar>
            <w:top w:w="0" w:type="dxa"/>
            <w:left w:w="10" w:type="dxa"/>
            <w:bottom w:w="0" w:type="dxa"/>
            <w:right w:w="10" w:type="dxa"/>
          </w:tblCellMar>
        </w:tblPrEx>
        <w:trPr>
          <w:trHeight w:val="283" w:hRule="exact"/>
        </w:trPr>
        <w:tc>
          <w:tcPr>
            <w:tcW w:w="3206" w:type="dxa"/>
            <w:vMerge w:val="restart"/>
            <w:tcBorders>
              <w:top w:val="single" w:color="auto" w:sz="18" w:space="0"/>
              <w:left w:val="single" w:color="auto" w:sz="4" w:space="0"/>
            </w:tcBorders>
            <w:shd w:val="clear" w:color="auto" w:fill="FFFFFF"/>
            <w:noWrap w:val="0"/>
            <w:vAlign w:val="center"/>
          </w:tcPr>
          <w:p w14:paraId="77C6BF26">
            <w:pPr>
              <w:pStyle w:val="32"/>
              <w:shd w:val="clear" w:color="auto" w:fill="auto"/>
              <w:spacing w:before="0" w:line="600" w:lineRule="exact"/>
              <w:ind w:firstLine="0"/>
              <w:jc w:val="center"/>
              <w:rPr>
                <w:rStyle w:val="49"/>
                <w:rFonts w:hint="eastAsia" w:ascii="宋体" w:hAnsi="宋体" w:eastAsia="宋体" w:cs="宋体"/>
                <w:color w:val="auto"/>
              </w:rPr>
            </w:pPr>
            <w:r>
              <w:rPr>
                <w:rStyle w:val="49"/>
                <w:rFonts w:hint="eastAsia" w:ascii="宋体" w:hAnsi="宋体" w:eastAsia="宋体" w:cs="宋体"/>
                <w:color w:val="auto"/>
              </w:rPr>
              <w:t>路基填筑                          80</w:t>
            </w:r>
          </w:p>
          <w:p w14:paraId="210172FF">
            <w:pPr>
              <w:pStyle w:val="32"/>
              <w:shd w:val="clear" w:color="auto" w:fill="auto"/>
              <w:spacing w:before="0" w:line="600" w:lineRule="exact"/>
              <w:ind w:firstLine="0"/>
              <w:jc w:val="center"/>
              <w:rPr>
                <w:rFonts w:hint="eastAsia" w:ascii="宋体" w:hAnsi="宋体" w:eastAsia="宋体" w:cs="宋体"/>
              </w:rPr>
            </w:pPr>
            <w:r>
              <w:rPr>
                <w:rStyle w:val="49"/>
                <w:rFonts w:hint="eastAsia" w:ascii="宋体" w:hAnsi="宋体" w:eastAsia="宋体" w:cs="宋体"/>
                <w:color w:val="auto"/>
              </w:rPr>
              <w:t>路面基层                          70</w:t>
            </w:r>
          </w:p>
        </w:tc>
        <w:tc>
          <w:tcPr>
            <w:tcW w:w="485" w:type="dxa"/>
            <w:tcBorders>
              <w:top w:val="single" w:color="auto" w:sz="4" w:space="0"/>
              <w:left w:val="single" w:color="auto" w:sz="4" w:space="0"/>
            </w:tcBorders>
            <w:shd w:val="clear" w:color="auto" w:fill="FFFFFF"/>
            <w:noWrap w:val="0"/>
            <w:vAlign w:val="top"/>
          </w:tcPr>
          <w:p w14:paraId="2C4523D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4897D4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74C843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F5D9F6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47DE5E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F0E0BBF">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3C84619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A45F6C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F307E3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3A2D2F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6D1596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07DAFD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993D00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E387DC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3FC09E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2C703D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5B4015A">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18D7F071">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5F309F4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4130D8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86E9B8">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5F34D4A6">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50A74986">
            <w:pPr>
              <w:rPr>
                <w:rFonts w:hint="eastAsia" w:ascii="宋体" w:hAnsi="宋体" w:cs="宋体"/>
                <w:sz w:val="10"/>
                <w:szCs w:val="10"/>
              </w:rPr>
            </w:pPr>
          </w:p>
        </w:tc>
      </w:tr>
      <w:tr w14:paraId="0843A956">
        <w:tblPrEx>
          <w:tblCellMar>
            <w:top w:w="0" w:type="dxa"/>
            <w:left w:w="10" w:type="dxa"/>
            <w:bottom w:w="0" w:type="dxa"/>
            <w:right w:w="10" w:type="dxa"/>
          </w:tblCellMar>
        </w:tblPrEx>
        <w:trPr>
          <w:trHeight w:val="288" w:hRule="exact"/>
        </w:trPr>
        <w:tc>
          <w:tcPr>
            <w:tcW w:w="3206" w:type="dxa"/>
            <w:vMerge w:val="continue"/>
            <w:tcBorders>
              <w:left w:val="single" w:color="auto" w:sz="4" w:space="0"/>
            </w:tcBorders>
            <w:shd w:val="clear" w:color="auto" w:fill="FFFFFF"/>
            <w:noWrap w:val="0"/>
            <w:vAlign w:val="center"/>
          </w:tcPr>
          <w:p w14:paraId="445A22E2">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692DEAB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85B41E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8D6BD9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548B87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E940A7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E558944">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140A9B3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37964B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80EEC4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685F92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ED0808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E49322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F7A1E5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7D01EC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D0333D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B39425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F1E1B2A">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0F062EDB">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7A4779F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A3E686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43EBC64">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0A40D91F">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3E4EA893">
            <w:pPr>
              <w:rPr>
                <w:rFonts w:hint="eastAsia" w:ascii="宋体" w:hAnsi="宋体" w:cs="宋体"/>
                <w:sz w:val="10"/>
                <w:szCs w:val="10"/>
              </w:rPr>
            </w:pPr>
          </w:p>
        </w:tc>
      </w:tr>
      <w:tr w14:paraId="30D88D84">
        <w:tblPrEx>
          <w:tblCellMar>
            <w:top w:w="0" w:type="dxa"/>
            <w:left w:w="10" w:type="dxa"/>
            <w:bottom w:w="0" w:type="dxa"/>
            <w:right w:w="10" w:type="dxa"/>
          </w:tblCellMar>
        </w:tblPrEx>
        <w:trPr>
          <w:trHeight w:val="283" w:hRule="exact"/>
        </w:trPr>
        <w:tc>
          <w:tcPr>
            <w:tcW w:w="3206" w:type="dxa"/>
            <w:vMerge w:val="continue"/>
            <w:tcBorders>
              <w:left w:val="single" w:color="auto" w:sz="4" w:space="0"/>
            </w:tcBorders>
            <w:shd w:val="clear" w:color="auto" w:fill="FFFFFF"/>
            <w:noWrap w:val="0"/>
            <w:vAlign w:val="center"/>
          </w:tcPr>
          <w:p w14:paraId="6C554E82">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422B23E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4D82F8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1DBC0F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D1D37D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C0F9AC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1FA648C">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6546723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1D65BD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1B6B3F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1A3150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25D3C5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A27A78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44F8E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EE072A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C0145E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252C7A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6DF06EE">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76491FCB">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23E06A1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7D1CD0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D377CA6">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33E6CDC9">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1F0F382A">
            <w:pPr>
              <w:rPr>
                <w:rFonts w:hint="eastAsia" w:ascii="宋体" w:hAnsi="宋体" w:cs="宋体"/>
                <w:sz w:val="10"/>
                <w:szCs w:val="10"/>
              </w:rPr>
            </w:pPr>
          </w:p>
        </w:tc>
      </w:tr>
      <w:tr w14:paraId="3BCBBC23">
        <w:tblPrEx>
          <w:tblCellMar>
            <w:top w:w="0" w:type="dxa"/>
            <w:left w:w="10" w:type="dxa"/>
            <w:bottom w:w="0" w:type="dxa"/>
            <w:right w:w="10" w:type="dxa"/>
          </w:tblCellMar>
        </w:tblPrEx>
        <w:trPr>
          <w:trHeight w:val="288" w:hRule="exact"/>
        </w:trPr>
        <w:tc>
          <w:tcPr>
            <w:tcW w:w="3206" w:type="dxa"/>
            <w:vMerge w:val="continue"/>
            <w:tcBorders>
              <w:left w:val="single" w:color="auto" w:sz="4" w:space="0"/>
              <w:bottom w:val="thinThickThinSmallGap" w:color="auto" w:sz="24" w:space="0"/>
            </w:tcBorders>
            <w:shd w:val="clear" w:color="auto" w:fill="FFFFFF"/>
            <w:noWrap w:val="0"/>
            <w:vAlign w:val="center"/>
          </w:tcPr>
          <w:p w14:paraId="14A9DD9F">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6FD4122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528F94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477D3F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F8C0CD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A7990A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71CB297">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2E753BB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53B9FA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38F93A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CCA2D7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0E4468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58026A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8223A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1B3506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5F8B31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C822C1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8F90D66">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6ED2CFF1">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5DCE248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A229AC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C0AA17">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643618EE">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5DB36DFC">
            <w:pPr>
              <w:rPr>
                <w:rFonts w:hint="eastAsia" w:ascii="宋体" w:hAnsi="宋体" w:cs="宋体"/>
                <w:sz w:val="10"/>
                <w:szCs w:val="10"/>
              </w:rPr>
            </w:pPr>
          </w:p>
        </w:tc>
      </w:tr>
      <w:tr w14:paraId="28E9657F">
        <w:tblPrEx>
          <w:tblCellMar>
            <w:top w:w="0" w:type="dxa"/>
            <w:left w:w="10" w:type="dxa"/>
            <w:bottom w:w="0" w:type="dxa"/>
            <w:right w:w="10" w:type="dxa"/>
          </w:tblCellMar>
        </w:tblPrEx>
        <w:trPr>
          <w:trHeight w:val="278" w:hRule="exact"/>
        </w:trPr>
        <w:tc>
          <w:tcPr>
            <w:tcW w:w="3206" w:type="dxa"/>
            <w:vMerge w:val="restart"/>
            <w:tcBorders>
              <w:top w:val="thinThickThinSmallGap" w:color="auto" w:sz="24" w:space="0"/>
              <w:left w:val="single" w:color="auto" w:sz="4" w:space="0"/>
            </w:tcBorders>
            <w:shd w:val="clear" w:color="auto" w:fill="FFFFFF"/>
            <w:noWrap w:val="0"/>
            <w:vAlign w:val="center"/>
          </w:tcPr>
          <w:p w14:paraId="03584195">
            <w:pPr>
              <w:pStyle w:val="32"/>
              <w:shd w:val="clear" w:color="auto" w:fill="auto"/>
              <w:spacing w:before="0" w:line="557" w:lineRule="exact"/>
              <w:ind w:firstLine="0"/>
              <w:jc w:val="both"/>
              <w:rPr>
                <w:rStyle w:val="49"/>
                <w:rFonts w:hint="eastAsia" w:ascii="宋体" w:hAnsi="宋体" w:eastAsia="宋体" w:cs="宋体"/>
                <w:color w:val="auto"/>
              </w:rPr>
            </w:pPr>
            <w:r>
              <w:rPr>
                <w:rStyle w:val="49"/>
                <w:rFonts w:hint="eastAsia" w:ascii="宋体" w:hAnsi="宋体" w:eastAsia="宋体" w:cs="宋体"/>
                <w:color w:val="auto"/>
              </w:rPr>
              <w:t>路面面层                          60</w:t>
            </w:r>
          </w:p>
          <w:p w14:paraId="1E739D5C">
            <w:pPr>
              <w:pStyle w:val="32"/>
              <w:shd w:val="clear" w:color="auto" w:fill="auto"/>
              <w:spacing w:before="0" w:line="557" w:lineRule="exact"/>
              <w:ind w:firstLine="0"/>
              <w:jc w:val="both"/>
              <w:rPr>
                <w:rFonts w:hint="eastAsia" w:ascii="宋体" w:hAnsi="宋体" w:eastAsia="宋体" w:cs="宋体"/>
              </w:rPr>
            </w:pPr>
            <w:r>
              <w:rPr>
                <w:rStyle w:val="49"/>
                <w:rFonts w:hint="eastAsia" w:ascii="宋体" w:hAnsi="宋体" w:eastAsia="宋体" w:cs="宋体"/>
                <w:color w:val="auto"/>
              </w:rPr>
              <w:t>防护及排水                        50</w:t>
            </w:r>
          </w:p>
        </w:tc>
        <w:tc>
          <w:tcPr>
            <w:tcW w:w="485" w:type="dxa"/>
            <w:tcBorders>
              <w:top w:val="single" w:color="auto" w:sz="4" w:space="0"/>
              <w:left w:val="single" w:color="auto" w:sz="4" w:space="0"/>
            </w:tcBorders>
            <w:shd w:val="clear" w:color="auto" w:fill="FFFFFF"/>
            <w:noWrap w:val="0"/>
            <w:vAlign w:val="top"/>
          </w:tcPr>
          <w:p w14:paraId="62C5756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1E0280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F1B4BB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706183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C770A3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9802499">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7CE5AFA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7556EB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0F797C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6DB09B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47BF14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772A08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8C8A70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18D869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1F8169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371702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87295B0">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2AAF9670">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5D376AF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5FBDA8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5DF98C1">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6C64F61A">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41C92C89">
            <w:pPr>
              <w:rPr>
                <w:rFonts w:hint="eastAsia" w:ascii="宋体" w:hAnsi="宋体" w:cs="宋体"/>
                <w:sz w:val="10"/>
                <w:szCs w:val="10"/>
              </w:rPr>
            </w:pPr>
          </w:p>
        </w:tc>
      </w:tr>
      <w:tr w14:paraId="282F884B">
        <w:tblPrEx>
          <w:tblCellMar>
            <w:top w:w="0" w:type="dxa"/>
            <w:left w:w="10" w:type="dxa"/>
            <w:bottom w:w="0" w:type="dxa"/>
            <w:right w:w="10" w:type="dxa"/>
          </w:tblCellMar>
        </w:tblPrEx>
        <w:trPr>
          <w:trHeight w:val="283" w:hRule="exact"/>
        </w:trPr>
        <w:tc>
          <w:tcPr>
            <w:tcW w:w="3206" w:type="dxa"/>
            <w:vMerge w:val="continue"/>
            <w:tcBorders>
              <w:left w:val="single" w:color="auto" w:sz="4" w:space="0"/>
            </w:tcBorders>
            <w:shd w:val="clear" w:color="auto" w:fill="FFFFFF"/>
            <w:noWrap w:val="0"/>
            <w:vAlign w:val="center"/>
          </w:tcPr>
          <w:p w14:paraId="63695197">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34680FC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BB19EB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0C68D7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430D40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F4E784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9A6A6D6">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2E0147B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835E3C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04A096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69AB47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EF8FE8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40FDC3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885423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708EBB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BF4FCB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B072BD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7A545E8">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34B45A7D">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162FB75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7150A3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ECF48B1">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41D94182">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08A32208">
            <w:pPr>
              <w:rPr>
                <w:rFonts w:hint="eastAsia" w:ascii="宋体" w:hAnsi="宋体" w:cs="宋体"/>
                <w:sz w:val="10"/>
                <w:szCs w:val="10"/>
              </w:rPr>
            </w:pPr>
          </w:p>
        </w:tc>
      </w:tr>
      <w:tr w14:paraId="423578D4">
        <w:tblPrEx>
          <w:tblCellMar>
            <w:top w:w="0" w:type="dxa"/>
            <w:left w:w="10" w:type="dxa"/>
            <w:bottom w:w="0" w:type="dxa"/>
            <w:right w:w="10" w:type="dxa"/>
          </w:tblCellMar>
        </w:tblPrEx>
        <w:trPr>
          <w:trHeight w:val="283" w:hRule="exact"/>
        </w:trPr>
        <w:tc>
          <w:tcPr>
            <w:tcW w:w="3206" w:type="dxa"/>
            <w:vMerge w:val="continue"/>
            <w:tcBorders>
              <w:left w:val="single" w:color="auto" w:sz="4" w:space="0"/>
            </w:tcBorders>
            <w:shd w:val="clear" w:color="auto" w:fill="FFFFFF"/>
            <w:noWrap w:val="0"/>
            <w:vAlign w:val="center"/>
          </w:tcPr>
          <w:p w14:paraId="0CE63845">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55EF9F4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C96816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EE18DD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B1F39F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4BDF75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2A364CA">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4E085AE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82BA00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ED3003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6F460E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6B7A23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CDADA8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078138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FA0E09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50E940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172BFD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B101AD3">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1B7D6403">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7611C22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BB6D99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E07AD62">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2B7E0C8D">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74482EBB">
            <w:pPr>
              <w:rPr>
                <w:rFonts w:hint="eastAsia" w:ascii="宋体" w:hAnsi="宋体" w:cs="宋体"/>
                <w:sz w:val="10"/>
                <w:szCs w:val="10"/>
              </w:rPr>
            </w:pPr>
          </w:p>
        </w:tc>
      </w:tr>
      <w:tr w14:paraId="1B9229B7">
        <w:tblPrEx>
          <w:tblCellMar>
            <w:top w:w="0" w:type="dxa"/>
            <w:left w:w="10" w:type="dxa"/>
            <w:bottom w:w="0" w:type="dxa"/>
            <w:right w:w="10" w:type="dxa"/>
          </w:tblCellMar>
        </w:tblPrEx>
        <w:trPr>
          <w:trHeight w:val="288" w:hRule="exact"/>
        </w:trPr>
        <w:tc>
          <w:tcPr>
            <w:tcW w:w="3206" w:type="dxa"/>
            <w:vMerge w:val="continue"/>
            <w:tcBorders>
              <w:left w:val="single" w:color="auto" w:sz="4" w:space="0"/>
              <w:bottom w:val="dotDash" w:color="auto" w:sz="12" w:space="0"/>
            </w:tcBorders>
            <w:shd w:val="clear" w:color="auto" w:fill="FFFFFF"/>
            <w:noWrap w:val="0"/>
            <w:vAlign w:val="center"/>
          </w:tcPr>
          <w:p w14:paraId="51AEF069">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0316C70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172747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31D925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549ED0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DE68B1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C171EA5">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146DC92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964047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74E288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5B8E3E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896206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904F4A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D43073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8E1E21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18FEC6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0D57DC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B3DBA8F">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728816F3">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0B03BCC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AC83A0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2BF7A36">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67E901DA">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00E888D1">
            <w:pPr>
              <w:rPr>
                <w:rFonts w:hint="eastAsia" w:ascii="宋体" w:hAnsi="宋体" w:cs="宋体"/>
                <w:sz w:val="10"/>
                <w:szCs w:val="10"/>
              </w:rPr>
            </w:pPr>
          </w:p>
        </w:tc>
      </w:tr>
      <w:tr w14:paraId="30C68720">
        <w:tblPrEx>
          <w:tblCellMar>
            <w:top w:w="0" w:type="dxa"/>
            <w:left w:w="10" w:type="dxa"/>
            <w:bottom w:w="0" w:type="dxa"/>
            <w:right w:w="10" w:type="dxa"/>
          </w:tblCellMar>
        </w:tblPrEx>
        <w:trPr>
          <w:trHeight w:val="283" w:hRule="exact"/>
        </w:trPr>
        <w:tc>
          <w:tcPr>
            <w:tcW w:w="3206" w:type="dxa"/>
            <w:vMerge w:val="restart"/>
            <w:tcBorders>
              <w:top w:val="dotDash" w:color="auto" w:sz="18" w:space="0"/>
              <w:left w:val="single" w:color="auto" w:sz="4" w:space="0"/>
            </w:tcBorders>
            <w:shd w:val="clear" w:color="auto" w:fill="FFFFFF"/>
            <w:noWrap w:val="0"/>
            <w:vAlign w:val="center"/>
          </w:tcPr>
          <w:p w14:paraId="00CE556A">
            <w:pPr>
              <w:pStyle w:val="32"/>
              <w:shd w:val="clear" w:color="auto" w:fill="auto"/>
              <w:spacing w:before="0" w:line="240" w:lineRule="auto"/>
              <w:ind w:right="60" w:firstLine="0"/>
              <w:jc w:val="both"/>
              <w:rPr>
                <w:rFonts w:hint="eastAsia" w:ascii="宋体" w:hAnsi="宋体" w:eastAsia="宋体" w:cs="宋体"/>
              </w:rPr>
            </w:pPr>
            <w:r>
              <w:rPr>
                <w:rStyle w:val="49"/>
                <w:rFonts w:hint="eastAsia" w:ascii="宋体" w:hAnsi="宋体" w:eastAsia="宋体" w:cs="宋体"/>
                <w:color w:val="auto"/>
              </w:rPr>
              <w:t>涵洞及通道                       40</w:t>
            </w:r>
          </w:p>
        </w:tc>
        <w:tc>
          <w:tcPr>
            <w:tcW w:w="485" w:type="dxa"/>
            <w:tcBorders>
              <w:top w:val="single" w:color="auto" w:sz="4" w:space="0"/>
              <w:left w:val="single" w:color="auto" w:sz="4" w:space="0"/>
            </w:tcBorders>
            <w:shd w:val="clear" w:color="auto" w:fill="FFFFFF"/>
            <w:noWrap w:val="0"/>
            <w:vAlign w:val="top"/>
          </w:tcPr>
          <w:p w14:paraId="0521ACF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7A0D07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848760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985A95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59C372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1D8D84A">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28950DB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8718FB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4FB7AD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70A614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2A0926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29DAEB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3C0BC0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243E7E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F98D77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029724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4FD6042">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5D7BE8D0">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0404FD4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07306B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BB11037">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3B51D7FA">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2B53BBAF">
            <w:pPr>
              <w:rPr>
                <w:rFonts w:hint="eastAsia" w:ascii="宋体" w:hAnsi="宋体" w:cs="宋体"/>
                <w:sz w:val="10"/>
                <w:szCs w:val="10"/>
              </w:rPr>
            </w:pPr>
          </w:p>
        </w:tc>
      </w:tr>
      <w:tr w14:paraId="060A19E1">
        <w:tblPrEx>
          <w:tblCellMar>
            <w:top w:w="0" w:type="dxa"/>
            <w:left w:w="10" w:type="dxa"/>
            <w:bottom w:w="0" w:type="dxa"/>
            <w:right w:w="10" w:type="dxa"/>
          </w:tblCellMar>
        </w:tblPrEx>
        <w:trPr>
          <w:trHeight w:val="288" w:hRule="exact"/>
        </w:trPr>
        <w:tc>
          <w:tcPr>
            <w:tcW w:w="3206" w:type="dxa"/>
            <w:vMerge w:val="continue"/>
            <w:tcBorders>
              <w:left w:val="single" w:color="auto" w:sz="4" w:space="0"/>
              <w:bottom w:val="thickThinSmallGap" w:color="auto" w:sz="24" w:space="0"/>
            </w:tcBorders>
            <w:shd w:val="clear" w:color="auto" w:fill="FFFFFF"/>
            <w:noWrap w:val="0"/>
            <w:vAlign w:val="center"/>
          </w:tcPr>
          <w:p w14:paraId="70BCA411">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4370F04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352EC5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CC21B7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1306E8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7B8A55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68DCC5E">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7D18ADE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A45CC5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EB0064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54222A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2C30C4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EB0CF9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B25F91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D44B9A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1EDD03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721576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FB472DC">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6016AF33">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4BDCD16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FB7992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0197434">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3498DB74">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1D36D906">
            <w:pPr>
              <w:rPr>
                <w:rFonts w:hint="eastAsia" w:ascii="宋体" w:hAnsi="宋体" w:cs="宋体"/>
                <w:sz w:val="10"/>
                <w:szCs w:val="10"/>
              </w:rPr>
            </w:pPr>
          </w:p>
        </w:tc>
      </w:tr>
      <w:tr w14:paraId="0909F102">
        <w:tblPrEx>
          <w:tblCellMar>
            <w:top w:w="0" w:type="dxa"/>
            <w:left w:w="10" w:type="dxa"/>
            <w:bottom w:w="0" w:type="dxa"/>
            <w:right w:w="10" w:type="dxa"/>
          </w:tblCellMar>
        </w:tblPrEx>
        <w:trPr>
          <w:trHeight w:val="278" w:hRule="exact"/>
        </w:trPr>
        <w:tc>
          <w:tcPr>
            <w:tcW w:w="3206" w:type="dxa"/>
            <w:vMerge w:val="restart"/>
            <w:tcBorders>
              <w:top w:val="thickThinSmallGap" w:color="auto" w:sz="24" w:space="0"/>
              <w:left w:val="single" w:color="auto" w:sz="4" w:space="0"/>
            </w:tcBorders>
            <w:shd w:val="clear" w:color="auto" w:fill="FFFFFF"/>
            <w:noWrap w:val="0"/>
            <w:vAlign w:val="center"/>
          </w:tcPr>
          <w:p w14:paraId="4BC5DE98">
            <w:pPr>
              <w:pStyle w:val="32"/>
              <w:shd w:val="clear" w:color="auto" w:fill="auto"/>
              <w:spacing w:before="0" w:line="240" w:lineRule="auto"/>
              <w:ind w:right="60" w:firstLine="0"/>
              <w:jc w:val="center"/>
              <w:rPr>
                <w:rFonts w:hint="eastAsia" w:ascii="宋体" w:hAnsi="宋体" w:eastAsia="宋体" w:cs="宋体"/>
              </w:rPr>
            </w:pPr>
            <w:r>
              <w:rPr>
                <w:rStyle w:val="49"/>
                <w:rFonts w:hint="eastAsia" w:ascii="宋体" w:hAnsi="宋体" w:eastAsia="宋体" w:cs="宋体"/>
                <w:color w:val="auto"/>
              </w:rPr>
              <w:t>桥梁下部工程                      30</w:t>
            </w:r>
          </w:p>
        </w:tc>
        <w:tc>
          <w:tcPr>
            <w:tcW w:w="485" w:type="dxa"/>
            <w:tcBorders>
              <w:top w:val="single" w:color="auto" w:sz="4" w:space="0"/>
              <w:left w:val="single" w:color="auto" w:sz="4" w:space="0"/>
            </w:tcBorders>
            <w:shd w:val="clear" w:color="auto" w:fill="FFFFFF"/>
            <w:noWrap w:val="0"/>
            <w:vAlign w:val="top"/>
          </w:tcPr>
          <w:p w14:paraId="674E7E1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185A1A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BD3D6A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F6B4CD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B025A0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50ECB8C">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3B0E2B4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CAD953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2B1EC5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C36B64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75C0F6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99903C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7B24E0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4638C4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D51474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720BDA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180AB41">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23326921">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03FDA4C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BED45C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2BA53F9">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050EF9B8">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219AC9DD">
            <w:pPr>
              <w:rPr>
                <w:rFonts w:hint="eastAsia" w:ascii="宋体" w:hAnsi="宋体" w:cs="宋体"/>
                <w:sz w:val="10"/>
                <w:szCs w:val="10"/>
              </w:rPr>
            </w:pPr>
          </w:p>
        </w:tc>
      </w:tr>
      <w:tr w14:paraId="747E8A7A">
        <w:tblPrEx>
          <w:tblCellMar>
            <w:top w:w="0" w:type="dxa"/>
            <w:left w:w="10" w:type="dxa"/>
            <w:bottom w:w="0" w:type="dxa"/>
            <w:right w:w="10" w:type="dxa"/>
          </w:tblCellMar>
        </w:tblPrEx>
        <w:trPr>
          <w:trHeight w:val="293" w:hRule="exact"/>
        </w:trPr>
        <w:tc>
          <w:tcPr>
            <w:tcW w:w="3206" w:type="dxa"/>
            <w:vMerge w:val="continue"/>
            <w:tcBorders>
              <w:left w:val="single" w:color="auto" w:sz="4" w:space="0"/>
              <w:bottom w:val="thinThickSmallGap" w:color="auto" w:sz="24" w:space="0"/>
            </w:tcBorders>
            <w:shd w:val="clear" w:color="auto" w:fill="FFFFFF"/>
            <w:noWrap w:val="0"/>
            <w:vAlign w:val="center"/>
          </w:tcPr>
          <w:p w14:paraId="2C0BA27A">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78CBC20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CBB796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0BC93B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45CD59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BFC670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436DEE6">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66090FF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30D29A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B522BB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96D3C0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E61212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957790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4921D2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E9F3C9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918AD0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500745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E7562BC">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5E403AF3">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1FEE91F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30E5ED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6AEBF95">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3B9A8D34">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57D6EECD">
            <w:pPr>
              <w:rPr>
                <w:rFonts w:hint="eastAsia" w:ascii="宋体" w:hAnsi="宋体" w:cs="宋体"/>
                <w:sz w:val="10"/>
                <w:szCs w:val="10"/>
              </w:rPr>
            </w:pPr>
          </w:p>
        </w:tc>
      </w:tr>
      <w:tr w14:paraId="331EF8BD">
        <w:tblPrEx>
          <w:tblCellMar>
            <w:top w:w="0" w:type="dxa"/>
            <w:left w:w="10" w:type="dxa"/>
            <w:bottom w:w="0" w:type="dxa"/>
            <w:right w:w="10" w:type="dxa"/>
          </w:tblCellMar>
        </w:tblPrEx>
        <w:trPr>
          <w:trHeight w:val="274" w:hRule="exact"/>
        </w:trPr>
        <w:tc>
          <w:tcPr>
            <w:tcW w:w="3206" w:type="dxa"/>
            <w:vMerge w:val="restart"/>
            <w:tcBorders>
              <w:top w:val="thinThickSmallGap" w:color="auto" w:sz="24" w:space="0"/>
              <w:left w:val="single" w:color="auto" w:sz="4" w:space="0"/>
            </w:tcBorders>
            <w:shd w:val="clear" w:color="auto" w:fill="FFFFFF"/>
            <w:noWrap w:val="0"/>
            <w:vAlign w:val="center"/>
          </w:tcPr>
          <w:p w14:paraId="33E98C79">
            <w:pPr>
              <w:pStyle w:val="32"/>
              <w:shd w:val="clear" w:color="auto" w:fill="auto"/>
              <w:spacing w:before="0" w:line="240" w:lineRule="auto"/>
              <w:ind w:right="60" w:firstLine="0"/>
              <w:jc w:val="center"/>
              <w:rPr>
                <w:rFonts w:hint="eastAsia" w:ascii="宋体" w:hAnsi="宋体" w:eastAsia="宋体" w:cs="宋体"/>
              </w:rPr>
            </w:pPr>
            <w:r>
              <w:rPr>
                <w:rStyle w:val="49"/>
                <w:rFonts w:hint="eastAsia" w:ascii="宋体" w:hAnsi="宋体" w:eastAsia="宋体" w:cs="宋体"/>
                <w:color w:val="auto"/>
              </w:rPr>
              <w:t>桥梁上部工程                      20</w:t>
            </w:r>
          </w:p>
        </w:tc>
        <w:tc>
          <w:tcPr>
            <w:tcW w:w="485" w:type="dxa"/>
            <w:tcBorders>
              <w:top w:val="single" w:color="auto" w:sz="4" w:space="0"/>
              <w:left w:val="single" w:color="auto" w:sz="4" w:space="0"/>
            </w:tcBorders>
            <w:shd w:val="clear" w:color="auto" w:fill="FFFFFF"/>
            <w:noWrap w:val="0"/>
            <w:vAlign w:val="top"/>
          </w:tcPr>
          <w:p w14:paraId="7BC7516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33C176B">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DE1321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C36C78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1BEDCD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B3A9322">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028E532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67F43B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EB33E1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F77914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A80DCB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755E8E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60E1AB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5FCD45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9EEE0E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AEC3924">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BB48FA7">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0EBDE62E">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3FC543E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1BE713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F3D4607">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3B5821DB">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578C8B8B">
            <w:pPr>
              <w:rPr>
                <w:rFonts w:hint="eastAsia" w:ascii="宋体" w:hAnsi="宋体" w:cs="宋体"/>
                <w:sz w:val="10"/>
                <w:szCs w:val="10"/>
              </w:rPr>
            </w:pPr>
          </w:p>
        </w:tc>
      </w:tr>
      <w:tr w14:paraId="39EC67C7">
        <w:tblPrEx>
          <w:tblCellMar>
            <w:top w:w="0" w:type="dxa"/>
            <w:left w:w="10" w:type="dxa"/>
            <w:bottom w:w="0" w:type="dxa"/>
            <w:right w:w="10" w:type="dxa"/>
          </w:tblCellMar>
        </w:tblPrEx>
        <w:trPr>
          <w:trHeight w:val="288" w:hRule="exact"/>
        </w:trPr>
        <w:tc>
          <w:tcPr>
            <w:tcW w:w="3206" w:type="dxa"/>
            <w:vMerge w:val="continue"/>
            <w:tcBorders>
              <w:left w:val="single" w:color="auto" w:sz="4" w:space="0"/>
              <w:bottom w:val="dashed" w:color="auto" w:sz="24" w:space="0"/>
            </w:tcBorders>
            <w:shd w:val="clear" w:color="auto" w:fill="FFFFFF"/>
            <w:noWrap w:val="0"/>
            <w:vAlign w:val="center"/>
          </w:tcPr>
          <w:p w14:paraId="26C5E4D6">
            <w:pPr>
              <w:jc w:val="center"/>
              <w:rPr>
                <w:rFonts w:hint="eastAsia" w:ascii="宋体" w:hAnsi="宋体" w:cs="宋体"/>
              </w:rPr>
            </w:pPr>
          </w:p>
        </w:tc>
        <w:tc>
          <w:tcPr>
            <w:tcW w:w="485" w:type="dxa"/>
            <w:tcBorders>
              <w:top w:val="single" w:color="auto" w:sz="4" w:space="0"/>
              <w:left w:val="single" w:color="auto" w:sz="4" w:space="0"/>
            </w:tcBorders>
            <w:shd w:val="clear" w:color="auto" w:fill="FFFFFF"/>
            <w:noWrap w:val="0"/>
            <w:vAlign w:val="top"/>
          </w:tcPr>
          <w:p w14:paraId="23B328B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6AD6AD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E96B28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2145F7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38F0F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4229A10">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51B9FD3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0874CA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73804D1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DD8868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10A736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8CC5B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78AAD98">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2509D3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10B2FB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A7C1C6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A5FEA1A">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538BB18D">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60DBA02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ABAA089">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C1EF43B">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79453A28">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7285DCCD">
            <w:pPr>
              <w:rPr>
                <w:rFonts w:hint="eastAsia" w:ascii="宋体" w:hAnsi="宋体" w:cs="宋体"/>
                <w:sz w:val="10"/>
                <w:szCs w:val="10"/>
              </w:rPr>
            </w:pPr>
          </w:p>
        </w:tc>
      </w:tr>
      <w:tr w14:paraId="692FD023">
        <w:tblPrEx>
          <w:tblCellMar>
            <w:top w:w="0" w:type="dxa"/>
            <w:left w:w="10" w:type="dxa"/>
            <w:bottom w:w="0" w:type="dxa"/>
            <w:right w:w="10" w:type="dxa"/>
          </w:tblCellMar>
        </w:tblPrEx>
        <w:trPr>
          <w:trHeight w:val="283" w:hRule="exact"/>
        </w:trPr>
        <w:tc>
          <w:tcPr>
            <w:tcW w:w="3206" w:type="dxa"/>
            <w:vMerge w:val="restart"/>
            <w:tcBorders>
              <w:top w:val="dashed" w:color="auto" w:sz="24" w:space="0"/>
              <w:left w:val="single" w:color="auto" w:sz="4" w:space="0"/>
            </w:tcBorders>
            <w:shd w:val="clear" w:color="auto" w:fill="FFFFFF"/>
            <w:noWrap w:val="0"/>
            <w:vAlign w:val="center"/>
          </w:tcPr>
          <w:p w14:paraId="7CBCF67E">
            <w:pPr>
              <w:pStyle w:val="32"/>
              <w:shd w:val="clear" w:color="auto" w:fill="auto"/>
              <w:spacing w:before="0" w:line="170" w:lineRule="exact"/>
              <w:ind w:right="60" w:firstLine="0"/>
              <w:jc w:val="center"/>
              <w:rPr>
                <w:rFonts w:hint="eastAsia" w:ascii="宋体" w:hAnsi="宋体" w:eastAsia="宋体" w:cs="宋体"/>
              </w:rPr>
            </w:pPr>
            <w:r>
              <w:rPr>
                <w:rStyle w:val="49"/>
                <w:rFonts w:hint="eastAsia" w:ascii="宋体" w:hAnsi="宋体" w:eastAsia="宋体" w:cs="宋体"/>
                <w:color w:val="auto"/>
              </w:rPr>
              <w:t>隧道                              10</w:t>
            </w:r>
          </w:p>
        </w:tc>
        <w:tc>
          <w:tcPr>
            <w:tcW w:w="485" w:type="dxa"/>
            <w:tcBorders>
              <w:top w:val="single" w:color="auto" w:sz="4" w:space="0"/>
              <w:left w:val="single" w:color="auto" w:sz="4" w:space="0"/>
            </w:tcBorders>
            <w:shd w:val="clear" w:color="auto" w:fill="FFFFFF"/>
            <w:noWrap w:val="0"/>
            <w:vAlign w:val="top"/>
          </w:tcPr>
          <w:p w14:paraId="05926FE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862261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6D54CC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DA1FA7D">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44D5F87">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79764D2">
            <w:pPr>
              <w:rPr>
                <w:rFonts w:hint="eastAsia" w:ascii="宋体" w:hAnsi="宋体" w:cs="宋体"/>
                <w:sz w:val="10"/>
                <w:szCs w:val="10"/>
              </w:rPr>
            </w:pPr>
          </w:p>
        </w:tc>
        <w:tc>
          <w:tcPr>
            <w:tcW w:w="490" w:type="dxa"/>
            <w:tcBorders>
              <w:top w:val="single" w:color="auto" w:sz="4" w:space="0"/>
              <w:left w:val="single" w:color="auto" w:sz="4" w:space="0"/>
            </w:tcBorders>
            <w:shd w:val="clear" w:color="auto" w:fill="FFFFFF"/>
            <w:noWrap w:val="0"/>
            <w:vAlign w:val="top"/>
          </w:tcPr>
          <w:p w14:paraId="622DEE32">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D254995">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92DEFD6">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13F11991">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F48C270">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4D664A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659E87C3">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46F6A1AE">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3F2E5BC">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3F92DDCF">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212DB581">
            <w:pPr>
              <w:rPr>
                <w:rFonts w:hint="eastAsia" w:ascii="宋体" w:hAnsi="宋体" w:cs="宋体"/>
                <w:sz w:val="10"/>
                <w:szCs w:val="10"/>
              </w:rPr>
            </w:pPr>
          </w:p>
        </w:tc>
        <w:tc>
          <w:tcPr>
            <w:tcW w:w="494" w:type="dxa"/>
            <w:tcBorders>
              <w:top w:val="single" w:color="auto" w:sz="4" w:space="0"/>
              <w:left w:val="single" w:color="auto" w:sz="4" w:space="0"/>
            </w:tcBorders>
            <w:shd w:val="clear" w:color="auto" w:fill="FFFFFF"/>
            <w:noWrap w:val="0"/>
            <w:vAlign w:val="top"/>
          </w:tcPr>
          <w:p w14:paraId="00B29B1C">
            <w:pPr>
              <w:rPr>
                <w:rFonts w:hint="eastAsia" w:ascii="宋体" w:hAnsi="宋体" w:cs="宋体"/>
                <w:sz w:val="10"/>
                <w:szCs w:val="10"/>
              </w:rPr>
            </w:pPr>
          </w:p>
        </w:tc>
        <w:tc>
          <w:tcPr>
            <w:tcW w:w="475" w:type="dxa"/>
            <w:tcBorders>
              <w:top w:val="single" w:color="auto" w:sz="4" w:space="0"/>
              <w:left w:val="single" w:color="auto" w:sz="4" w:space="0"/>
            </w:tcBorders>
            <w:shd w:val="clear" w:color="auto" w:fill="FFFFFF"/>
            <w:noWrap w:val="0"/>
            <w:vAlign w:val="top"/>
          </w:tcPr>
          <w:p w14:paraId="2D2542E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0EDE4BEA">
            <w:pPr>
              <w:rPr>
                <w:rFonts w:hint="eastAsia" w:ascii="宋体" w:hAnsi="宋体" w:cs="宋体"/>
                <w:sz w:val="10"/>
                <w:szCs w:val="10"/>
              </w:rPr>
            </w:pPr>
          </w:p>
        </w:tc>
        <w:tc>
          <w:tcPr>
            <w:tcW w:w="485" w:type="dxa"/>
            <w:tcBorders>
              <w:top w:val="single" w:color="auto" w:sz="4" w:space="0"/>
              <w:left w:val="single" w:color="auto" w:sz="4" w:space="0"/>
            </w:tcBorders>
            <w:shd w:val="clear" w:color="auto" w:fill="FFFFFF"/>
            <w:noWrap w:val="0"/>
            <w:vAlign w:val="top"/>
          </w:tcPr>
          <w:p w14:paraId="50B6C41F">
            <w:pPr>
              <w:rPr>
                <w:rFonts w:hint="eastAsia" w:ascii="宋体" w:hAnsi="宋体" w:cs="宋体"/>
                <w:sz w:val="10"/>
                <w:szCs w:val="10"/>
              </w:rPr>
            </w:pPr>
          </w:p>
        </w:tc>
        <w:tc>
          <w:tcPr>
            <w:tcW w:w="485" w:type="dxa"/>
            <w:tcBorders>
              <w:top w:val="single" w:color="auto" w:sz="4" w:space="0"/>
              <w:left w:val="single" w:color="auto" w:sz="4" w:space="0"/>
            </w:tcBorders>
            <w:noWrap w:val="0"/>
            <w:vAlign w:val="top"/>
          </w:tcPr>
          <w:p w14:paraId="2A4B4A8A">
            <w:pPr>
              <w:rPr>
                <w:rFonts w:hint="eastAsia" w:ascii="宋体" w:hAnsi="宋体" w:cs="宋体"/>
                <w:sz w:val="10"/>
                <w:szCs w:val="10"/>
              </w:rPr>
            </w:pPr>
          </w:p>
        </w:tc>
        <w:tc>
          <w:tcPr>
            <w:tcW w:w="499" w:type="dxa"/>
            <w:tcBorders>
              <w:top w:val="single" w:color="auto" w:sz="4" w:space="0"/>
              <w:left w:val="single" w:color="auto" w:sz="4" w:space="0"/>
              <w:right w:val="single" w:color="auto" w:sz="4" w:space="0"/>
            </w:tcBorders>
            <w:noWrap w:val="0"/>
            <w:vAlign w:val="top"/>
          </w:tcPr>
          <w:p w14:paraId="23ABEDC5">
            <w:pPr>
              <w:rPr>
                <w:rFonts w:hint="eastAsia" w:ascii="宋体" w:hAnsi="宋体" w:cs="宋体"/>
                <w:sz w:val="10"/>
                <w:szCs w:val="10"/>
              </w:rPr>
            </w:pPr>
          </w:p>
        </w:tc>
      </w:tr>
      <w:tr w14:paraId="5F046D03">
        <w:tblPrEx>
          <w:tblCellMar>
            <w:top w:w="0" w:type="dxa"/>
            <w:left w:w="10" w:type="dxa"/>
            <w:bottom w:w="0" w:type="dxa"/>
            <w:right w:w="10" w:type="dxa"/>
          </w:tblCellMar>
        </w:tblPrEx>
        <w:trPr>
          <w:trHeight w:val="293" w:hRule="exact"/>
        </w:trPr>
        <w:tc>
          <w:tcPr>
            <w:tcW w:w="3206" w:type="dxa"/>
            <w:vMerge w:val="continue"/>
            <w:tcBorders>
              <w:left w:val="single" w:color="auto" w:sz="4" w:space="0"/>
              <w:bottom w:val="single" w:color="auto" w:sz="4" w:space="0"/>
            </w:tcBorders>
            <w:shd w:val="clear" w:color="auto" w:fill="FFFFFF"/>
            <w:noWrap w:val="0"/>
            <w:vAlign w:val="top"/>
          </w:tcPr>
          <w:p w14:paraId="36F8E57A">
            <w:pPr>
              <w:rPr>
                <w:rFonts w:hint="eastAsia" w:ascii="宋体" w:hAnsi="宋体" w:cs="宋体"/>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6CDBF0FC">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5635912C">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2A43CDD1">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2915510A">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0320A242">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494FF6E3">
            <w:pPr>
              <w:rPr>
                <w:rFonts w:hint="eastAsia" w:ascii="宋体" w:hAnsi="宋体" w:cs="宋体"/>
                <w:sz w:val="10"/>
                <w:szCs w:val="10"/>
              </w:rPr>
            </w:pPr>
          </w:p>
        </w:tc>
        <w:tc>
          <w:tcPr>
            <w:tcW w:w="490" w:type="dxa"/>
            <w:tcBorders>
              <w:top w:val="single" w:color="auto" w:sz="4" w:space="0"/>
              <w:left w:val="single" w:color="auto" w:sz="4" w:space="0"/>
              <w:bottom w:val="single" w:color="auto" w:sz="4" w:space="0"/>
            </w:tcBorders>
            <w:shd w:val="clear" w:color="auto" w:fill="FFFFFF"/>
            <w:noWrap w:val="0"/>
            <w:vAlign w:val="top"/>
          </w:tcPr>
          <w:p w14:paraId="122B52DE">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3657513A">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50ED221B">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240BAA9E">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5A91CAF8">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5BC5F2ED">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2226C855">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4E3028CB">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1A549A87">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1F157FDD">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513ECBE1">
            <w:pPr>
              <w:rPr>
                <w:rFonts w:hint="eastAsia" w:ascii="宋体" w:hAnsi="宋体" w:cs="宋体"/>
                <w:sz w:val="10"/>
                <w:szCs w:val="10"/>
              </w:rPr>
            </w:pPr>
          </w:p>
        </w:tc>
        <w:tc>
          <w:tcPr>
            <w:tcW w:w="494" w:type="dxa"/>
            <w:tcBorders>
              <w:top w:val="single" w:color="auto" w:sz="4" w:space="0"/>
              <w:left w:val="single" w:color="auto" w:sz="4" w:space="0"/>
              <w:bottom w:val="single" w:color="auto" w:sz="4" w:space="0"/>
            </w:tcBorders>
            <w:shd w:val="clear" w:color="auto" w:fill="FFFFFF"/>
            <w:noWrap w:val="0"/>
            <w:vAlign w:val="top"/>
          </w:tcPr>
          <w:p w14:paraId="5A8B7FA0">
            <w:pPr>
              <w:rPr>
                <w:rFonts w:hint="eastAsia" w:ascii="宋体" w:hAnsi="宋体" w:cs="宋体"/>
                <w:sz w:val="10"/>
                <w:szCs w:val="10"/>
              </w:rPr>
            </w:pPr>
          </w:p>
        </w:tc>
        <w:tc>
          <w:tcPr>
            <w:tcW w:w="475" w:type="dxa"/>
            <w:tcBorders>
              <w:top w:val="single" w:color="auto" w:sz="4" w:space="0"/>
              <w:left w:val="single" w:color="auto" w:sz="4" w:space="0"/>
              <w:bottom w:val="single" w:color="auto" w:sz="4" w:space="0"/>
            </w:tcBorders>
            <w:shd w:val="clear" w:color="auto" w:fill="FFFFFF"/>
            <w:noWrap w:val="0"/>
            <w:vAlign w:val="top"/>
          </w:tcPr>
          <w:p w14:paraId="41CA5762">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793CAD8A">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shd w:val="clear" w:color="auto" w:fill="FFFFFF"/>
            <w:noWrap w:val="0"/>
            <w:vAlign w:val="top"/>
          </w:tcPr>
          <w:p w14:paraId="0BB1930F">
            <w:pPr>
              <w:rPr>
                <w:rFonts w:hint="eastAsia" w:ascii="宋体" w:hAnsi="宋体" w:cs="宋体"/>
                <w:sz w:val="10"/>
                <w:szCs w:val="10"/>
              </w:rPr>
            </w:pPr>
          </w:p>
        </w:tc>
        <w:tc>
          <w:tcPr>
            <w:tcW w:w="485" w:type="dxa"/>
            <w:tcBorders>
              <w:top w:val="single" w:color="auto" w:sz="4" w:space="0"/>
              <w:left w:val="single" w:color="auto" w:sz="4" w:space="0"/>
              <w:bottom w:val="single" w:color="auto" w:sz="4" w:space="0"/>
            </w:tcBorders>
            <w:noWrap w:val="0"/>
            <w:vAlign w:val="top"/>
          </w:tcPr>
          <w:p w14:paraId="6355A3E6">
            <w:pPr>
              <w:rPr>
                <w:rFonts w:hint="eastAsia" w:ascii="宋体" w:hAnsi="宋体" w:cs="宋体"/>
                <w:sz w:val="10"/>
                <w:szCs w:val="10"/>
              </w:rPr>
            </w:pPr>
          </w:p>
        </w:tc>
        <w:tc>
          <w:tcPr>
            <w:tcW w:w="499" w:type="dxa"/>
            <w:tcBorders>
              <w:top w:val="single" w:color="auto" w:sz="4" w:space="0"/>
              <w:left w:val="single" w:color="auto" w:sz="4" w:space="0"/>
              <w:bottom w:val="single" w:color="auto" w:sz="4" w:space="0"/>
              <w:right w:val="single" w:color="auto" w:sz="4" w:space="0"/>
            </w:tcBorders>
            <w:noWrap w:val="0"/>
            <w:vAlign w:val="top"/>
          </w:tcPr>
          <w:p w14:paraId="5A15AC6A">
            <w:pPr>
              <w:rPr>
                <w:rFonts w:hint="eastAsia" w:ascii="宋体" w:hAnsi="宋体" w:cs="宋体"/>
                <w:sz w:val="10"/>
                <w:szCs w:val="10"/>
              </w:rPr>
            </w:pPr>
          </w:p>
        </w:tc>
      </w:tr>
    </w:tbl>
    <w:p w14:paraId="2B8EA1EA">
      <w:pPr>
        <w:pStyle w:val="50"/>
        <w:shd w:val="clear" w:color="auto" w:fill="auto"/>
        <w:spacing w:before="162" w:after="238" w:line="170" w:lineRule="exact"/>
        <w:ind w:left="209" w:leftChars="80" w:hanging="41" w:hangingChars="23"/>
        <w:jc w:val="left"/>
        <w:rPr>
          <w:rStyle w:val="48"/>
          <w:rFonts w:ascii="宋体" w:hAnsi="宋体" w:eastAsia="宋体" w:cs="宋体"/>
          <w:color w:val="auto"/>
          <w:sz w:val="18"/>
          <w:szCs w:val="18"/>
          <w:lang w:val="en-US"/>
        </w:rPr>
      </w:pPr>
      <w:r>
        <w:rPr>
          <w:rStyle w:val="48"/>
          <w:rFonts w:hint="eastAsia" w:ascii="宋体" w:hAnsi="宋体" w:eastAsia="宋体" w:cs="宋体"/>
          <w:color w:val="auto"/>
          <w:sz w:val="18"/>
          <w:szCs w:val="18"/>
        </w:rPr>
        <w:t>注：</w:t>
      </w:r>
      <w:r>
        <w:rPr>
          <w:rStyle w:val="51"/>
          <w:rFonts w:hint="eastAsia" w:ascii="宋体" w:hAnsi="宋体" w:eastAsia="宋体" w:cs="宋体"/>
          <w:color w:val="auto"/>
          <w:sz w:val="18"/>
          <w:szCs w:val="18"/>
        </w:rPr>
        <w:t>1.</w:t>
      </w:r>
      <w:r>
        <w:rPr>
          <w:rStyle w:val="48"/>
          <w:rFonts w:hint="eastAsia" w:ascii="宋体" w:hAnsi="宋体" w:eastAsia="宋体" w:cs="宋体"/>
          <w:color w:val="auto"/>
          <w:sz w:val="18"/>
          <w:szCs w:val="18"/>
        </w:rPr>
        <w:t>应按各标段实际工程内容填写；</w:t>
      </w:r>
      <w:r>
        <w:rPr>
          <w:rStyle w:val="51"/>
          <w:rFonts w:hint="eastAsia" w:ascii="宋体" w:hAnsi="宋体" w:eastAsia="宋体" w:cs="宋体"/>
          <w:color w:val="auto"/>
          <w:sz w:val="18"/>
          <w:szCs w:val="18"/>
        </w:rPr>
        <w:t>2.</w:t>
      </w:r>
      <w:r>
        <w:rPr>
          <w:rStyle w:val="48"/>
          <w:rFonts w:hint="eastAsia" w:ascii="宋体" w:hAnsi="宋体" w:eastAsia="宋体" w:cs="宋体"/>
          <w:color w:val="auto"/>
          <w:sz w:val="18"/>
          <w:szCs w:val="18"/>
        </w:rPr>
        <w:t>各个项目的进程可用线条的长短来表示；</w:t>
      </w:r>
      <w:r>
        <w:rPr>
          <w:rStyle w:val="48"/>
          <w:rFonts w:hint="eastAsia" w:ascii="宋体" w:hAnsi="宋体" w:eastAsia="宋体" w:cs="宋体"/>
          <w:color w:val="auto"/>
          <w:sz w:val="18"/>
          <w:szCs w:val="18"/>
          <w:lang w:val="en-US"/>
        </w:rPr>
        <w:t>3.本表可根据项目情况自行调整。</w:t>
      </w:r>
    </w:p>
    <w:p w14:paraId="5C9C6EC5">
      <w:pPr>
        <w:pStyle w:val="43"/>
        <w:shd w:val="clear" w:color="auto" w:fill="auto"/>
        <w:spacing w:after="184" w:line="360" w:lineRule="auto"/>
        <w:ind w:left="260"/>
        <w:jc w:val="left"/>
        <w:rPr>
          <w:rFonts w:hint="eastAsia" w:ascii="宋体" w:hAnsi="宋体" w:eastAsia="宋体" w:cs="宋体"/>
        </w:rPr>
        <w:sectPr>
          <w:pgSz w:w="16838" w:h="11909" w:orient="landscape"/>
          <w:pgMar w:top="1418" w:right="1418" w:bottom="1418" w:left="1418" w:header="851" w:footer="964" w:gutter="0"/>
          <w:pgNumType w:fmt="decimal"/>
          <w:cols w:space="720" w:num="1"/>
          <w:docGrid w:linePitch="360" w:charSpace="0"/>
        </w:sectPr>
      </w:pPr>
      <w:bookmarkStart w:id="605" w:name="bookmark565"/>
      <w:bookmarkStart w:id="606" w:name="bookmark566"/>
    </w:p>
    <w:p w14:paraId="09C81635">
      <w:pPr>
        <w:pStyle w:val="43"/>
        <w:shd w:val="clear" w:color="auto" w:fill="auto"/>
        <w:spacing w:after="184" w:line="360" w:lineRule="auto"/>
        <w:jc w:val="left"/>
        <w:outlineLvl w:val="9"/>
        <w:rPr>
          <w:rFonts w:hint="eastAsia" w:ascii="宋体" w:hAnsi="宋体" w:eastAsia="宋体" w:cs="宋体"/>
        </w:rPr>
      </w:pPr>
      <w:bookmarkStart w:id="607" w:name="_Toc13217"/>
      <w:bookmarkStart w:id="608" w:name="_Toc32670"/>
      <w:r>
        <w:rPr>
          <w:rFonts w:hint="eastAsia" w:ascii="宋体" w:hAnsi="宋体" w:eastAsia="宋体" w:cs="宋体"/>
        </w:rPr>
        <w:t>附表三  工程管理曲线</w:t>
      </w:r>
      <w:bookmarkEnd w:id="605"/>
      <w:bookmarkEnd w:id="606"/>
      <w:bookmarkEnd w:id="607"/>
      <w:bookmarkEnd w:id="608"/>
    </w:p>
    <w:tbl>
      <w:tblPr>
        <w:tblStyle w:val="29"/>
        <w:tblW w:w="93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4"/>
        <w:gridCol w:w="598"/>
        <w:gridCol w:w="403"/>
        <w:gridCol w:w="405"/>
        <w:gridCol w:w="406"/>
        <w:gridCol w:w="406"/>
        <w:gridCol w:w="405"/>
        <w:gridCol w:w="403"/>
        <w:gridCol w:w="406"/>
        <w:gridCol w:w="405"/>
        <w:gridCol w:w="405"/>
        <w:gridCol w:w="406"/>
        <w:gridCol w:w="405"/>
        <w:gridCol w:w="405"/>
        <w:gridCol w:w="406"/>
        <w:gridCol w:w="405"/>
        <w:gridCol w:w="405"/>
        <w:gridCol w:w="406"/>
        <w:gridCol w:w="408"/>
        <w:gridCol w:w="405"/>
        <w:gridCol w:w="408"/>
        <w:gridCol w:w="413"/>
      </w:tblGrid>
      <w:tr w14:paraId="1A042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jc w:val="center"/>
        </w:trPr>
        <w:tc>
          <w:tcPr>
            <w:tcW w:w="1242" w:type="dxa"/>
            <w:gridSpan w:val="2"/>
            <w:vMerge w:val="restart"/>
            <w:tcBorders>
              <w:bottom w:val="nil"/>
              <w:tl2br w:val="single" w:color="000000" w:sz="4" w:space="0"/>
            </w:tcBorders>
            <w:noWrap w:val="0"/>
            <w:vAlign w:val="top"/>
          </w:tcPr>
          <w:p w14:paraId="2F78245E">
            <w:pPr>
              <w:spacing w:line="684" w:lineRule="exact"/>
              <w:ind w:firstLine="3"/>
              <w:textAlignment w:val="center"/>
            </w:pPr>
            <w:r>
              <mc:AlternateContent>
                <mc:Choice Requires="wpg">
                  <w:drawing>
                    <wp:inline distT="0" distB="0" distL="114300" distR="114300">
                      <wp:extent cx="782955" cy="434975"/>
                      <wp:effectExtent l="635" t="1905" r="24130" b="0"/>
                      <wp:docPr id="6" name="组合 6"/>
                      <wp:cNvGraphicFramePr/>
                      <a:graphic xmlns:a="http://schemas.openxmlformats.org/drawingml/2006/main">
                        <a:graphicData uri="http://schemas.microsoft.com/office/word/2010/wordprocessingGroup">
                          <wpg:wgp>
                            <wpg:cNvGrpSpPr>
                              <a:grpSpLocks noRot="1"/>
                            </wpg:cNvGrpSpPr>
                            <wpg:grpSpPr>
                              <a:xfrm>
                                <a:off x="0" y="0"/>
                                <a:ext cx="782955" cy="434975"/>
                                <a:chOff x="0" y="0"/>
                                <a:chExt cx="1233" cy="685"/>
                              </a:xfrm>
                              <a:effectLst/>
                            </wpg:grpSpPr>
                            <wps:wsp>
                              <wps:cNvPr id="7" name="任意多边形 2"/>
                              <wps:cNvSpPr/>
                              <wps:spPr>
                                <a:xfrm>
                                  <a:off x="0" y="0"/>
                                  <a:ext cx="1231" cy="439"/>
                                </a:xfrm>
                                <a:custGeom>
                                  <a:avLst/>
                                  <a:gdLst/>
                                  <a:ahLst/>
                                  <a:cxnLst/>
                                  <a:pathLst>
                                    <a:path w="1231" h="439">
                                      <a:moveTo>
                                        <a:pt x="1" y="4"/>
                                      </a:moveTo>
                                      <a:lnTo>
                                        <a:pt x="1230" y="434"/>
                                      </a:lnTo>
                                    </a:path>
                                  </a:pathLst>
                                </a:custGeom>
                                <a:noFill/>
                                <a:ln w="6096" cap="flat" cmpd="sng">
                                  <a:solidFill>
                                    <a:srgbClr val="000000"/>
                                  </a:solidFill>
                                  <a:prstDash val="solid"/>
                                  <a:headEnd type="none" w="med" len="med"/>
                                  <a:tailEnd type="none" w="med" len="med"/>
                                </a:ln>
                                <a:effectLst/>
                              </wps:spPr>
                              <wps:bodyPr upright="1"/>
                            </wps:wsp>
                            <wps:wsp>
                              <wps:cNvPr id="8" name="文本框 3"/>
                              <wps:cNvSpPr txBox="1"/>
                              <wps:spPr>
                                <a:xfrm>
                                  <a:off x="799" y="14"/>
                                  <a:ext cx="454" cy="730"/>
                                </a:xfrm>
                                <a:prstGeom prst="rect">
                                  <a:avLst/>
                                </a:prstGeom>
                                <a:noFill/>
                                <a:ln>
                                  <a:noFill/>
                                </a:ln>
                                <a:effectLst/>
                              </wps:spPr>
                              <wps:txbx>
                                <w:txbxContent>
                                  <w:p w14:paraId="09573681">
                                    <w:pPr>
                                      <w:spacing w:before="19" w:line="221" w:lineRule="auto"/>
                                      <w:ind w:left="20"/>
                                      <w:rPr>
                                        <w:rFonts w:ascii="宋体" w:hAnsi="宋体" w:cs="宋体"/>
                                        <w:szCs w:val="21"/>
                                      </w:rPr>
                                    </w:pPr>
                                    <w:r>
                                      <w:rPr>
                                        <w:rFonts w:ascii="宋体" w:hAnsi="宋体" w:cs="宋体"/>
                                        <w:spacing w:val="-2"/>
                                        <w:szCs w:val="21"/>
                                      </w:rPr>
                                      <w:t>年度</w:t>
                                    </w:r>
                                  </w:p>
                                  <w:p w14:paraId="07939BE3">
                                    <w:pPr>
                                      <w:spacing w:before="187" w:line="221" w:lineRule="auto"/>
                                      <w:ind w:left="20"/>
                                      <w:rPr>
                                        <w:rFonts w:ascii="宋体" w:hAnsi="宋体" w:cs="宋体"/>
                                        <w:szCs w:val="21"/>
                                      </w:rPr>
                                    </w:pPr>
                                    <w:r>
                                      <w:rPr>
                                        <w:rFonts w:ascii="宋体" w:hAnsi="宋体" w:cs="宋体"/>
                                        <w:spacing w:val="-2"/>
                                        <w:szCs w:val="21"/>
                                      </w:rPr>
                                      <w:t>季度</w:t>
                                    </w:r>
                                  </w:p>
                                </w:txbxContent>
                              </wps:txbx>
                              <wps:bodyPr lIns="0" tIns="0" rIns="0" bIns="0" upright="1"/>
                            </wps:wsp>
                          </wpg:wgp>
                        </a:graphicData>
                      </a:graphic>
                    </wp:inline>
                  </w:drawing>
                </mc:Choice>
                <mc:Fallback>
                  <w:pict>
                    <v:group id="_x0000_s1026" o:spid="_x0000_s1026" o:spt="203" style="height:34.25pt;width:61.65pt;" coordsize="1233,685" o:gfxdata="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">
                      <o:lock v:ext="edit" rotation="t" aspectratio="f"/>
                      <v:shape id="任意多边形 2" o:spid="_x0000_s1026" o:spt="100" style="position:absolute;left:0;top:0;height:439;width:1231;" filled="f" stroked="t" coordsize="1231,439" o:gfxdata="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UHRm8AAAA&#10;2gAAAA8AAAAAAAAAAQAgAAAAIgAAAGRycy9kb3ducmV2LnhtbFBLAQIUABQAAAAIAIdO4kAzLwWe&#10;OwAAADkAAAAQAAAAAAAAAAEAIAAAAAsBAABkcnMvc2hhcGV4bWwueG1sUEsFBgAAAAAGAAYAWwEA&#10;ALUDAAAAAA==&#10;" path="m1,4l1230,434e">
                        <v:fill on="f" focussize="0,0"/>
                        <v:stroke weight="0.48pt" color="#000000" joinstyle="round"/>
                        <v:imagedata o:title=""/>
                        <o:lock v:ext="edit" aspectratio="f"/>
                      </v:shape>
                      <v:shape id="文本框 3" o:spid="_x0000_s1026" o:spt="202" type="#_x0000_t202" style="position:absolute;left:799;top:14;height:730;width:454;"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09573681">
                              <w:pPr>
                                <w:spacing w:before="19" w:line="221" w:lineRule="auto"/>
                                <w:ind w:left="20"/>
                                <w:rPr>
                                  <w:rFonts w:ascii="宋体" w:hAnsi="宋体" w:cs="宋体"/>
                                  <w:szCs w:val="21"/>
                                </w:rPr>
                              </w:pPr>
                              <w:r>
                                <w:rPr>
                                  <w:rFonts w:ascii="宋体" w:hAnsi="宋体" w:cs="宋体"/>
                                  <w:spacing w:val="-2"/>
                                  <w:szCs w:val="21"/>
                                </w:rPr>
                                <w:t>年度</w:t>
                              </w:r>
                            </w:p>
                            <w:p w14:paraId="07939BE3">
                              <w:pPr>
                                <w:spacing w:before="187" w:line="221" w:lineRule="auto"/>
                                <w:ind w:left="20"/>
                                <w:rPr>
                                  <w:rFonts w:ascii="宋体" w:hAnsi="宋体" w:cs="宋体"/>
                                  <w:szCs w:val="21"/>
                                </w:rPr>
                              </w:pPr>
                              <w:r>
                                <w:rPr>
                                  <w:rFonts w:ascii="宋体" w:hAnsi="宋体" w:cs="宋体"/>
                                  <w:spacing w:val="-2"/>
                                  <w:szCs w:val="21"/>
                                </w:rPr>
                                <w:t>季度</w:t>
                              </w:r>
                            </w:p>
                          </w:txbxContent>
                        </v:textbox>
                      </v:shape>
                      <w10:wrap type="none"/>
                      <w10:anchorlock/>
                    </v:group>
                  </w:pict>
                </mc:Fallback>
              </mc:AlternateContent>
            </w:r>
          </w:p>
        </w:tc>
        <w:tc>
          <w:tcPr>
            <w:tcW w:w="4860" w:type="dxa"/>
            <w:gridSpan w:val="12"/>
            <w:noWrap w:val="0"/>
            <w:vAlign w:val="top"/>
          </w:tcPr>
          <w:p w14:paraId="1846A14E">
            <w:pPr>
              <w:tabs>
                <w:tab w:val="left" w:pos="2752"/>
              </w:tabs>
              <w:spacing w:before="113" w:line="221" w:lineRule="auto"/>
              <w:ind w:left="1902"/>
              <w:rPr>
                <w:rFonts w:ascii="宋体" w:hAnsi="宋体" w:cs="宋体"/>
                <w:szCs w:val="21"/>
              </w:rPr>
            </w:pPr>
            <w:r>
              <w:rPr>
                <w:rFonts w:ascii="宋体" w:hAnsi="宋体" w:cs="宋体"/>
                <w:szCs w:val="21"/>
                <w:u w:val="single"/>
              </w:rPr>
              <w:tab/>
            </w:r>
            <w:r>
              <w:rPr>
                <w:rFonts w:ascii="宋体" w:hAnsi="宋体" w:cs="宋体"/>
                <w:szCs w:val="21"/>
              </w:rPr>
              <w:t>年</w:t>
            </w:r>
          </w:p>
        </w:tc>
        <w:tc>
          <w:tcPr>
            <w:tcW w:w="3256" w:type="dxa"/>
            <w:gridSpan w:val="8"/>
            <w:noWrap w:val="0"/>
            <w:vAlign w:val="top"/>
          </w:tcPr>
          <w:p w14:paraId="2CF16BBF">
            <w:pPr>
              <w:tabs>
                <w:tab w:val="left" w:pos="2056"/>
              </w:tabs>
              <w:spacing w:before="113" w:line="221" w:lineRule="auto"/>
              <w:ind w:left="995"/>
              <w:rPr>
                <w:rFonts w:ascii="宋体" w:hAnsi="宋体" w:cs="宋体"/>
                <w:szCs w:val="21"/>
              </w:rPr>
            </w:pPr>
            <w:r>
              <w:rPr>
                <w:rFonts w:ascii="宋体" w:hAnsi="宋体" w:cs="宋体"/>
                <w:szCs w:val="21"/>
                <w:u w:val="single"/>
              </w:rPr>
              <w:tab/>
            </w:r>
            <w:r>
              <w:rPr>
                <w:rFonts w:ascii="宋体" w:hAnsi="宋体" w:cs="宋体"/>
                <w:szCs w:val="21"/>
              </w:rPr>
              <w:t>年</w:t>
            </w:r>
          </w:p>
        </w:tc>
      </w:tr>
      <w:tr w14:paraId="538DD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jc w:val="center"/>
        </w:trPr>
        <w:tc>
          <w:tcPr>
            <w:tcW w:w="1242" w:type="dxa"/>
            <w:gridSpan w:val="2"/>
            <w:vMerge w:val="continue"/>
            <w:tcBorders>
              <w:top w:val="nil"/>
              <w:bottom w:val="nil"/>
              <w:tl2br w:val="single" w:color="000000" w:sz="4" w:space="0"/>
            </w:tcBorders>
            <w:noWrap w:val="0"/>
            <w:vAlign w:val="top"/>
          </w:tcPr>
          <w:p w14:paraId="4A9AEAC5">
            <w:pPr>
              <w:rPr>
                <w:rFonts w:ascii="Arial"/>
              </w:rPr>
            </w:pPr>
          </w:p>
        </w:tc>
        <w:tc>
          <w:tcPr>
            <w:tcW w:w="1214" w:type="dxa"/>
            <w:gridSpan w:val="3"/>
            <w:noWrap w:val="0"/>
            <w:vAlign w:val="top"/>
          </w:tcPr>
          <w:p w14:paraId="3AAFED71">
            <w:pPr>
              <w:spacing w:before="109" w:line="169" w:lineRule="exact"/>
              <w:ind w:left="506"/>
              <w:rPr>
                <w:rFonts w:hint="eastAsia" w:ascii="宋体" w:hAnsi="宋体" w:cs="宋体"/>
                <w:sz w:val="10"/>
                <w:szCs w:val="10"/>
              </w:rPr>
            </w:pPr>
            <w:r>
              <w:rPr>
                <w:rFonts w:hint="eastAsia" w:ascii="宋体" w:hAnsi="宋体" w:cs="宋体"/>
                <w:szCs w:val="21"/>
              </w:rPr>
              <w:t>一</w:t>
            </w:r>
          </w:p>
        </w:tc>
        <w:tc>
          <w:tcPr>
            <w:tcW w:w="1214" w:type="dxa"/>
            <w:gridSpan w:val="3"/>
            <w:noWrap w:val="0"/>
            <w:vAlign w:val="top"/>
          </w:tcPr>
          <w:p w14:paraId="5BA1857D">
            <w:pPr>
              <w:spacing w:before="69" w:line="185" w:lineRule="auto"/>
              <w:ind w:left="510"/>
              <w:rPr>
                <w:rFonts w:ascii="宋体" w:hAnsi="宋体" w:cs="宋体"/>
                <w:szCs w:val="21"/>
              </w:rPr>
            </w:pPr>
            <w:r>
              <w:rPr>
                <w:rFonts w:ascii="宋体" w:hAnsi="宋体" w:cs="宋体"/>
                <w:szCs w:val="21"/>
              </w:rPr>
              <w:t>二</w:t>
            </w:r>
          </w:p>
        </w:tc>
        <w:tc>
          <w:tcPr>
            <w:tcW w:w="1216" w:type="dxa"/>
            <w:gridSpan w:val="3"/>
            <w:noWrap w:val="0"/>
            <w:vAlign w:val="top"/>
          </w:tcPr>
          <w:p w14:paraId="37598245">
            <w:pPr>
              <w:spacing w:before="30" w:line="238" w:lineRule="auto"/>
              <w:ind w:left="507"/>
              <w:rPr>
                <w:rFonts w:ascii="宋体" w:hAnsi="宋体" w:cs="宋体"/>
                <w:szCs w:val="21"/>
              </w:rPr>
            </w:pPr>
            <w:r>
              <w:rPr>
                <w:rFonts w:ascii="宋体" w:hAnsi="宋体" w:cs="宋体"/>
                <w:szCs w:val="21"/>
              </w:rPr>
              <w:t>三</w:t>
            </w:r>
          </w:p>
        </w:tc>
        <w:tc>
          <w:tcPr>
            <w:tcW w:w="1216" w:type="dxa"/>
            <w:gridSpan w:val="3"/>
            <w:noWrap w:val="0"/>
            <w:vAlign w:val="top"/>
          </w:tcPr>
          <w:p w14:paraId="57CDE2E3">
            <w:pPr>
              <w:spacing w:before="31" w:line="223" w:lineRule="auto"/>
              <w:ind w:left="528"/>
              <w:rPr>
                <w:rFonts w:ascii="宋体" w:hAnsi="宋体" w:cs="宋体"/>
                <w:szCs w:val="21"/>
              </w:rPr>
            </w:pPr>
            <w:r>
              <w:rPr>
                <w:rFonts w:ascii="宋体" w:hAnsi="宋体" w:cs="宋体"/>
                <w:szCs w:val="21"/>
              </w:rPr>
              <w:t>四</w:t>
            </w:r>
          </w:p>
        </w:tc>
        <w:tc>
          <w:tcPr>
            <w:tcW w:w="1216" w:type="dxa"/>
            <w:gridSpan w:val="3"/>
            <w:noWrap w:val="0"/>
            <w:vAlign w:val="top"/>
          </w:tcPr>
          <w:p w14:paraId="71BDEC13">
            <w:pPr>
              <w:spacing w:before="109" w:line="169" w:lineRule="exact"/>
              <w:ind w:left="512"/>
              <w:rPr>
                <w:rFonts w:ascii="宋体" w:hAnsi="宋体" w:cs="宋体"/>
                <w:sz w:val="10"/>
                <w:szCs w:val="10"/>
              </w:rPr>
            </w:pPr>
            <w:r>
              <w:rPr>
                <w:rFonts w:ascii="宋体" w:hAnsi="宋体" w:cs="宋体"/>
                <w:szCs w:val="21"/>
              </w:rPr>
              <w:t>一</w:t>
            </w:r>
          </w:p>
        </w:tc>
        <w:tc>
          <w:tcPr>
            <w:tcW w:w="1219" w:type="dxa"/>
            <w:gridSpan w:val="3"/>
            <w:noWrap w:val="0"/>
            <w:vAlign w:val="top"/>
          </w:tcPr>
          <w:p w14:paraId="6A24CFD4">
            <w:pPr>
              <w:spacing w:before="69" w:line="185" w:lineRule="auto"/>
              <w:ind w:left="514"/>
              <w:rPr>
                <w:rFonts w:ascii="宋体" w:hAnsi="宋体" w:cs="宋体"/>
                <w:szCs w:val="21"/>
              </w:rPr>
            </w:pPr>
            <w:r>
              <w:rPr>
                <w:rFonts w:ascii="宋体" w:hAnsi="宋体" w:cs="宋体"/>
                <w:szCs w:val="21"/>
              </w:rPr>
              <w:t>二</w:t>
            </w:r>
          </w:p>
        </w:tc>
        <w:tc>
          <w:tcPr>
            <w:tcW w:w="821" w:type="dxa"/>
            <w:gridSpan w:val="2"/>
            <w:noWrap w:val="0"/>
            <w:vAlign w:val="top"/>
          </w:tcPr>
          <w:p w14:paraId="3592FE0B">
            <w:pPr>
              <w:spacing w:before="170" w:line="65" w:lineRule="exact"/>
              <w:ind w:left="221"/>
              <w:rPr>
                <w:rFonts w:eastAsia="Times New Roman"/>
                <w:szCs w:val="21"/>
              </w:rPr>
            </w:pPr>
            <w:r>
              <w:rPr>
                <w:rFonts w:eastAsia="Times New Roman"/>
                <w:spacing w:val="-18"/>
                <w:position w:val="1"/>
                <w:szCs w:val="21"/>
              </w:rPr>
              <w:t>…</w:t>
            </w:r>
            <w:r>
              <w:rPr>
                <w:rFonts w:eastAsia="Times New Roman"/>
                <w:spacing w:val="-17"/>
                <w:position w:val="1"/>
                <w:szCs w:val="21"/>
              </w:rPr>
              <w:t xml:space="preserve"> …</w:t>
            </w:r>
          </w:p>
        </w:tc>
      </w:tr>
      <w:tr w14:paraId="001549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jc w:val="center"/>
        </w:trPr>
        <w:tc>
          <w:tcPr>
            <w:tcW w:w="1242" w:type="dxa"/>
            <w:gridSpan w:val="2"/>
            <w:tcBorders>
              <w:top w:val="nil"/>
              <w:bottom w:val="single" w:color="auto" w:sz="4" w:space="0"/>
            </w:tcBorders>
            <w:noWrap w:val="0"/>
            <w:vAlign w:val="top"/>
          </w:tcPr>
          <w:p w14:paraId="54E9E2FE">
            <w:pPr>
              <w:rPr>
                <w:rFonts w:hint="eastAsia" w:ascii="Arial"/>
              </w:rPr>
            </w:pPr>
            <w:r>
              <w:rPr>
                <w:rFonts w:hint="eastAsia" w:ascii="Arial"/>
              </w:rPr>
              <w:t>进度</w:t>
            </w:r>
          </w:p>
        </w:tc>
        <w:tc>
          <w:tcPr>
            <w:tcW w:w="1214" w:type="dxa"/>
            <w:gridSpan w:val="3"/>
            <w:noWrap w:val="0"/>
            <w:vAlign w:val="top"/>
          </w:tcPr>
          <w:p w14:paraId="32DAD0C5">
            <w:pPr>
              <w:spacing w:before="176" w:line="187" w:lineRule="auto"/>
              <w:ind w:left="169"/>
              <w:rPr>
                <w:rFonts w:eastAsia="Times New Roman"/>
                <w:szCs w:val="21"/>
              </w:rPr>
            </w:pPr>
            <w:r>
              <w:rPr>
                <w:rFonts w:eastAsia="Times New Roman"/>
                <w:spacing w:val="8"/>
                <w:szCs w:val="21"/>
              </w:rPr>
              <w:t>1</w:t>
            </w:r>
            <w:r>
              <w:rPr>
                <w:rFonts w:hint="eastAsia"/>
                <w:spacing w:val="8"/>
                <w:szCs w:val="21"/>
              </w:rPr>
              <w:t xml:space="preserve">  </w:t>
            </w:r>
            <w:r>
              <w:rPr>
                <w:rFonts w:eastAsia="Times New Roman"/>
                <w:spacing w:val="4"/>
                <w:szCs w:val="21"/>
              </w:rPr>
              <w:t>2</w:t>
            </w:r>
            <w:r>
              <w:rPr>
                <w:rFonts w:hint="eastAsia"/>
                <w:spacing w:val="4"/>
                <w:szCs w:val="21"/>
              </w:rPr>
              <w:t xml:space="preserve">  </w:t>
            </w:r>
            <w:r>
              <w:rPr>
                <w:rFonts w:eastAsia="Times New Roman"/>
                <w:spacing w:val="4"/>
                <w:szCs w:val="21"/>
              </w:rPr>
              <w:t>3</w:t>
            </w:r>
          </w:p>
        </w:tc>
        <w:tc>
          <w:tcPr>
            <w:tcW w:w="1214" w:type="dxa"/>
            <w:gridSpan w:val="3"/>
            <w:noWrap w:val="0"/>
            <w:vAlign w:val="top"/>
          </w:tcPr>
          <w:p w14:paraId="3B4FD80D">
            <w:pPr>
              <w:spacing w:before="176" w:line="187" w:lineRule="auto"/>
              <w:ind w:left="149"/>
              <w:rPr>
                <w:rFonts w:eastAsia="Times New Roman"/>
                <w:szCs w:val="21"/>
              </w:rPr>
            </w:pPr>
            <w:r>
              <w:rPr>
                <w:rFonts w:eastAsia="Times New Roman"/>
                <w:spacing w:val="9"/>
                <w:szCs w:val="21"/>
              </w:rPr>
              <w:t>4</w:t>
            </w:r>
            <w:r>
              <w:rPr>
                <w:rFonts w:hint="eastAsia"/>
                <w:spacing w:val="9"/>
                <w:szCs w:val="21"/>
              </w:rPr>
              <w:t xml:space="preserve">  </w:t>
            </w:r>
            <w:r>
              <w:rPr>
                <w:rFonts w:eastAsia="Times New Roman"/>
                <w:spacing w:val="6"/>
                <w:szCs w:val="21"/>
              </w:rPr>
              <w:t>5</w:t>
            </w:r>
            <w:r>
              <w:rPr>
                <w:rFonts w:hint="eastAsia"/>
                <w:spacing w:val="6"/>
                <w:szCs w:val="21"/>
              </w:rPr>
              <w:t xml:space="preserve">  </w:t>
            </w:r>
            <w:r>
              <w:rPr>
                <w:rFonts w:eastAsia="Times New Roman"/>
                <w:spacing w:val="6"/>
                <w:szCs w:val="21"/>
              </w:rPr>
              <w:t>6</w:t>
            </w:r>
          </w:p>
        </w:tc>
        <w:tc>
          <w:tcPr>
            <w:tcW w:w="1216" w:type="dxa"/>
            <w:gridSpan w:val="3"/>
            <w:noWrap w:val="0"/>
            <w:vAlign w:val="top"/>
          </w:tcPr>
          <w:p w14:paraId="7EBDD38E">
            <w:pPr>
              <w:spacing w:before="176" w:line="187" w:lineRule="auto"/>
              <w:ind w:left="154"/>
              <w:rPr>
                <w:rFonts w:eastAsia="Times New Roman"/>
                <w:szCs w:val="21"/>
              </w:rPr>
            </w:pPr>
            <w:r>
              <w:rPr>
                <w:rFonts w:eastAsia="Times New Roman"/>
                <w:spacing w:val="6"/>
                <w:szCs w:val="21"/>
              </w:rPr>
              <w:t xml:space="preserve">7 </w:t>
            </w:r>
            <w:r>
              <w:rPr>
                <w:rFonts w:hint="eastAsia"/>
                <w:spacing w:val="6"/>
                <w:szCs w:val="21"/>
              </w:rPr>
              <w:t xml:space="preserve"> </w:t>
            </w:r>
            <w:r>
              <w:rPr>
                <w:rFonts w:eastAsia="Times New Roman"/>
                <w:spacing w:val="6"/>
                <w:szCs w:val="21"/>
              </w:rPr>
              <w:t xml:space="preserve"> 8   </w:t>
            </w:r>
            <w:r>
              <w:rPr>
                <w:rFonts w:eastAsia="Times New Roman"/>
                <w:spacing w:val="4"/>
                <w:szCs w:val="21"/>
              </w:rPr>
              <w:t>9</w:t>
            </w:r>
          </w:p>
        </w:tc>
        <w:tc>
          <w:tcPr>
            <w:tcW w:w="1216" w:type="dxa"/>
            <w:gridSpan w:val="3"/>
            <w:noWrap w:val="0"/>
            <w:vAlign w:val="top"/>
          </w:tcPr>
          <w:p w14:paraId="2A66DB9C">
            <w:pPr>
              <w:spacing w:before="176" w:line="187" w:lineRule="auto"/>
              <w:ind w:left="119"/>
              <w:rPr>
                <w:rFonts w:eastAsia="Times New Roman"/>
                <w:szCs w:val="21"/>
              </w:rPr>
            </w:pPr>
            <w:r>
              <w:rPr>
                <w:rFonts w:eastAsia="Times New Roman"/>
                <w:spacing w:val="-3"/>
                <w:szCs w:val="21"/>
              </w:rPr>
              <w:t>10  11  1</w:t>
            </w:r>
            <w:r>
              <w:rPr>
                <w:rFonts w:eastAsia="Times New Roman"/>
                <w:spacing w:val="-2"/>
                <w:szCs w:val="21"/>
              </w:rPr>
              <w:t>2</w:t>
            </w:r>
          </w:p>
        </w:tc>
        <w:tc>
          <w:tcPr>
            <w:tcW w:w="1216" w:type="dxa"/>
            <w:gridSpan w:val="3"/>
            <w:noWrap w:val="0"/>
            <w:vAlign w:val="top"/>
          </w:tcPr>
          <w:p w14:paraId="2784D8B8">
            <w:pPr>
              <w:spacing w:before="176" w:line="187" w:lineRule="auto"/>
              <w:ind w:left="173"/>
              <w:rPr>
                <w:rFonts w:eastAsia="Times New Roman"/>
                <w:szCs w:val="21"/>
              </w:rPr>
            </w:pPr>
            <w:r>
              <w:rPr>
                <w:rFonts w:eastAsia="Times New Roman"/>
                <w:spacing w:val="8"/>
                <w:szCs w:val="21"/>
              </w:rPr>
              <w:t xml:space="preserve">1 </w:t>
            </w:r>
            <w:r>
              <w:rPr>
                <w:rFonts w:eastAsia="Times New Roman"/>
                <w:spacing w:val="4"/>
                <w:szCs w:val="21"/>
              </w:rPr>
              <w:t xml:space="preserve">  2   3</w:t>
            </w:r>
          </w:p>
        </w:tc>
        <w:tc>
          <w:tcPr>
            <w:tcW w:w="1219" w:type="dxa"/>
            <w:gridSpan w:val="3"/>
            <w:noWrap w:val="0"/>
            <w:vAlign w:val="top"/>
          </w:tcPr>
          <w:p w14:paraId="4C8C03BE">
            <w:pPr>
              <w:spacing w:before="176" w:line="187" w:lineRule="auto"/>
              <w:ind w:left="153"/>
              <w:rPr>
                <w:rFonts w:eastAsia="Times New Roman"/>
                <w:szCs w:val="21"/>
              </w:rPr>
            </w:pPr>
            <w:r>
              <w:rPr>
                <w:rFonts w:eastAsia="Times New Roman"/>
                <w:spacing w:val="12"/>
                <w:szCs w:val="21"/>
              </w:rPr>
              <w:t>4</w:t>
            </w:r>
            <w:r>
              <w:rPr>
                <w:rFonts w:eastAsia="Times New Roman"/>
                <w:spacing w:val="6"/>
                <w:szCs w:val="21"/>
              </w:rPr>
              <w:t xml:space="preserve">   5   6</w:t>
            </w:r>
          </w:p>
        </w:tc>
        <w:tc>
          <w:tcPr>
            <w:tcW w:w="821" w:type="dxa"/>
            <w:gridSpan w:val="2"/>
            <w:noWrap w:val="0"/>
            <w:vAlign w:val="top"/>
          </w:tcPr>
          <w:p w14:paraId="49C24923">
            <w:pPr>
              <w:rPr>
                <w:rFonts w:ascii="Arial"/>
              </w:rPr>
            </w:pPr>
          </w:p>
        </w:tc>
      </w:tr>
      <w:tr w14:paraId="7F2B7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restart"/>
            <w:tcBorders>
              <w:top w:val="single" w:color="auto" w:sz="4" w:space="0"/>
              <w:left w:val="single" w:color="auto" w:sz="4" w:space="0"/>
              <w:bottom w:val="single" w:color="auto" w:sz="4" w:space="0"/>
              <w:right w:val="nil"/>
            </w:tcBorders>
            <w:noWrap w:val="0"/>
            <w:vAlign w:val="top"/>
          </w:tcPr>
          <w:p w14:paraId="16CD4808">
            <w:pPr>
              <w:spacing w:line="279" w:lineRule="auto"/>
              <w:rPr>
                <w:rFonts w:ascii="Arial"/>
              </w:rPr>
            </w:pPr>
          </w:p>
          <w:p w14:paraId="1FEA26E0">
            <w:pPr>
              <w:spacing w:line="279" w:lineRule="auto"/>
              <w:rPr>
                <w:rFonts w:ascii="Arial"/>
              </w:rPr>
            </w:pPr>
          </w:p>
          <w:p w14:paraId="0D99AB21">
            <w:pPr>
              <w:spacing w:line="279" w:lineRule="auto"/>
              <w:rPr>
                <w:rFonts w:ascii="Arial"/>
              </w:rPr>
            </w:pPr>
          </w:p>
          <w:p w14:paraId="5066F085">
            <w:pPr>
              <w:spacing w:line="279" w:lineRule="auto"/>
              <w:rPr>
                <w:rFonts w:ascii="Arial"/>
              </w:rPr>
            </w:pPr>
          </w:p>
          <w:p w14:paraId="50315AB8">
            <w:pPr>
              <w:spacing w:before="68" w:line="236" w:lineRule="auto"/>
              <w:ind w:left="315"/>
              <w:rPr>
                <w:rFonts w:ascii="宋体" w:hAnsi="宋体" w:cs="宋体"/>
                <w:szCs w:val="21"/>
              </w:rPr>
            </w:pPr>
            <w:r>
              <w:rPr>
                <w:rFonts w:ascii="宋体" w:hAnsi="宋体" w:cs="宋体"/>
                <w:szCs w:val="21"/>
              </w:rPr>
              <w:t>工</w:t>
            </w:r>
          </w:p>
          <w:p w14:paraId="08FE50AB">
            <w:pPr>
              <w:spacing w:before="2" w:line="221" w:lineRule="auto"/>
              <w:ind w:left="311"/>
              <w:rPr>
                <w:rFonts w:ascii="宋体" w:hAnsi="宋体" w:cs="宋体"/>
                <w:szCs w:val="21"/>
              </w:rPr>
            </w:pPr>
            <w:r>
              <w:rPr>
                <w:rFonts w:ascii="宋体" w:hAnsi="宋体" w:cs="宋体"/>
                <w:szCs w:val="21"/>
              </w:rPr>
              <w:t>程</w:t>
            </w:r>
          </w:p>
          <w:p w14:paraId="34552A08">
            <w:pPr>
              <w:spacing w:before="21" w:line="221" w:lineRule="auto"/>
              <w:ind w:left="314"/>
              <w:rPr>
                <w:rFonts w:ascii="宋体" w:hAnsi="宋体" w:cs="宋体"/>
                <w:szCs w:val="21"/>
              </w:rPr>
            </w:pPr>
            <w:r>
              <w:rPr>
                <w:rFonts w:ascii="宋体" w:hAnsi="宋体" w:cs="宋体"/>
                <w:szCs w:val="21"/>
              </w:rPr>
              <w:t>完</w:t>
            </w:r>
          </w:p>
          <w:p w14:paraId="3632540A">
            <w:pPr>
              <w:spacing w:before="20" w:line="222" w:lineRule="auto"/>
              <w:ind w:left="314"/>
              <w:rPr>
                <w:rFonts w:ascii="宋体" w:hAnsi="宋体" w:cs="宋体"/>
                <w:szCs w:val="21"/>
              </w:rPr>
            </w:pPr>
            <w:r>
              <w:rPr>
                <w:rFonts w:ascii="宋体" w:hAnsi="宋体" w:cs="宋体"/>
                <w:szCs w:val="21"/>
              </w:rPr>
              <w:t>成</w:t>
            </w:r>
          </w:p>
          <w:p w14:paraId="234AD8D1">
            <w:pPr>
              <w:spacing w:before="21" w:line="223" w:lineRule="auto"/>
              <w:ind w:left="330"/>
              <w:rPr>
                <w:rFonts w:ascii="宋体" w:hAnsi="宋体" w:cs="宋体"/>
                <w:szCs w:val="21"/>
              </w:rPr>
            </w:pPr>
            <w:r>
              <w:rPr>
                <w:rFonts w:ascii="宋体" w:hAnsi="宋体" w:cs="宋体"/>
                <w:szCs w:val="21"/>
              </w:rPr>
              <w:t>的</w:t>
            </w:r>
          </w:p>
          <w:p w14:paraId="35BD9156">
            <w:pPr>
              <w:spacing w:before="18" w:line="223" w:lineRule="auto"/>
              <w:ind w:left="320"/>
              <w:rPr>
                <w:rFonts w:ascii="宋体" w:hAnsi="宋体" w:cs="宋体"/>
                <w:szCs w:val="21"/>
              </w:rPr>
            </w:pPr>
            <w:r>
              <w:rPr>
                <w:rFonts w:ascii="宋体" w:hAnsi="宋体" w:cs="宋体"/>
                <w:szCs w:val="21"/>
              </w:rPr>
              <w:t>百</w:t>
            </w:r>
          </w:p>
          <w:p w14:paraId="469F6542">
            <w:pPr>
              <w:spacing w:before="19" w:line="221" w:lineRule="auto"/>
              <w:ind w:left="315"/>
              <w:rPr>
                <w:rFonts w:ascii="宋体" w:hAnsi="宋体" w:cs="宋体"/>
                <w:szCs w:val="21"/>
              </w:rPr>
            </w:pPr>
            <w:r>
              <w:rPr>
                <w:rFonts w:ascii="宋体" w:hAnsi="宋体" w:cs="宋体"/>
                <w:szCs w:val="21"/>
              </w:rPr>
              <w:t>分</w:t>
            </w:r>
          </w:p>
          <w:p w14:paraId="5A35546F">
            <w:pPr>
              <w:spacing w:before="20" w:line="232" w:lineRule="auto"/>
              <w:ind w:left="335"/>
              <w:rPr>
                <w:rFonts w:ascii="宋体" w:hAnsi="宋体" w:cs="宋体"/>
                <w:szCs w:val="21"/>
              </w:rPr>
            </w:pPr>
            <w:r>
              <w:rPr>
                <w:rFonts w:ascii="宋体" w:hAnsi="宋体" w:cs="宋体"/>
                <w:szCs w:val="21"/>
              </w:rPr>
              <w:t>比</w:t>
            </w:r>
          </w:p>
          <w:p w14:paraId="488C5174">
            <w:pPr>
              <w:spacing w:before="10" w:line="237" w:lineRule="auto"/>
              <w:ind w:left="127"/>
              <w:rPr>
                <w:rFonts w:ascii="宋体" w:hAnsi="宋体" w:cs="宋体"/>
                <w:szCs w:val="21"/>
              </w:rPr>
            </w:pPr>
            <w:r>
              <w:rPr>
                <w:rFonts w:ascii="宋体" w:hAnsi="宋体" w:cs="宋体"/>
                <w:spacing w:val="31"/>
                <w:szCs w:val="21"/>
              </w:rPr>
              <w:t>(</w:t>
            </w:r>
            <w:r>
              <w:rPr>
                <w:rFonts w:eastAsia="Times New Roman"/>
                <w:spacing w:val="31"/>
                <w:szCs w:val="21"/>
              </w:rPr>
              <w:t>%</w:t>
            </w:r>
            <w:r>
              <w:rPr>
                <w:rFonts w:ascii="宋体" w:hAnsi="宋体" w:cs="宋体"/>
                <w:spacing w:val="30"/>
                <w:szCs w:val="21"/>
              </w:rPr>
              <w:t>)</w:t>
            </w:r>
          </w:p>
        </w:tc>
        <w:tc>
          <w:tcPr>
            <w:tcW w:w="598" w:type="dxa"/>
            <w:vMerge w:val="restart"/>
            <w:tcBorders>
              <w:top w:val="single" w:color="auto" w:sz="4" w:space="0"/>
              <w:left w:val="nil"/>
              <w:bottom w:val="single" w:color="auto" w:sz="4" w:space="0"/>
              <w:right w:val="single" w:color="auto" w:sz="4" w:space="0"/>
            </w:tcBorders>
            <w:noWrap w:val="0"/>
            <w:vAlign w:val="top"/>
          </w:tcPr>
          <w:p w14:paraId="1402FC08">
            <w:pPr>
              <w:spacing w:before="48" w:line="187" w:lineRule="auto"/>
              <w:ind w:left="175"/>
              <w:rPr>
                <w:rFonts w:eastAsia="Times New Roman"/>
                <w:szCs w:val="21"/>
              </w:rPr>
            </w:pPr>
            <w:r>
              <w:rPr>
                <w:rFonts w:eastAsia="Times New Roman"/>
                <w:spacing w:val="-9"/>
                <w:szCs w:val="21"/>
              </w:rPr>
              <w:t>1</w:t>
            </w:r>
            <w:r>
              <w:rPr>
                <w:rFonts w:eastAsia="Times New Roman"/>
                <w:spacing w:val="-8"/>
                <w:szCs w:val="21"/>
              </w:rPr>
              <w:t>00</w:t>
            </w:r>
          </w:p>
          <w:p w14:paraId="6FC30AC9">
            <w:pPr>
              <w:spacing w:line="253" w:lineRule="auto"/>
              <w:rPr>
                <w:rFonts w:ascii="Arial"/>
              </w:rPr>
            </w:pPr>
          </w:p>
          <w:p w14:paraId="3E34B6A8">
            <w:pPr>
              <w:spacing w:before="61" w:line="187" w:lineRule="auto"/>
              <w:ind w:left="262"/>
              <w:rPr>
                <w:rFonts w:eastAsia="Times New Roman"/>
                <w:szCs w:val="21"/>
              </w:rPr>
            </w:pPr>
            <w:r>
              <w:rPr>
                <w:rFonts w:eastAsia="Times New Roman"/>
                <w:spacing w:val="-5"/>
                <w:szCs w:val="21"/>
              </w:rPr>
              <w:t>9</w:t>
            </w:r>
            <w:r>
              <w:rPr>
                <w:rFonts w:eastAsia="Times New Roman"/>
                <w:spacing w:val="-3"/>
                <w:szCs w:val="21"/>
              </w:rPr>
              <w:t>0</w:t>
            </w:r>
          </w:p>
          <w:p w14:paraId="6F532DC7">
            <w:pPr>
              <w:spacing w:line="251" w:lineRule="auto"/>
              <w:rPr>
                <w:rFonts w:ascii="Arial"/>
              </w:rPr>
            </w:pPr>
          </w:p>
          <w:p w14:paraId="110D6957">
            <w:pPr>
              <w:spacing w:before="60" w:line="187" w:lineRule="auto"/>
              <w:ind w:left="266"/>
              <w:rPr>
                <w:rFonts w:eastAsia="Times New Roman"/>
                <w:szCs w:val="21"/>
              </w:rPr>
            </w:pPr>
            <w:r>
              <w:rPr>
                <w:rFonts w:eastAsia="Times New Roman"/>
                <w:spacing w:val="-6"/>
                <w:szCs w:val="21"/>
              </w:rPr>
              <w:t>80</w:t>
            </w:r>
          </w:p>
          <w:p w14:paraId="0CECDE11">
            <w:pPr>
              <w:spacing w:line="254" w:lineRule="auto"/>
              <w:rPr>
                <w:rFonts w:ascii="Arial"/>
              </w:rPr>
            </w:pPr>
          </w:p>
          <w:p w14:paraId="48F7D5DA">
            <w:pPr>
              <w:spacing w:before="60" w:line="187" w:lineRule="auto"/>
              <w:ind w:left="261"/>
              <w:rPr>
                <w:rFonts w:eastAsia="Times New Roman"/>
                <w:szCs w:val="21"/>
              </w:rPr>
            </w:pPr>
            <w:r>
              <w:rPr>
                <w:rFonts w:eastAsia="Times New Roman"/>
                <w:spacing w:val="-4"/>
                <w:szCs w:val="21"/>
              </w:rPr>
              <w:t>7</w:t>
            </w:r>
            <w:r>
              <w:rPr>
                <w:rFonts w:eastAsia="Times New Roman"/>
                <w:spacing w:val="-3"/>
                <w:szCs w:val="21"/>
              </w:rPr>
              <w:t>0</w:t>
            </w:r>
          </w:p>
          <w:p w14:paraId="1B2BC690">
            <w:pPr>
              <w:spacing w:line="251" w:lineRule="auto"/>
              <w:rPr>
                <w:rFonts w:ascii="Arial"/>
              </w:rPr>
            </w:pPr>
          </w:p>
          <w:p w14:paraId="15288E4D">
            <w:pPr>
              <w:spacing w:before="61" w:line="187" w:lineRule="auto"/>
              <w:ind w:left="263"/>
              <w:rPr>
                <w:rFonts w:eastAsia="Times New Roman"/>
                <w:szCs w:val="21"/>
              </w:rPr>
            </w:pPr>
            <w:r>
              <w:rPr>
                <w:rFonts w:eastAsia="Times New Roman"/>
                <w:spacing w:val="-4"/>
                <w:szCs w:val="21"/>
              </w:rPr>
              <w:t>60</w:t>
            </w:r>
          </w:p>
          <w:p w14:paraId="177E91FE">
            <w:pPr>
              <w:spacing w:line="253" w:lineRule="auto"/>
              <w:rPr>
                <w:rFonts w:ascii="Arial"/>
              </w:rPr>
            </w:pPr>
          </w:p>
          <w:p w14:paraId="4898A8FD">
            <w:pPr>
              <w:spacing w:before="61" w:line="187" w:lineRule="auto"/>
              <w:ind w:left="264"/>
              <w:rPr>
                <w:rFonts w:eastAsia="Times New Roman"/>
                <w:szCs w:val="21"/>
              </w:rPr>
            </w:pPr>
            <w:r>
              <w:rPr>
                <w:rFonts w:eastAsia="Times New Roman"/>
                <w:spacing w:val="-5"/>
                <w:szCs w:val="21"/>
              </w:rPr>
              <w:t>5</w:t>
            </w:r>
            <w:r>
              <w:rPr>
                <w:rFonts w:eastAsia="Times New Roman"/>
                <w:spacing w:val="-4"/>
                <w:szCs w:val="21"/>
              </w:rPr>
              <w:t>0</w:t>
            </w:r>
          </w:p>
          <w:p w14:paraId="61E9E48A">
            <w:pPr>
              <w:spacing w:line="251" w:lineRule="auto"/>
              <w:rPr>
                <w:rFonts w:ascii="Arial"/>
              </w:rPr>
            </w:pPr>
          </w:p>
          <w:p w14:paraId="2CA88AAB">
            <w:pPr>
              <w:spacing w:before="61" w:line="187" w:lineRule="auto"/>
              <w:ind w:left="257"/>
              <w:rPr>
                <w:rFonts w:eastAsia="Times New Roman"/>
                <w:szCs w:val="21"/>
              </w:rPr>
            </w:pPr>
            <w:r>
              <w:rPr>
                <w:rFonts w:eastAsia="Times New Roman"/>
                <w:spacing w:val="-1"/>
                <w:szCs w:val="21"/>
              </w:rPr>
              <w:t>40</w:t>
            </w:r>
          </w:p>
          <w:p w14:paraId="4B59C4CF">
            <w:pPr>
              <w:spacing w:line="253" w:lineRule="auto"/>
              <w:rPr>
                <w:rFonts w:ascii="Arial"/>
              </w:rPr>
            </w:pPr>
          </w:p>
          <w:p w14:paraId="488957C1">
            <w:pPr>
              <w:spacing w:before="61" w:line="187" w:lineRule="auto"/>
              <w:ind w:left="262"/>
              <w:rPr>
                <w:rFonts w:eastAsia="Times New Roman"/>
                <w:szCs w:val="21"/>
              </w:rPr>
            </w:pPr>
            <w:r>
              <w:rPr>
                <w:rFonts w:eastAsia="Times New Roman"/>
                <w:spacing w:val="-5"/>
                <w:szCs w:val="21"/>
              </w:rPr>
              <w:t>3</w:t>
            </w:r>
            <w:r>
              <w:rPr>
                <w:rFonts w:eastAsia="Times New Roman"/>
                <w:spacing w:val="-3"/>
                <w:szCs w:val="21"/>
              </w:rPr>
              <w:t>0</w:t>
            </w:r>
          </w:p>
          <w:p w14:paraId="4DCD48C5">
            <w:pPr>
              <w:spacing w:line="253" w:lineRule="auto"/>
              <w:rPr>
                <w:rFonts w:ascii="Arial"/>
              </w:rPr>
            </w:pPr>
          </w:p>
          <w:p w14:paraId="77E6F123">
            <w:pPr>
              <w:spacing w:before="61" w:line="187" w:lineRule="auto"/>
              <w:ind w:left="258"/>
              <w:rPr>
                <w:rFonts w:eastAsia="Times New Roman"/>
                <w:szCs w:val="21"/>
              </w:rPr>
            </w:pPr>
            <w:r>
              <w:rPr>
                <w:rFonts w:eastAsia="Times New Roman"/>
                <w:spacing w:val="-2"/>
                <w:szCs w:val="21"/>
              </w:rPr>
              <w:t>20</w:t>
            </w:r>
          </w:p>
          <w:p w14:paraId="2322C9C5">
            <w:pPr>
              <w:spacing w:line="251" w:lineRule="auto"/>
              <w:rPr>
                <w:rFonts w:ascii="Arial"/>
              </w:rPr>
            </w:pPr>
          </w:p>
          <w:p w14:paraId="3BC7B4F5">
            <w:pPr>
              <w:spacing w:before="62" w:line="187" w:lineRule="auto"/>
              <w:ind w:left="278"/>
              <w:rPr>
                <w:rFonts w:eastAsia="Times New Roman"/>
                <w:szCs w:val="21"/>
              </w:rPr>
            </w:pPr>
            <w:r>
              <w:rPr>
                <w:rFonts w:eastAsia="Times New Roman"/>
                <w:spacing w:val="-13"/>
                <w:szCs w:val="21"/>
              </w:rPr>
              <w:t>1</w:t>
            </w:r>
            <w:r>
              <w:rPr>
                <w:rFonts w:eastAsia="Times New Roman"/>
                <w:spacing w:val="-11"/>
                <w:szCs w:val="21"/>
              </w:rPr>
              <w:t>0</w:t>
            </w:r>
          </w:p>
        </w:tc>
        <w:tc>
          <w:tcPr>
            <w:tcW w:w="403" w:type="dxa"/>
            <w:tcBorders>
              <w:left w:val="single" w:color="auto" w:sz="4" w:space="0"/>
            </w:tcBorders>
            <w:noWrap w:val="0"/>
            <w:vAlign w:val="top"/>
          </w:tcPr>
          <w:p w14:paraId="40B24EFB">
            <w:pPr>
              <w:rPr>
                <w:rFonts w:ascii="Arial"/>
              </w:rPr>
            </w:pPr>
          </w:p>
        </w:tc>
        <w:tc>
          <w:tcPr>
            <w:tcW w:w="405" w:type="dxa"/>
            <w:noWrap w:val="0"/>
            <w:vAlign w:val="top"/>
          </w:tcPr>
          <w:p w14:paraId="0FAF994E">
            <w:pPr>
              <w:rPr>
                <w:rFonts w:ascii="Arial"/>
              </w:rPr>
            </w:pPr>
          </w:p>
        </w:tc>
        <w:tc>
          <w:tcPr>
            <w:tcW w:w="406" w:type="dxa"/>
            <w:noWrap w:val="0"/>
            <w:vAlign w:val="top"/>
          </w:tcPr>
          <w:p w14:paraId="50E1D578">
            <w:pPr>
              <w:rPr>
                <w:rFonts w:ascii="Arial"/>
              </w:rPr>
            </w:pPr>
          </w:p>
        </w:tc>
        <w:tc>
          <w:tcPr>
            <w:tcW w:w="406" w:type="dxa"/>
            <w:noWrap w:val="0"/>
            <w:vAlign w:val="top"/>
          </w:tcPr>
          <w:p w14:paraId="37852A45">
            <w:pPr>
              <w:rPr>
                <w:rFonts w:ascii="Arial"/>
              </w:rPr>
            </w:pPr>
          </w:p>
        </w:tc>
        <w:tc>
          <w:tcPr>
            <w:tcW w:w="405" w:type="dxa"/>
            <w:noWrap w:val="0"/>
            <w:vAlign w:val="top"/>
          </w:tcPr>
          <w:p w14:paraId="736D8C5B">
            <w:pPr>
              <w:rPr>
                <w:rFonts w:ascii="Arial"/>
              </w:rPr>
            </w:pPr>
          </w:p>
        </w:tc>
        <w:tc>
          <w:tcPr>
            <w:tcW w:w="403" w:type="dxa"/>
            <w:noWrap w:val="0"/>
            <w:vAlign w:val="top"/>
          </w:tcPr>
          <w:p w14:paraId="13008F13">
            <w:pPr>
              <w:rPr>
                <w:rFonts w:ascii="Arial"/>
              </w:rPr>
            </w:pPr>
          </w:p>
        </w:tc>
        <w:tc>
          <w:tcPr>
            <w:tcW w:w="406" w:type="dxa"/>
            <w:noWrap w:val="0"/>
            <w:vAlign w:val="top"/>
          </w:tcPr>
          <w:p w14:paraId="5D84C655">
            <w:pPr>
              <w:rPr>
                <w:rFonts w:ascii="Arial"/>
              </w:rPr>
            </w:pPr>
          </w:p>
        </w:tc>
        <w:tc>
          <w:tcPr>
            <w:tcW w:w="405" w:type="dxa"/>
            <w:noWrap w:val="0"/>
            <w:vAlign w:val="top"/>
          </w:tcPr>
          <w:p w14:paraId="0991E2DD">
            <w:pPr>
              <w:rPr>
                <w:rFonts w:ascii="Arial"/>
              </w:rPr>
            </w:pPr>
          </w:p>
        </w:tc>
        <w:tc>
          <w:tcPr>
            <w:tcW w:w="405" w:type="dxa"/>
            <w:noWrap w:val="0"/>
            <w:vAlign w:val="top"/>
          </w:tcPr>
          <w:p w14:paraId="367191D5">
            <w:pPr>
              <w:rPr>
                <w:rFonts w:ascii="Arial"/>
              </w:rPr>
            </w:pPr>
          </w:p>
        </w:tc>
        <w:tc>
          <w:tcPr>
            <w:tcW w:w="406" w:type="dxa"/>
            <w:noWrap w:val="0"/>
            <w:vAlign w:val="top"/>
          </w:tcPr>
          <w:p w14:paraId="6189102D">
            <w:pPr>
              <w:rPr>
                <w:rFonts w:ascii="Arial"/>
              </w:rPr>
            </w:pPr>
          </w:p>
        </w:tc>
        <w:tc>
          <w:tcPr>
            <w:tcW w:w="405" w:type="dxa"/>
            <w:noWrap w:val="0"/>
            <w:vAlign w:val="top"/>
          </w:tcPr>
          <w:p w14:paraId="7986BD00">
            <w:pPr>
              <w:rPr>
                <w:rFonts w:ascii="Arial"/>
              </w:rPr>
            </w:pPr>
          </w:p>
        </w:tc>
        <w:tc>
          <w:tcPr>
            <w:tcW w:w="405" w:type="dxa"/>
            <w:noWrap w:val="0"/>
            <w:vAlign w:val="top"/>
          </w:tcPr>
          <w:p w14:paraId="36A8FCB6">
            <w:pPr>
              <w:rPr>
                <w:rFonts w:ascii="Arial"/>
              </w:rPr>
            </w:pPr>
          </w:p>
        </w:tc>
        <w:tc>
          <w:tcPr>
            <w:tcW w:w="406" w:type="dxa"/>
            <w:noWrap w:val="0"/>
            <w:vAlign w:val="top"/>
          </w:tcPr>
          <w:p w14:paraId="7BAEB018">
            <w:pPr>
              <w:rPr>
                <w:rFonts w:ascii="Arial"/>
              </w:rPr>
            </w:pPr>
          </w:p>
        </w:tc>
        <w:tc>
          <w:tcPr>
            <w:tcW w:w="405" w:type="dxa"/>
            <w:noWrap w:val="0"/>
            <w:vAlign w:val="top"/>
          </w:tcPr>
          <w:p w14:paraId="132AC41A">
            <w:pPr>
              <w:rPr>
                <w:rFonts w:ascii="Arial"/>
              </w:rPr>
            </w:pPr>
          </w:p>
        </w:tc>
        <w:tc>
          <w:tcPr>
            <w:tcW w:w="405" w:type="dxa"/>
            <w:noWrap w:val="0"/>
            <w:vAlign w:val="top"/>
          </w:tcPr>
          <w:p w14:paraId="73892CF7">
            <w:pPr>
              <w:rPr>
                <w:rFonts w:ascii="Arial"/>
              </w:rPr>
            </w:pPr>
          </w:p>
        </w:tc>
        <w:tc>
          <w:tcPr>
            <w:tcW w:w="406" w:type="dxa"/>
            <w:noWrap w:val="0"/>
            <w:vAlign w:val="top"/>
          </w:tcPr>
          <w:p w14:paraId="1EF3A95B">
            <w:pPr>
              <w:rPr>
                <w:rFonts w:ascii="Arial"/>
              </w:rPr>
            </w:pPr>
          </w:p>
        </w:tc>
        <w:tc>
          <w:tcPr>
            <w:tcW w:w="408" w:type="dxa"/>
            <w:noWrap w:val="0"/>
            <w:vAlign w:val="top"/>
          </w:tcPr>
          <w:p w14:paraId="08E95E96">
            <w:pPr>
              <w:rPr>
                <w:rFonts w:ascii="Arial"/>
              </w:rPr>
            </w:pPr>
          </w:p>
        </w:tc>
        <w:tc>
          <w:tcPr>
            <w:tcW w:w="405" w:type="dxa"/>
            <w:noWrap w:val="0"/>
            <w:vAlign w:val="top"/>
          </w:tcPr>
          <w:p w14:paraId="7C908338">
            <w:pPr>
              <w:rPr>
                <w:rFonts w:ascii="Arial"/>
              </w:rPr>
            </w:pPr>
          </w:p>
        </w:tc>
        <w:tc>
          <w:tcPr>
            <w:tcW w:w="408" w:type="dxa"/>
            <w:noWrap w:val="0"/>
            <w:vAlign w:val="top"/>
          </w:tcPr>
          <w:p w14:paraId="68762DA7">
            <w:pPr>
              <w:rPr>
                <w:rFonts w:ascii="Arial"/>
              </w:rPr>
            </w:pPr>
          </w:p>
        </w:tc>
        <w:tc>
          <w:tcPr>
            <w:tcW w:w="413" w:type="dxa"/>
            <w:noWrap w:val="0"/>
            <w:vAlign w:val="top"/>
          </w:tcPr>
          <w:p w14:paraId="374E46D3">
            <w:pPr>
              <w:rPr>
                <w:rFonts w:ascii="Arial"/>
              </w:rPr>
            </w:pPr>
          </w:p>
        </w:tc>
      </w:tr>
      <w:tr w14:paraId="7AFD3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37E1B5E0">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4B7B2029">
            <w:pPr>
              <w:rPr>
                <w:rFonts w:ascii="Arial"/>
              </w:rPr>
            </w:pPr>
          </w:p>
        </w:tc>
        <w:tc>
          <w:tcPr>
            <w:tcW w:w="403" w:type="dxa"/>
            <w:tcBorders>
              <w:left w:val="single" w:color="auto" w:sz="4" w:space="0"/>
            </w:tcBorders>
            <w:noWrap w:val="0"/>
            <w:vAlign w:val="top"/>
          </w:tcPr>
          <w:p w14:paraId="391F6A32">
            <w:pPr>
              <w:rPr>
                <w:rFonts w:ascii="Arial"/>
              </w:rPr>
            </w:pPr>
          </w:p>
        </w:tc>
        <w:tc>
          <w:tcPr>
            <w:tcW w:w="405" w:type="dxa"/>
            <w:noWrap w:val="0"/>
            <w:vAlign w:val="top"/>
          </w:tcPr>
          <w:p w14:paraId="23490946">
            <w:pPr>
              <w:rPr>
                <w:rFonts w:ascii="Arial"/>
              </w:rPr>
            </w:pPr>
          </w:p>
        </w:tc>
        <w:tc>
          <w:tcPr>
            <w:tcW w:w="406" w:type="dxa"/>
            <w:noWrap w:val="0"/>
            <w:vAlign w:val="top"/>
          </w:tcPr>
          <w:p w14:paraId="320712BA">
            <w:pPr>
              <w:rPr>
                <w:rFonts w:ascii="Arial"/>
              </w:rPr>
            </w:pPr>
          </w:p>
        </w:tc>
        <w:tc>
          <w:tcPr>
            <w:tcW w:w="406" w:type="dxa"/>
            <w:noWrap w:val="0"/>
            <w:vAlign w:val="top"/>
          </w:tcPr>
          <w:p w14:paraId="4F07353C">
            <w:pPr>
              <w:rPr>
                <w:rFonts w:ascii="Arial"/>
              </w:rPr>
            </w:pPr>
          </w:p>
        </w:tc>
        <w:tc>
          <w:tcPr>
            <w:tcW w:w="405" w:type="dxa"/>
            <w:noWrap w:val="0"/>
            <w:vAlign w:val="top"/>
          </w:tcPr>
          <w:p w14:paraId="0B433114">
            <w:pPr>
              <w:rPr>
                <w:rFonts w:ascii="Arial"/>
              </w:rPr>
            </w:pPr>
          </w:p>
        </w:tc>
        <w:tc>
          <w:tcPr>
            <w:tcW w:w="403" w:type="dxa"/>
            <w:noWrap w:val="0"/>
            <w:vAlign w:val="top"/>
          </w:tcPr>
          <w:p w14:paraId="08AE58C9">
            <w:pPr>
              <w:rPr>
                <w:rFonts w:ascii="Arial"/>
              </w:rPr>
            </w:pPr>
          </w:p>
        </w:tc>
        <w:tc>
          <w:tcPr>
            <w:tcW w:w="406" w:type="dxa"/>
            <w:noWrap w:val="0"/>
            <w:vAlign w:val="top"/>
          </w:tcPr>
          <w:p w14:paraId="1D727666">
            <w:pPr>
              <w:rPr>
                <w:rFonts w:ascii="Arial"/>
              </w:rPr>
            </w:pPr>
          </w:p>
        </w:tc>
        <w:tc>
          <w:tcPr>
            <w:tcW w:w="405" w:type="dxa"/>
            <w:noWrap w:val="0"/>
            <w:vAlign w:val="top"/>
          </w:tcPr>
          <w:p w14:paraId="25814CEF">
            <w:pPr>
              <w:rPr>
                <w:rFonts w:ascii="Arial"/>
              </w:rPr>
            </w:pPr>
          </w:p>
        </w:tc>
        <w:tc>
          <w:tcPr>
            <w:tcW w:w="405" w:type="dxa"/>
            <w:noWrap w:val="0"/>
            <w:vAlign w:val="top"/>
          </w:tcPr>
          <w:p w14:paraId="14B03620">
            <w:pPr>
              <w:rPr>
                <w:rFonts w:ascii="Arial"/>
              </w:rPr>
            </w:pPr>
          </w:p>
        </w:tc>
        <w:tc>
          <w:tcPr>
            <w:tcW w:w="406" w:type="dxa"/>
            <w:noWrap w:val="0"/>
            <w:vAlign w:val="top"/>
          </w:tcPr>
          <w:p w14:paraId="4FCFB9B7">
            <w:pPr>
              <w:rPr>
                <w:rFonts w:ascii="Arial"/>
              </w:rPr>
            </w:pPr>
          </w:p>
        </w:tc>
        <w:tc>
          <w:tcPr>
            <w:tcW w:w="405" w:type="dxa"/>
            <w:noWrap w:val="0"/>
            <w:vAlign w:val="top"/>
          </w:tcPr>
          <w:p w14:paraId="23F3379D">
            <w:pPr>
              <w:rPr>
                <w:rFonts w:ascii="Arial"/>
              </w:rPr>
            </w:pPr>
          </w:p>
        </w:tc>
        <w:tc>
          <w:tcPr>
            <w:tcW w:w="405" w:type="dxa"/>
            <w:noWrap w:val="0"/>
            <w:vAlign w:val="top"/>
          </w:tcPr>
          <w:p w14:paraId="400885E2">
            <w:pPr>
              <w:rPr>
                <w:rFonts w:ascii="Arial"/>
              </w:rPr>
            </w:pPr>
          </w:p>
        </w:tc>
        <w:tc>
          <w:tcPr>
            <w:tcW w:w="406" w:type="dxa"/>
            <w:noWrap w:val="0"/>
            <w:vAlign w:val="top"/>
          </w:tcPr>
          <w:p w14:paraId="2E3FCFFB">
            <w:pPr>
              <w:rPr>
                <w:rFonts w:ascii="Arial"/>
              </w:rPr>
            </w:pPr>
          </w:p>
        </w:tc>
        <w:tc>
          <w:tcPr>
            <w:tcW w:w="405" w:type="dxa"/>
            <w:noWrap w:val="0"/>
            <w:vAlign w:val="top"/>
          </w:tcPr>
          <w:p w14:paraId="2BA1A9B2">
            <w:pPr>
              <w:rPr>
                <w:rFonts w:ascii="Arial"/>
              </w:rPr>
            </w:pPr>
          </w:p>
        </w:tc>
        <w:tc>
          <w:tcPr>
            <w:tcW w:w="405" w:type="dxa"/>
            <w:noWrap w:val="0"/>
            <w:vAlign w:val="top"/>
          </w:tcPr>
          <w:p w14:paraId="63A7DBC1">
            <w:pPr>
              <w:rPr>
                <w:rFonts w:ascii="Arial"/>
              </w:rPr>
            </w:pPr>
          </w:p>
        </w:tc>
        <w:tc>
          <w:tcPr>
            <w:tcW w:w="406" w:type="dxa"/>
            <w:noWrap w:val="0"/>
            <w:vAlign w:val="top"/>
          </w:tcPr>
          <w:p w14:paraId="232B3C92">
            <w:pPr>
              <w:rPr>
                <w:rFonts w:ascii="Arial"/>
              </w:rPr>
            </w:pPr>
          </w:p>
        </w:tc>
        <w:tc>
          <w:tcPr>
            <w:tcW w:w="408" w:type="dxa"/>
            <w:noWrap w:val="0"/>
            <w:vAlign w:val="top"/>
          </w:tcPr>
          <w:p w14:paraId="5ABE74DB">
            <w:pPr>
              <w:rPr>
                <w:rFonts w:ascii="Arial"/>
              </w:rPr>
            </w:pPr>
          </w:p>
        </w:tc>
        <w:tc>
          <w:tcPr>
            <w:tcW w:w="405" w:type="dxa"/>
            <w:noWrap w:val="0"/>
            <w:vAlign w:val="top"/>
          </w:tcPr>
          <w:p w14:paraId="5BAB07B7">
            <w:pPr>
              <w:rPr>
                <w:rFonts w:ascii="Arial"/>
              </w:rPr>
            </w:pPr>
          </w:p>
        </w:tc>
        <w:tc>
          <w:tcPr>
            <w:tcW w:w="408" w:type="dxa"/>
            <w:noWrap w:val="0"/>
            <w:vAlign w:val="top"/>
          </w:tcPr>
          <w:p w14:paraId="4F8DFBBD">
            <w:pPr>
              <w:rPr>
                <w:rFonts w:ascii="Arial"/>
              </w:rPr>
            </w:pPr>
          </w:p>
        </w:tc>
        <w:tc>
          <w:tcPr>
            <w:tcW w:w="413" w:type="dxa"/>
            <w:noWrap w:val="0"/>
            <w:vAlign w:val="top"/>
          </w:tcPr>
          <w:p w14:paraId="37913F44">
            <w:pPr>
              <w:rPr>
                <w:rFonts w:ascii="Arial"/>
              </w:rPr>
            </w:pPr>
          </w:p>
        </w:tc>
      </w:tr>
      <w:tr w14:paraId="0B008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68492A9A">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4EE6FB2B">
            <w:pPr>
              <w:rPr>
                <w:rFonts w:ascii="Arial"/>
              </w:rPr>
            </w:pPr>
          </w:p>
        </w:tc>
        <w:tc>
          <w:tcPr>
            <w:tcW w:w="403" w:type="dxa"/>
            <w:tcBorders>
              <w:left w:val="single" w:color="auto" w:sz="4" w:space="0"/>
            </w:tcBorders>
            <w:noWrap w:val="0"/>
            <w:vAlign w:val="top"/>
          </w:tcPr>
          <w:p w14:paraId="17D1983E">
            <w:pPr>
              <w:rPr>
                <w:rFonts w:ascii="Arial"/>
              </w:rPr>
            </w:pPr>
          </w:p>
        </w:tc>
        <w:tc>
          <w:tcPr>
            <w:tcW w:w="405" w:type="dxa"/>
            <w:noWrap w:val="0"/>
            <w:vAlign w:val="top"/>
          </w:tcPr>
          <w:p w14:paraId="085095F7">
            <w:pPr>
              <w:rPr>
                <w:rFonts w:ascii="Arial"/>
              </w:rPr>
            </w:pPr>
          </w:p>
        </w:tc>
        <w:tc>
          <w:tcPr>
            <w:tcW w:w="406" w:type="dxa"/>
            <w:noWrap w:val="0"/>
            <w:vAlign w:val="top"/>
          </w:tcPr>
          <w:p w14:paraId="065A29A3">
            <w:pPr>
              <w:rPr>
                <w:rFonts w:ascii="Arial"/>
              </w:rPr>
            </w:pPr>
          </w:p>
        </w:tc>
        <w:tc>
          <w:tcPr>
            <w:tcW w:w="406" w:type="dxa"/>
            <w:noWrap w:val="0"/>
            <w:vAlign w:val="top"/>
          </w:tcPr>
          <w:p w14:paraId="6F8D56D0">
            <w:pPr>
              <w:rPr>
                <w:rFonts w:ascii="Arial"/>
              </w:rPr>
            </w:pPr>
          </w:p>
        </w:tc>
        <w:tc>
          <w:tcPr>
            <w:tcW w:w="405" w:type="dxa"/>
            <w:noWrap w:val="0"/>
            <w:vAlign w:val="top"/>
          </w:tcPr>
          <w:p w14:paraId="7D7DD72E">
            <w:pPr>
              <w:rPr>
                <w:rFonts w:ascii="Arial"/>
              </w:rPr>
            </w:pPr>
          </w:p>
        </w:tc>
        <w:tc>
          <w:tcPr>
            <w:tcW w:w="403" w:type="dxa"/>
            <w:noWrap w:val="0"/>
            <w:vAlign w:val="top"/>
          </w:tcPr>
          <w:p w14:paraId="40F90CF6">
            <w:pPr>
              <w:rPr>
                <w:rFonts w:ascii="Arial"/>
              </w:rPr>
            </w:pPr>
          </w:p>
        </w:tc>
        <w:tc>
          <w:tcPr>
            <w:tcW w:w="406" w:type="dxa"/>
            <w:noWrap w:val="0"/>
            <w:vAlign w:val="top"/>
          </w:tcPr>
          <w:p w14:paraId="11941721">
            <w:pPr>
              <w:rPr>
                <w:rFonts w:ascii="Arial"/>
              </w:rPr>
            </w:pPr>
          </w:p>
        </w:tc>
        <w:tc>
          <w:tcPr>
            <w:tcW w:w="405" w:type="dxa"/>
            <w:noWrap w:val="0"/>
            <w:vAlign w:val="top"/>
          </w:tcPr>
          <w:p w14:paraId="566D10ED">
            <w:pPr>
              <w:rPr>
                <w:rFonts w:ascii="Arial"/>
              </w:rPr>
            </w:pPr>
          </w:p>
        </w:tc>
        <w:tc>
          <w:tcPr>
            <w:tcW w:w="405" w:type="dxa"/>
            <w:noWrap w:val="0"/>
            <w:vAlign w:val="top"/>
          </w:tcPr>
          <w:p w14:paraId="713B0D58">
            <w:pPr>
              <w:rPr>
                <w:rFonts w:ascii="Arial"/>
              </w:rPr>
            </w:pPr>
          </w:p>
        </w:tc>
        <w:tc>
          <w:tcPr>
            <w:tcW w:w="406" w:type="dxa"/>
            <w:noWrap w:val="0"/>
            <w:vAlign w:val="top"/>
          </w:tcPr>
          <w:p w14:paraId="1A885216">
            <w:pPr>
              <w:rPr>
                <w:rFonts w:ascii="Arial"/>
              </w:rPr>
            </w:pPr>
          </w:p>
        </w:tc>
        <w:tc>
          <w:tcPr>
            <w:tcW w:w="405" w:type="dxa"/>
            <w:noWrap w:val="0"/>
            <w:vAlign w:val="top"/>
          </w:tcPr>
          <w:p w14:paraId="35D14C32">
            <w:pPr>
              <w:rPr>
                <w:rFonts w:ascii="Arial"/>
              </w:rPr>
            </w:pPr>
          </w:p>
        </w:tc>
        <w:tc>
          <w:tcPr>
            <w:tcW w:w="405" w:type="dxa"/>
            <w:noWrap w:val="0"/>
            <w:vAlign w:val="top"/>
          </w:tcPr>
          <w:p w14:paraId="01AFD845">
            <w:pPr>
              <w:rPr>
                <w:rFonts w:ascii="Arial"/>
              </w:rPr>
            </w:pPr>
          </w:p>
        </w:tc>
        <w:tc>
          <w:tcPr>
            <w:tcW w:w="406" w:type="dxa"/>
            <w:noWrap w:val="0"/>
            <w:vAlign w:val="top"/>
          </w:tcPr>
          <w:p w14:paraId="0E6872A9">
            <w:pPr>
              <w:rPr>
                <w:rFonts w:ascii="Arial"/>
              </w:rPr>
            </w:pPr>
          </w:p>
        </w:tc>
        <w:tc>
          <w:tcPr>
            <w:tcW w:w="405" w:type="dxa"/>
            <w:noWrap w:val="0"/>
            <w:vAlign w:val="top"/>
          </w:tcPr>
          <w:p w14:paraId="73B164E8">
            <w:pPr>
              <w:rPr>
                <w:rFonts w:ascii="Arial"/>
              </w:rPr>
            </w:pPr>
          </w:p>
        </w:tc>
        <w:tc>
          <w:tcPr>
            <w:tcW w:w="405" w:type="dxa"/>
            <w:noWrap w:val="0"/>
            <w:vAlign w:val="top"/>
          </w:tcPr>
          <w:p w14:paraId="3B35A3E0">
            <w:pPr>
              <w:rPr>
                <w:rFonts w:ascii="Arial"/>
              </w:rPr>
            </w:pPr>
          </w:p>
        </w:tc>
        <w:tc>
          <w:tcPr>
            <w:tcW w:w="406" w:type="dxa"/>
            <w:noWrap w:val="0"/>
            <w:vAlign w:val="top"/>
          </w:tcPr>
          <w:p w14:paraId="19A6030A">
            <w:pPr>
              <w:rPr>
                <w:rFonts w:ascii="Arial"/>
              </w:rPr>
            </w:pPr>
          </w:p>
        </w:tc>
        <w:tc>
          <w:tcPr>
            <w:tcW w:w="408" w:type="dxa"/>
            <w:noWrap w:val="0"/>
            <w:vAlign w:val="top"/>
          </w:tcPr>
          <w:p w14:paraId="5700283A">
            <w:pPr>
              <w:rPr>
                <w:rFonts w:ascii="Arial"/>
              </w:rPr>
            </w:pPr>
          </w:p>
        </w:tc>
        <w:tc>
          <w:tcPr>
            <w:tcW w:w="405" w:type="dxa"/>
            <w:noWrap w:val="0"/>
            <w:vAlign w:val="top"/>
          </w:tcPr>
          <w:p w14:paraId="1D9453D2">
            <w:pPr>
              <w:rPr>
                <w:rFonts w:ascii="Arial"/>
              </w:rPr>
            </w:pPr>
          </w:p>
        </w:tc>
        <w:tc>
          <w:tcPr>
            <w:tcW w:w="408" w:type="dxa"/>
            <w:noWrap w:val="0"/>
            <w:vAlign w:val="top"/>
          </w:tcPr>
          <w:p w14:paraId="0B6C0D31">
            <w:pPr>
              <w:rPr>
                <w:rFonts w:ascii="Arial"/>
              </w:rPr>
            </w:pPr>
          </w:p>
        </w:tc>
        <w:tc>
          <w:tcPr>
            <w:tcW w:w="413" w:type="dxa"/>
            <w:noWrap w:val="0"/>
            <w:vAlign w:val="top"/>
          </w:tcPr>
          <w:p w14:paraId="410934A1">
            <w:pPr>
              <w:rPr>
                <w:rFonts w:ascii="Arial"/>
              </w:rPr>
            </w:pPr>
          </w:p>
        </w:tc>
      </w:tr>
      <w:tr w14:paraId="4A07A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46E02A9A">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5A2FD02C">
            <w:pPr>
              <w:rPr>
                <w:rFonts w:ascii="Arial"/>
              </w:rPr>
            </w:pPr>
          </w:p>
        </w:tc>
        <w:tc>
          <w:tcPr>
            <w:tcW w:w="403" w:type="dxa"/>
            <w:tcBorders>
              <w:left w:val="single" w:color="auto" w:sz="4" w:space="0"/>
            </w:tcBorders>
            <w:noWrap w:val="0"/>
            <w:vAlign w:val="top"/>
          </w:tcPr>
          <w:p w14:paraId="01A64716">
            <w:pPr>
              <w:rPr>
                <w:rFonts w:ascii="Arial"/>
              </w:rPr>
            </w:pPr>
          </w:p>
        </w:tc>
        <w:tc>
          <w:tcPr>
            <w:tcW w:w="405" w:type="dxa"/>
            <w:noWrap w:val="0"/>
            <w:vAlign w:val="top"/>
          </w:tcPr>
          <w:p w14:paraId="644D361E">
            <w:pPr>
              <w:rPr>
                <w:rFonts w:ascii="Arial"/>
              </w:rPr>
            </w:pPr>
          </w:p>
        </w:tc>
        <w:tc>
          <w:tcPr>
            <w:tcW w:w="406" w:type="dxa"/>
            <w:noWrap w:val="0"/>
            <w:vAlign w:val="top"/>
          </w:tcPr>
          <w:p w14:paraId="1EDAA6F4">
            <w:pPr>
              <w:rPr>
                <w:rFonts w:ascii="Arial"/>
              </w:rPr>
            </w:pPr>
          </w:p>
        </w:tc>
        <w:tc>
          <w:tcPr>
            <w:tcW w:w="406" w:type="dxa"/>
            <w:noWrap w:val="0"/>
            <w:vAlign w:val="top"/>
          </w:tcPr>
          <w:p w14:paraId="265B2F95">
            <w:pPr>
              <w:rPr>
                <w:rFonts w:ascii="Arial"/>
              </w:rPr>
            </w:pPr>
          </w:p>
        </w:tc>
        <w:tc>
          <w:tcPr>
            <w:tcW w:w="405" w:type="dxa"/>
            <w:noWrap w:val="0"/>
            <w:vAlign w:val="top"/>
          </w:tcPr>
          <w:p w14:paraId="3E59ACBA">
            <w:pPr>
              <w:rPr>
                <w:rFonts w:ascii="Arial"/>
              </w:rPr>
            </w:pPr>
          </w:p>
        </w:tc>
        <w:tc>
          <w:tcPr>
            <w:tcW w:w="403" w:type="dxa"/>
            <w:noWrap w:val="0"/>
            <w:vAlign w:val="top"/>
          </w:tcPr>
          <w:p w14:paraId="1DFEAB43">
            <w:pPr>
              <w:rPr>
                <w:rFonts w:ascii="Arial"/>
              </w:rPr>
            </w:pPr>
          </w:p>
        </w:tc>
        <w:tc>
          <w:tcPr>
            <w:tcW w:w="406" w:type="dxa"/>
            <w:noWrap w:val="0"/>
            <w:vAlign w:val="top"/>
          </w:tcPr>
          <w:p w14:paraId="2AB0C41A">
            <w:pPr>
              <w:rPr>
                <w:rFonts w:ascii="Arial"/>
              </w:rPr>
            </w:pPr>
          </w:p>
        </w:tc>
        <w:tc>
          <w:tcPr>
            <w:tcW w:w="405" w:type="dxa"/>
            <w:noWrap w:val="0"/>
            <w:vAlign w:val="top"/>
          </w:tcPr>
          <w:p w14:paraId="1E3E42C9">
            <w:pPr>
              <w:rPr>
                <w:rFonts w:ascii="Arial"/>
              </w:rPr>
            </w:pPr>
          </w:p>
        </w:tc>
        <w:tc>
          <w:tcPr>
            <w:tcW w:w="405" w:type="dxa"/>
            <w:noWrap w:val="0"/>
            <w:vAlign w:val="top"/>
          </w:tcPr>
          <w:p w14:paraId="7B7CC8AA">
            <w:pPr>
              <w:rPr>
                <w:rFonts w:ascii="Arial"/>
              </w:rPr>
            </w:pPr>
          </w:p>
        </w:tc>
        <w:tc>
          <w:tcPr>
            <w:tcW w:w="406" w:type="dxa"/>
            <w:noWrap w:val="0"/>
            <w:vAlign w:val="top"/>
          </w:tcPr>
          <w:p w14:paraId="6B4661C9">
            <w:pPr>
              <w:rPr>
                <w:rFonts w:ascii="Arial"/>
              </w:rPr>
            </w:pPr>
          </w:p>
        </w:tc>
        <w:tc>
          <w:tcPr>
            <w:tcW w:w="405" w:type="dxa"/>
            <w:noWrap w:val="0"/>
            <w:vAlign w:val="top"/>
          </w:tcPr>
          <w:p w14:paraId="54BAB46C">
            <w:pPr>
              <w:rPr>
                <w:rFonts w:ascii="Arial"/>
              </w:rPr>
            </w:pPr>
          </w:p>
        </w:tc>
        <w:tc>
          <w:tcPr>
            <w:tcW w:w="405" w:type="dxa"/>
            <w:noWrap w:val="0"/>
            <w:vAlign w:val="top"/>
          </w:tcPr>
          <w:p w14:paraId="2D26F64C">
            <w:pPr>
              <w:rPr>
                <w:rFonts w:ascii="Arial"/>
              </w:rPr>
            </w:pPr>
          </w:p>
        </w:tc>
        <w:tc>
          <w:tcPr>
            <w:tcW w:w="406" w:type="dxa"/>
            <w:noWrap w:val="0"/>
            <w:vAlign w:val="top"/>
          </w:tcPr>
          <w:p w14:paraId="5CFFBC13">
            <w:pPr>
              <w:rPr>
                <w:rFonts w:ascii="Arial"/>
              </w:rPr>
            </w:pPr>
          </w:p>
        </w:tc>
        <w:tc>
          <w:tcPr>
            <w:tcW w:w="405" w:type="dxa"/>
            <w:noWrap w:val="0"/>
            <w:vAlign w:val="top"/>
          </w:tcPr>
          <w:p w14:paraId="091D5599">
            <w:pPr>
              <w:rPr>
                <w:rFonts w:ascii="Arial"/>
              </w:rPr>
            </w:pPr>
          </w:p>
        </w:tc>
        <w:tc>
          <w:tcPr>
            <w:tcW w:w="405" w:type="dxa"/>
            <w:noWrap w:val="0"/>
            <w:vAlign w:val="top"/>
          </w:tcPr>
          <w:p w14:paraId="6153648D">
            <w:pPr>
              <w:rPr>
                <w:rFonts w:ascii="Arial"/>
              </w:rPr>
            </w:pPr>
          </w:p>
        </w:tc>
        <w:tc>
          <w:tcPr>
            <w:tcW w:w="406" w:type="dxa"/>
            <w:noWrap w:val="0"/>
            <w:vAlign w:val="top"/>
          </w:tcPr>
          <w:p w14:paraId="4442B5E4">
            <w:pPr>
              <w:rPr>
                <w:rFonts w:ascii="Arial"/>
              </w:rPr>
            </w:pPr>
          </w:p>
        </w:tc>
        <w:tc>
          <w:tcPr>
            <w:tcW w:w="408" w:type="dxa"/>
            <w:noWrap w:val="0"/>
            <w:vAlign w:val="top"/>
          </w:tcPr>
          <w:p w14:paraId="77F22B58">
            <w:pPr>
              <w:rPr>
                <w:rFonts w:ascii="Arial"/>
              </w:rPr>
            </w:pPr>
          </w:p>
        </w:tc>
        <w:tc>
          <w:tcPr>
            <w:tcW w:w="405" w:type="dxa"/>
            <w:noWrap w:val="0"/>
            <w:vAlign w:val="top"/>
          </w:tcPr>
          <w:p w14:paraId="08D74790">
            <w:pPr>
              <w:rPr>
                <w:rFonts w:ascii="Arial"/>
              </w:rPr>
            </w:pPr>
          </w:p>
        </w:tc>
        <w:tc>
          <w:tcPr>
            <w:tcW w:w="408" w:type="dxa"/>
            <w:noWrap w:val="0"/>
            <w:vAlign w:val="top"/>
          </w:tcPr>
          <w:p w14:paraId="16842701">
            <w:pPr>
              <w:rPr>
                <w:rFonts w:ascii="Arial"/>
              </w:rPr>
            </w:pPr>
          </w:p>
        </w:tc>
        <w:tc>
          <w:tcPr>
            <w:tcW w:w="413" w:type="dxa"/>
            <w:noWrap w:val="0"/>
            <w:vAlign w:val="top"/>
          </w:tcPr>
          <w:p w14:paraId="63057CBB">
            <w:pPr>
              <w:rPr>
                <w:rFonts w:ascii="Arial"/>
              </w:rPr>
            </w:pPr>
          </w:p>
        </w:tc>
      </w:tr>
      <w:tr w14:paraId="2DAB79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662CB349">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693F1D75">
            <w:pPr>
              <w:rPr>
                <w:rFonts w:ascii="Arial"/>
              </w:rPr>
            </w:pPr>
          </w:p>
        </w:tc>
        <w:tc>
          <w:tcPr>
            <w:tcW w:w="403" w:type="dxa"/>
            <w:tcBorders>
              <w:left w:val="single" w:color="auto" w:sz="4" w:space="0"/>
            </w:tcBorders>
            <w:noWrap w:val="0"/>
            <w:vAlign w:val="top"/>
          </w:tcPr>
          <w:p w14:paraId="75D49DD0">
            <w:pPr>
              <w:rPr>
                <w:rFonts w:ascii="Arial"/>
              </w:rPr>
            </w:pPr>
          </w:p>
        </w:tc>
        <w:tc>
          <w:tcPr>
            <w:tcW w:w="405" w:type="dxa"/>
            <w:noWrap w:val="0"/>
            <w:vAlign w:val="top"/>
          </w:tcPr>
          <w:p w14:paraId="269E810D">
            <w:pPr>
              <w:rPr>
                <w:rFonts w:ascii="Arial"/>
              </w:rPr>
            </w:pPr>
          </w:p>
        </w:tc>
        <w:tc>
          <w:tcPr>
            <w:tcW w:w="406" w:type="dxa"/>
            <w:noWrap w:val="0"/>
            <w:vAlign w:val="top"/>
          </w:tcPr>
          <w:p w14:paraId="437B8452">
            <w:pPr>
              <w:rPr>
                <w:rFonts w:ascii="Arial"/>
              </w:rPr>
            </w:pPr>
          </w:p>
        </w:tc>
        <w:tc>
          <w:tcPr>
            <w:tcW w:w="406" w:type="dxa"/>
            <w:noWrap w:val="0"/>
            <w:vAlign w:val="top"/>
          </w:tcPr>
          <w:p w14:paraId="3A49FB28">
            <w:pPr>
              <w:rPr>
                <w:rFonts w:ascii="Arial"/>
              </w:rPr>
            </w:pPr>
          </w:p>
        </w:tc>
        <w:tc>
          <w:tcPr>
            <w:tcW w:w="405" w:type="dxa"/>
            <w:noWrap w:val="0"/>
            <w:vAlign w:val="top"/>
          </w:tcPr>
          <w:p w14:paraId="551D67A9">
            <w:pPr>
              <w:rPr>
                <w:rFonts w:ascii="Arial"/>
              </w:rPr>
            </w:pPr>
          </w:p>
        </w:tc>
        <w:tc>
          <w:tcPr>
            <w:tcW w:w="403" w:type="dxa"/>
            <w:noWrap w:val="0"/>
            <w:vAlign w:val="top"/>
          </w:tcPr>
          <w:p w14:paraId="4B0CA7B4">
            <w:pPr>
              <w:rPr>
                <w:rFonts w:ascii="Arial"/>
              </w:rPr>
            </w:pPr>
          </w:p>
        </w:tc>
        <w:tc>
          <w:tcPr>
            <w:tcW w:w="406" w:type="dxa"/>
            <w:noWrap w:val="0"/>
            <w:vAlign w:val="top"/>
          </w:tcPr>
          <w:p w14:paraId="341643BD">
            <w:pPr>
              <w:rPr>
                <w:rFonts w:ascii="Arial"/>
              </w:rPr>
            </w:pPr>
          </w:p>
        </w:tc>
        <w:tc>
          <w:tcPr>
            <w:tcW w:w="405" w:type="dxa"/>
            <w:noWrap w:val="0"/>
            <w:vAlign w:val="top"/>
          </w:tcPr>
          <w:p w14:paraId="0FF1A143">
            <w:pPr>
              <w:rPr>
                <w:rFonts w:ascii="Arial"/>
              </w:rPr>
            </w:pPr>
          </w:p>
        </w:tc>
        <w:tc>
          <w:tcPr>
            <w:tcW w:w="405" w:type="dxa"/>
            <w:noWrap w:val="0"/>
            <w:vAlign w:val="top"/>
          </w:tcPr>
          <w:p w14:paraId="762EBB35">
            <w:pPr>
              <w:rPr>
                <w:rFonts w:ascii="Arial"/>
              </w:rPr>
            </w:pPr>
          </w:p>
        </w:tc>
        <w:tc>
          <w:tcPr>
            <w:tcW w:w="406" w:type="dxa"/>
            <w:noWrap w:val="0"/>
            <w:vAlign w:val="top"/>
          </w:tcPr>
          <w:p w14:paraId="463C1AD2">
            <w:pPr>
              <w:rPr>
                <w:rFonts w:ascii="Arial"/>
              </w:rPr>
            </w:pPr>
          </w:p>
        </w:tc>
        <w:tc>
          <w:tcPr>
            <w:tcW w:w="405" w:type="dxa"/>
            <w:noWrap w:val="0"/>
            <w:vAlign w:val="top"/>
          </w:tcPr>
          <w:p w14:paraId="468DAC2E">
            <w:pPr>
              <w:rPr>
                <w:rFonts w:ascii="Arial"/>
              </w:rPr>
            </w:pPr>
          </w:p>
        </w:tc>
        <w:tc>
          <w:tcPr>
            <w:tcW w:w="405" w:type="dxa"/>
            <w:noWrap w:val="0"/>
            <w:vAlign w:val="top"/>
          </w:tcPr>
          <w:p w14:paraId="4E3F7566">
            <w:pPr>
              <w:rPr>
                <w:rFonts w:ascii="Arial"/>
              </w:rPr>
            </w:pPr>
          </w:p>
        </w:tc>
        <w:tc>
          <w:tcPr>
            <w:tcW w:w="406" w:type="dxa"/>
            <w:noWrap w:val="0"/>
            <w:vAlign w:val="top"/>
          </w:tcPr>
          <w:p w14:paraId="669DCD2C">
            <w:pPr>
              <w:rPr>
                <w:rFonts w:ascii="Arial"/>
              </w:rPr>
            </w:pPr>
          </w:p>
        </w:tc>
        <w:tc>
          <w:tcPr>
            <w:tcW w:w="405" w:type="dxa"/>
            <w:noWrap w:val="0"/>
            <w:vAlign w:val="top"/>
          </w:tcPr>
          <w:p w14:paraId="4F27D20E">
            <w:pPr>
              <w:rPr>
                <w:rFonts w:ascii="Arial"/>
              </w:rPr>
            </w:pPr>
          </w:p>
        </w:tc>
        <w:tc>
          <w:tcPr>
            <w:tcW w:w="405" w:type="dxa"/>
            <w:noWrap w:val="0"/>
            <w:vAlign w:val="top"/>
          </w:tcPr>
          <w:p w14:paraId="2C903C42">
            <w:pPr>
              <w:rPr>
                <w:rFonts w:ascii="Arial"/>
              </w:rPr>
            </w:pPr>
          </w:p>
        </w:tc>
        <w:tc>
          <w:tcPr>
            <w:tcW w:w="406" w:type="dxa"/>
            <w:noWrap w:val="0"/>
            <w:vAlign w:val="top"/>
          </w:tcPr>
          <w:p w14:paraId="2BA0446E">
            <w:pPr>
              <w:rPr>
                <w:rFonts w:ascii="Arial"/>
              </w:rPr>
            </w:pPr>
          </w:p>
        </w:tc>
        <w:tc>
          <w:tcPr>
            <w:tcW w:w="408" w:type="dxa"/>
            <w:noWrap w:val="0"/>
            <w:vAlign w:val="top"/>
          </w:tcPr>
          <w:p w14:paraId="338DF880">
            <w:pPr>
              <w:rPr>
                <w:rFonts w:ascii="Arial"/>
              </w:rPr>
            </w:pPr>
          </w:p>
        </w:tc>
        <w:tc>
          <w:tcPr>
            <w:tcW w:w="405" w:type="dxa"/>
            <w:noWrap w:val="0"/>
            <w:vAlign w:val="top"/>
          </w:tcPr>
          <w:p w14:paraId="704D6697">
            <w:pPr>
              <w:rPr>
                <w:rFonts w:ascii="Arial"/>
              </w:rPr>
            </w:pPr>
          </w:p>
        </w:tc>
        <w:tc>
          <w:tcPr>
            <w:tcW w:w="408" w:type="dxa"/>
            <w:noWrap w:val="0"/>
            <w:vAlign w:val="top"/>
          </w:tcPr>
          <w:p w14:paraId="61E76FC9">
            <w:pPr>
              <w:rPr>
                <w:rFonts w:ascii="Arial"/>
              </w:rPr>
            </w:pPr>
          </w:p>
        </w:tc>
        <w:tc>
          <w:tcPr>
            <w:tcW w:w="413" w:type="dxa"/>
            <w:noWrap w:val="0"/>
            <w:vAlign w:val="top"/>
          </w:tcPr>
          <w:p w14:paraId="3A044997">
            <w:pPr>
              <w:rPr>
                <w:rFonts w:ascii="Arial"/>
              </w:rPr>
            </w:pPr>
          </w:p>
        </w:tc>
      </w:tr>
      <w:tr w14:paraId="653CA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044E4C8D">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02900A78">
            <w:pPr>
              <w:rPr>
                <w:rFonts w:ascii="Arial"/>
              </w:rPr>
            </w:pPr>
          </w:p>
        </w:tc>
        <w:tc>
          <w:tcPr>
            <w:tcW w:w="403" w:type="dxa"/>
            <w:tcBorders>
              <w:left w:val="single" w:color="auto" w:sz="4" w:space="0"/>
            </w:tcBorders>
            <w:noWrap w:val="0"/>
            <w:vAlign w:val="top"/>
          </w:tcPr>
          <w:p w14:paraId="195A5823">
            <w:pPr>
              <w:rPr>
                <w:rFonts w:ascii="Arial"/>
              </w:rPr>
            </w:pPr>
          </w:p>
        </w:tc>
        <w:tc>
          <w:tcPr>
            <w:tcW w:w="405" w:type="dxa"/>
            <w:noWrap w:val="0"/>
            <w:vAlign w:val="top"/>
          </w:tcPr>
          <w:p w14:paraId="35DAA7D2">
            <w:pPr>
              <w:rPr>
                <w:rFonts w:ascii="Arial"/>
              </w:rPr>
            </w:pPr>
          </w:p>
        </w:tc>
        <w:tc>
          <w:tcPr>
            <w:tcW w:w="406" w:type="dxa"/>
            <w:noWrap w:val="0"/>
            <w:vAlign w:val="top"/>
          </w:tcPr>
          <w:p w14:paraId="7E664BE4">
            <w:pPr>
              <w:rPr>
                <w:rFonts w:ascii="Arial"/>
              </w:rPr>
            </w:pPr>
          </w:p>
        </w:tc>
        <w:tc>
          <w:tcPr>
            <w:tcW w:w="406" w:type="dxa"/>
            <w:noWrap w:val="0"/>
            <w:vAlign w:val="top"/>
          </w:tcPr>
          <w:p w14:paraId="06FDAC2A">
            <w:pPr>
              <w:rPr>
                <w:rFonts w:ascii="Arial"/>
              </w:rPr>
            </w:pPr>
          </w:p>
        </w:tc>
        <w:tc>
          <w:tcPr>
            <w:tcW w:w="405" w:type="dxa"/>
            <w:noWrap w:val="0"/>
            <w:vAlign w:val="top"/>
          </w:tcPr>
          <w:p w14:paraId="28370727">
            <w:pPr>
              <w:rPr>
                <w:rFonts w:ascii="Arial"/>
              </w:rPr>
            </w:pPr>
          </w:p>
        </w:tc>
        <w:tc>
          <w:tcPr>
            <w:tcW w:w="403" w:type="dxa"/>
            <w:noWrap w:val="0"/>
            <w:vAlign w:val="top"/>
          </w:tcPr>
          <w:p w14:paraId="139B8248">
            <w:pPr>
              <w:rPr>
                <w:rFonts w:ascii="Arial"/>
              </w:rPr>
            </w:pPr>
          </w:p>
        </w:tc>
        <w:tc>
          <w:tcPr>
            <w:tcW w:w="406" w:type="dxa"/>
            <w:noWrap w:val="0"/>
            <w:vAlign w:val="top"/>
          </w:tcPr>
          <w:p w14:paraId="255D25C3">
            <w:pPr>
              <w:rPr>
                <w:rFonts w:ascii="Arial"/>
              </w:rPr>
            </w:pPr>
          </w:p>
        </w:tc>
        <w:tc>
          <w:tcPr>
            <w:tcW w:w="405" w:type="dxa"/>
            <w:noWrap w:val="0"/>
            <w:vAlign w:val="top"/>
          </w:tcPr>
          <w:p w14:paraId="1D5F95C9">
            <w:pPr>
              <w:rPr>
                <w:rFonts w:ascii="Arial"/>
              </w:rPr>
            </w:pPr>
          </w:p>
        </w:tc>
        <w:tc>
          <w:tcPr>
            <w:tcW w:w="405" w:type="dxa"/>
            <w:noWrap w:val="0"/>
            <w:vAlign w:val="top"/>
          </w:tcPr>
          <w:p w14:paraId="7FECD629">
            <w:pPr>
              <w:rPr>
                <w:rFonts w:ascii="Arial"/>
              </w:rPr>
            </w:pPr>
          </w:p>
        </w:tc>
        <w:tc>
          <w:tcPr>
            <w:tcW w:w="406" w:type="dxa"/>
            <w:noWrap w:val="0"/>
            <w:vAlign w:val="top"/>
          </w:tcPr>
          <w:p w14:paraId="27C7C3E0">
            <w:pPr>
              <w:rPr>
                <w:rFonts w:ascii="Arial"/>
              </w:rPr>
            </w:pPr>
          </w:p>
        </w:tc>
        <w:tc>
          <w:tcPr>
            <w:tcW w:w="405" w:type="dxa"/>
            <w:noWrap w:val="0"/>
            <w:vAlign w:val="top"/>
          </w:tcPr>
          <w:p w14:paraId="79C21E72">
            <w:pPr>
              <w:rPr>
                <w:rFonts w:ascii="Arial"/>
              </w:rPr>
            </w:pPr>
          </w:p>
        </w:tc>
        <w:tc>
          <w:tcPr>
            <w:tcW w:w="405" w:type="dxa"/>
            <w:noWrap w:val="0"/>
            <w:vAlign w:val="top"/>
          </w:tcPr>
          <w:p w14:paraId="30F436D4">
            <w:pPr>
              <w:rPr>
                <w:rFonts w:ascii="Arial"/>
              </w:rPr>
            </w:pPr>
          </w:p>
        </w:tc>
        <w:tc>
          <w:tcPr>
            <w:tcW w:w="406" w:type="dxa"/>
            <w:noWrap w:val="0"/>
            <w:vAlign w:val="top"/>
          </w:tcPr>
          <w:p w14:paraId="362E7051">
            <w:pPr>
              <w:rPr>
                <w:rFonts w:ascii="Arial"/>
              </w:rPr>
            </w:pPr>
          </w:p>
        </w:tc>
        <w:tc>
          <w:tcPr>
            <w:tcW w:w="405" w:type="dxa"/>
            <w:noWrap w:val="0"/>
            <w:vAlign w:val="top"/>
          </w:tcPr>
          <w:p w14:paraId="5B7CBF82">
            <w:pPr>
              <w:rPr>
                <w:rFonts w:ascii="Arial"/>
              </w:rPr>
            </w:pPr>
          </w:p>
        </w:tc>
        <w:tc>
          <w:tcPr>
            <w:tcW w:w="405" w:type="dxa"/>
            <w:noWrap w:val="0"/>
            <w:vAlign w:val="top"/>
          </w:tcPr>
          <w:p w14:paraId="7A3B237E">
            <w:pPr>
              <w:rPr>
                <w:rFonts w:ascii="Arial"/>
              </w:rPr>
            </w:pPr>
          </w:p>
        </w:tc>
        <w:tc>
          <w:tcPr>
            <w:tcW w:w="406" w:type="dxa"/>
            <w:noWrap w:val="0"/>
            <w:vAlign w:val="top"/>
          </w:tcPr>
          <w:p w14:paraId="4B0DA6E4">
            <w:pPr>
              <w:rPr>
                <w:rFonts w:ascii="Arial"/>
              </w:rPr>
            </w:pPr>
          </w:p>
        </w:tc>
        <w:tc>
          <w:tcPr>
            <w:tcW w:w="408" w:type="dxa"/>
            <w:noWrap w:val="0"/>
            <w:vAlign w:val="top"/>
          </w:tcPr>
          <w:p w14:paraId="4647FDFE">
            <w:pPr>
              <w:rPr>
                <w:rFonts w:ascii="Arial"/>
              </w:rPr>
            </w:pPr>
          </w:p>
        </w:tc>
        <w:tc>
          <w:tcPr>
            <w:tcW w:w="405" w:type="dxa"/>
            <w:noWrap w:val="0"/>
            <w:vAlign w:val="top"/>
          </w:tcPr>
          <w:p w14:paraId="74D17B84">
            <w:pPr>
              <w:rPr>
                <w:rFonts w:ascii="Arial"/>
              </w:rPr>
            </w:pPr>
          </w:p>
        </w:tc>
        <w:tc>
          <w:tcPr>
            <w:tcW w:w="408" w:type="dxa"/>
            <w:noWrap w:val="0"/>
            <w:vAlign w:val="top"/>
          </w:tcPr>
          <w:p w14:paraId="31F76A63">
            <w:pPr>
              <w:rPr>
                <w:rFonts w:ascii="Arial"/>
              </w:rPr>
            </w:pPr>
          </w:p>
        </w:tc>
        <w:tc>
          <w:tcPr>
            <w:tcW w:w="413" w:type="dxa"/>
            <w:noWrap w:val="0"/>
            <w:vAlign w:val="top"/>
          </w:tcPr>
          <w:p w14:paraId="70E4F349">
            <w:pPr>
              <w:rPr>
                <w:rFonts w:ascii="Arial"/>
              </w:rPr>
            </w:pPr>
          </w:p>
        </w:tc>
      </w:tr>
      <w:tr w14:paraId="31128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3140BF3E">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4BC4FFA7">
            <w:pPr>
              <w:rPr>
                <w:rFonts w:ascii="Arial"/>
              </w:rPr>
            </w:pPr>
          </w:p>
        </w:tc>
        <w:tc>
          <w:tcPr>
            <w:tcW w:w="403" w:type="dxa"/>
            <w:tcBorders>
              <w:left w:val="single" w:color="auto" w:sz="4" w:space="0"/>
            </w:tcBorders>
            <w:noWrap w:val="0"/>
            <w:vAlign w:val="top"/>
          </w:tcPr>
          <w:p w14:paraId="59F0A2AA">
            <w:pPr>
              <w:rPr>
                <w:rFonts w:ascii="Arial"/>
              </w:rPr>
            </w:pPr>
          </w:p>
        </w:tc>
        <w:tc>
          <w:tcPr>
            <w:tcW w:w="405" w:type="dxa"/>
            <w:noWrap w:val="0"/>
            <w:vAlign w:val="top"/>
          </w:tcPr>
          <w:p w14:paraId="5F1CEBE9">
            <w:pPr>
              <w:rPr>
                <w:rFonts w:ascii="Arial"/>
              </w:rPr>
            </w:pPr>
          </w:p>
        </w:tc>
        <w:tc>
          <w:tcPr>
            <w:tcW w:w="406" w:type="dxa"/>
            <w:noWrap w:val="0"/>
            <w:vAlign w:val="top"/>
          </w:tcPr>
          <w:p w14:paraId="32A186EA">
            <w:pPr>
              <w:rPr>
                <w:rFonts w:ascii="Arial"/>
              </w:rPr>
            </w:pPr>
          </w:p>
        </w:tc>
        <w:tc>
          <w:tcPr>
            <w:tcW w:w="406" w:type="dxa"/>
            <w:noWrap w:val="0"/>
            <w:vAlign w:val="top"/>
          </w:tcPr>
          <w:p w14:paraId="7718938B">
            <w:pPr>
              <w:rPr>
                <w:rFonts w:ascii="Arial"/>
              </w:rPr>
            </w:pPr>
          </w:p>
        </w:tc>
        <w:tc>
          <w:tcPr>
            <w:tcW w:w="405" w:type="dxa"/>
            <w:noWrap w:val="0"/>
            <w:vAlign w:val="top"/>
          </w:tcPr>
          <w:p w14:paraId="60B46857">
            <w:pPr>
              <w:rPr>
                <w:rFonts w:ascii="Arial"/>
              </w:rPr>
            </w:pPr>
          </w:p>
        </w:tc>
        <w:tc>
          <w:tcPr>
            <w:tcW w:w="403" w:type="dxa"/>
            <w:noWrap w:val="0"/>
            <w:vAlign w:val="top"/>
          </w:tcPr>
          <w:p w14:paraId="3257159B">
            <w:pPr>
              <w:rPr>
                <w:rFonts w:ascii="Arial"/>
              </w:rPr>
            </w:pPr>
          </w:p>
        </w:tc>
        <w:tc>
          <w:tcPr>
            <w:tcW w:w="406" w:type="dxa"/>
            <w:noWrap w:val="0"/>
            <w:vAlign w:val="top"/>
          </w:tcPr>
          <w:p w14:paraId="3E4A9F63">
            <w:pPr>
              <w:rPr>
                <w:rFonts w:ascii="Arial"/>
              </w:rPr>
            </w:pPr>
          </w:p>
        </w:tc>
        <w:tc>
          <w:tcPr>
            <w:tcW w:w="405" w:type="dxa"/>
            <w:noWrap w:val="0"/>
            <w:vAlign w:val="top"/>
          </w:tcPr>
          <w:p w14:paraId="1F34AECA">
            <w:pPr>
              <w:rPr>
                <w:rFonts w:ascii="Arial"/>
              </w:rPr>
            </w:pPr>
          </w:p>
        </w:tc>
        <w:tc>
          <w:tcPr>
            <w:tcW w:w="405" w:type="dxa"/>
            <w:noWrap w:val="0"/>
            <w:vAlign w:val="top"/>
          </w:tcPr>
          <w:p w14:paraId="2F9F5E97">
            <w:pPr>
              <w:rPr>
                <w:rFonts w:ascii="Arial"/>
              </w:rPr>
            </w:pPr>
          </w:p>
        </w:tc>
        <w:tc>
          <w:tcPr>
            <w:tcW w:w="406" w:type="dxa"/>
            <w:noWrap w:val="0"/>
            <w:vAlign w:val="top"/>
          </w:tcPr>
          <w:p w14:paraId="560359A3">
            <w:pPr>
              <w:rPr>
                <w:rFonts w:ascii="Arial"/>
              </w:rPr>
            </w:pPr>
          </w:p>
        </w:tc>
        <w:tc>
          <w:tcPr>
            <w:tcW w:w="405" w:type="dxa"/>
            <w:noWrap w:val="0"/>
            <w:vAlign w:val="top"/>
          </w:tcPr>
          <w:p w14:paraId="4D1B0F64">
            <w:pPr>
              <w:rPr>
                <w:rFonts w:ascii="Arial"/>
              </w:rPr>
            </w:pPr>
          </w:p>
        </w:tc>
        <w:tc>
          <w:tcPr>
            <w:tcW w:w="405" w:type="dxa"/>
            <w:noWrap w:val="0"/>
            <w:vAlign w:val="top"/>
          </w:tcPr>
          <w:p w14:paraId="0D104D55">
            <w:pPr>
              <w:rPr>
                <w:rFonts w:ascii="Arial"/>
              </w:rPr>
            </w:pPr>
          </w:p>
        </w:tc>
        <w:tc>
          <w:tcPr>
            <w:tcW w:w="406" w:type="dxa"/>
            <w:noWrap w:val="0"/>
            <w:vAlign w:val="top"/>
          </w:tcPr>
          <w:p w14:paraId="27F147E7">
            <w:pPr>
              <w:rPr>
                <w:rFonts w:ascii="Arial"/>
              </w:rPr>
            </w:pPr>
          </w:p>
        </w:tc>
        <w:tc>
          <w:tcPr>
            <w:tcW w:w="405" w:type="dxa"/>
            <w:noWrap w:val="0"/>
            <w:vAlign w:val="top"/>
          </w:tcPr>
          <w:p w14:paraId="62F7F140">
            <w:pPr>
              <w:rPr>
                <w:rFonts w:ascii="Arial"/>
              </w:rPr>
            </w:pPr>
          </w:p>
        </w:tc>
        <w:tc>
          <w:tcPr>
            <w:tcW w:w="405" w:type="dxa"/>
            <w:noWrap w:val="0"/>
            <w:vAlign w:val="top"/>
          </w:tcPr>
          <w:p w14:paraId="0C3DDDEF">
            <w:pPr>
              <w:rPr>
                <w:rFonts w:ascii="Arial"/>
              </w:rPr>
            </w:pPr>
          </w:p>
        </w:tc>
        <w:tc>
          <w:tcPr>
            <w:tcW w:w="406" w:type="dxa"/>
            <w:noWrap w:val="0"/>
            <w:vAlign w:val="top"/>
          </w:tcPr>
          <w:p w14:paraId="6F7E95E8">
            <w:pPr>
              <w:rPr>
                <w:rFonts w:ascii="Arial"/>
              </w:rPr>
            </w:pPr>
          </w:p>
        </w:tc>
        <w:tc>
          <w:tcPr>
            <w:tcW w:w="408" w:type="dxa"/>
            <w:noWrap w:val="0"/>
            <w:vAlign w:val="top"/>
          </w:tcPr>
          <w:p w14:paraId="03FB12E5">
            <w:pPr>
              <w:rPr>
                <w:rFonts w:ascii="Arial"/>
              </w:rPr>
            </w:pPr>
          </w:p>
        </w:tc>
        <w:tc>
          <w:tcPr>
            <w:tcW w:w="405" w:type="dxa"/>
            <w:noWrap w:val="0"/>
            <w:vAlign w:val="top"/>
          </w:tcPr>
          <w:p w14:paraId="5A8A28D8">
            <w:pPr>
              <w:rPr>
                <w:rFonts w:ascii="Arial"/>
              </w:rPr>
            </w:pPr>
          </w:p>
        </w:tc>
        <w:tc>
          <w:tcPr>
            <w:tcW w:w="408" w:type="dxa"/>
            <w:noWrap w:val="0"/>
            <w:vAlign w:val="top"/>
          </w:tcPr>
          <w:p w14:paraId="25A42DBC">
            <w:pPr>
              <w:rPr>
                <w:rFonts w:ascii="Arial"/>
              </w:rPr>
            </w:pPr>
          </w:p>
        </w:tc>
        <w:tc>
          <w:tcPr>
            <w:tcW w:w="413" w:type="dxa"/>
            <w:noWrap w:val="0"/>
            <w:vAlign w:val="top"/>
          </w:tcPr>
          <w:p w14:paraId="733AB2AB">
            <w:pPr>
              <w:rPr>
                <w:rFonts w:ascii="Arial"/>
              </w:rPr>
            </w:pPr>
          </w:p>
        </w:tc>
      </w:tr>
      <w:tr w14:paraId="2A7B1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481C50A0">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47486BAA">
            <w:pPr>
              <w:rPr>
                <w:rFonts w:ascii="Arial"/>
              </w:rPr>
            </w:pPr>
          </w:p>
        </w:tc>
        <w:tc>
          <w:tcPr>
            <w:tcW w:w="403" w:type="dxa"/>
            <w:tcBorders>
              <w:left w:val="single" w:color="auto" w:sz="4" w:space="0"/>
            </w:tcBorders>
            <w:noWrap w:val="0"/>
            <w:vAlign w:val="top"/>
          </w:tcPr>
          <w:p w14:paraId="0BB2BF48">
            <w:pPr>
              <w:rPr>
                <w:rFonts w:ascii="Arial"/>
              </w:rPr>
            </w:pPr>
          </w:p>
        </w:tc>
        <w:tc>
          <w:tcPr>
            <w:tcW w:w="405" w:type="dxa"/>
            <w:noWrap w:val="0"/>
            <w:vAlign w:val="top"/>
          </w:tcPr>
          <w:p w14:paraId="72AB5677">
            <w:pPr>
              <w:rPr>
                <w:rFonts w:ascii="Arial"/>
              </w:rPr>
            </w:pPr>
          </w:p>
        </w:tc>
        <w:tc>
          <w:tcPr>
            <w:tcW w:w="406" w:type="dxa"/>
            <w:noWrap w:val="0"/>
            <w:vAlign w:val="top"/>
          </w:tcPr>
          <w:p w14:paraId="5D1B1C5B">
            <w:pPr>
              <w:rPr>
                <w:rFonts w:ascii="Arial"/>
              </w:rPr>
            </w:pPr>
          </w:p>
        </w:tc>
        <w:tc>
          <w:tcPr>
            <w:tcW w:w="406" w:type="dxa"/>
            <w:noWrap w:val="0"/>
            <w:vAlign w:val="top"/>
          </w:tcPr>
          <w:p w14:paraId="3D902093">
            <w:pPr>
              <w:rPr>
                <w:rFonts w:ascii="Arial"/>
              </w:rPr>
            </w:pPr>
          </w:p>
        </w:tc>
        <w:tc>
          <w:tcPr>
            <w:tcW w:w="405" w:type="dxa"/>
            <w:noWrap w:val="0"/>
            <w:vAlign w:val="top"/>
          </w:tcPr>
          <w:p w14:paraId="5EC5F3DE">
            <w:pPr>
              <w:rPr>
                <w:rFonts w:ascii="Arial"/>
              </w:rPr>
            </w:pPr>
          </w:p>
        </w:tc>
        <w:tc>
          <w:tcPr>
            <w:tcW w:w="403" w:type="dxa"/>
            <w:noWrap w:val="0"/>
            <w:vAlign w:val="top"/>
          </w:tcPr>
          <w:p w14:paraId="24ABAF71">
            <w:pPr>
              <w:rPr>
                <w:rFonts w:ascii="Arial"/>
              </w:rPr>
            </w:pPr>
          </w:p>
        </w:tc>
        <w:tc>
          <w:tcPr>
            <w:tcW w:w="406" w:type="dxa"/>
            <w:noWrap w:val="0"/>
            <w:vAlign w:val="top"/>
          </w:tcPr>
          <w:p w14:paraId="21C12BC6">
            <w:pPr>
              <w:rPr>
                <w:rFonts w:ascii="Arial"/>
              </w:rPr>
            </w:pPr>
          </w:p>
        </w:tc>
        <w:tc>
          <w:tcPr>
            <w:tcW w:w="405" w:type="dxa"/>
            <w:noWrap w:val="0"/>
            <w:vAlign w:val="top"/>
          </w:tcPr>
          <w:p w14:paraId="556CB03F">
            <w:pPr>
              <w:rPr>
                <w:rFonts w:ascii="Arial"/>
              </w:rPr>
            </w:pPr>
          </w:p>
        </w:tc>
        <w:tc>
          <w:tcPr>
            <w:tcW w:w="405" w:type="dxa"/>
            <w:noWrap w:val="0"/>
            <w:vAlign w:val="top"/>
          </w:tcPr>
          <w:p w14:paraId="1D586495">
            <w:pPr>
              <w:rPr>
                <w:rFonts w:ascii="Arial"/>
              </w:rPr>
            </w:pPr>
          </w:p>
        </w:tc>
        <w:tc>
          <w:tcPr>
            <w:tcW w:w="406" w:type="dxa"/>
            <w:noWrap w:val="0"/>
            <w:vAlign w:val="top"/>
          </w:tcPr>
          <w:p w14:paraId="7507B645">
            <w:pPr>
              <w:rPr>
                <w:rFonts w:ascii="Arial"/>
              </w:rPr>
            </w:pPr>
          </w:p>
        </w:tc>
        <w:tc>
          <w:tcPr>
            <w:tcW w:w="405" w:type="dxa"/>
            <w:noWrap w:val="0"/>
            <w:vAlign w:val="top"/>
          </w:tcPr>
          <w:p w14:paraId="1D3FF7AF">
            <w:pPr>
              <w:rPr>
                <w:rFonts w:ascii="Arial"/>
              </w:rPr>
            </w:pPr>
          </w:p>
        </w:tc>
        <w:tc>
          <w:tcPr>
            <w:tcW w:w="405" w:type="dxa"/>
            <w:noWrap w:val="0"/>
            <w:vAlign w:val="top"/>
          </w:tcPr>
          <w:p w14:paraId="07AD28C9">
            <w:pPr>
              <w:rPr>
                <w:rFonts w:ascii="Arial"/>
              </w:rPr>
            </w:pPr>
          </w:p>
        </w:tc>
        <w:tc>
          <w:tcPr>
            <w:tcW w:w="406" w:type="dxa"/>
            <w:noWrap w:val="0"/>
            <w:vAlign w:val="top"/>
          </w:tcPr>
          <w:p w14:paraId="6BB6C440">
            <w:pPr>
              <w:rPr>
                <w:rFonts w:ascii="Arial"/>
              </w:rPr>
            </w:pPr>
          </w:p>
        </w:tc>
        <w:tc>
          <w:tcPr>
            <w:tcW w:w="405" w:type="dxa"/>
            <w:noWrap w:val="0"/>
            <w:vAlign w:val="top"/>
          </w:tcPr>
          <w:p w14:paraId="39FBDAE2">
            <w:pPr>
              <w:rPr>
                <w:rFonts w:ascii="Arial"/>
              </w:rPr>
            </w:pPr>
          </w:p>
        </w:tc>
        <w:tc>
          <w:tcPr>
            <w:tcW w:w="405" w:type="dxa"/>
            <w:noWrap w:val="0"/>
            <w:vAlign w:val="top"/>
          </w:tcPr>
          <w:p w14:paraId="0F98F325">
            <w:pPr>
              <w:rPr>
                <w:rFonts w:ascii="Arial"/>
              </w:rPr>
            </w:pPr>
          </w:p>
        </w:tc>
        <w:tc>
          <w:tcPr>
            <w:tcW w:w="406" w:type="dxa"/>
            <w:noWrap w:val="0"/>
            <w:vAlign w:val="top"/>
          </w:tcPr>
          <w:p w14:paraId="6F5DC02C">
            <w:pPr>
              <w:rPr>
                <w:rFonts w:ascii="Arial"/>
              </w:rPr>
            </w:pPr>
          </w:p>
        </w:tc>
        <w:tc>
          <w:tcPr>
            <w:tcW w:w="408" w:type="dxa"/>
            <w:noWrap w:val="0"/>
            <w:vAlign w:val="top"/>
          </w:tcPr>
          <w:p w14:paraId="1CE29386">
            <w:pPr>
              <w:rPr>
                <w:rFonts w:ascii="Arial"/>
              </w:rPr>
            </w:pPr>
          </w:p>
        </w:tc>
        <w:tc>
          <w:tcPr>
            <w:tcW w:w="405" w:type="dxa"/>
            <w:noWrap w:val="0"/>
            <w:vAlign w:val="top"/>
          </w:tcPr>
          <w:p w14:paraId="6B8F1D1C">
            <w:pPr>
              <w:rPr>
                <w:rFonts w:ascii="Arial"/>
              </w:rPr>
            </w:pPr>
          </w:p>
        </w:tc>
        <w:tc>
          <w:tcPr>
            <w:tcW w:w="408" w:type="dxa"/>
            <w:noWrap w:val="0"/>
            <w:vAlign w:val="top"/>
          </w:tcPr>
          <w:p w14:paraId="4BFAB07E">
            <w:pPr>
              <w:rPr>
                <w:rFonts w:ascii="Arial"/>
              </w:rPr>
            </w:pPr>
          </w:p>
        </w:tc>
        <w:tc>
          <w:tcPr>
            <w:tcW w:w="413" w:type="dxa"/>
            <w:noWrap w:val="0"/>
            <w:vAlign w:val="top"/>
          </w:tcPr>
          <w:p w14:paraId="78E8C3AC">
            <w:pPr>
              <w:rPr>
                <w:rFonts w:ascii="Arial"/>
              </w:rPr>
            </w:pPr>
          </w:p>
        </w:tc>
      </w:tr>
      <w:tr w14:paraId="0B0AD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4B418792">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11C13DDB">
            <w:pPr>
              <w:rPr>
                <w:rFonts w:ascii="Arial"/>
              </w:rPr>
            </w:pPr>
          </w:p>
        </w:tc>
        <w:tc>
          <w:tcPr>
            <w:tcW w:w="403" w:type="dxa"/>
            <w:tcBorders>
              <w:left w:val="single" w:color="auto" w:sz="4" w:space="0"/>
            </w:tcBorders>
            <w:noWrap w:val="0"/>
            <w:vAlign w:val="top"/>
          </w:tcPr>
          <w:p w14:paraId="77E0FE61">
            <w:pPr>
              <w:rPr>
                <w:rFonts w:ascii="Arial"/>
              </w:rPr>
            </w:pPr>
          </w:p>
        </w:tc>
        <w:tc>
          <w:tcPr>
            <w:tcW w:w="405" w:type="dxa"/>
            <w:noWrap w:val="0"/>
            <w:vAlign w:val="top"/>
          </w:tcPr>
          <w:p w14:paraId="63C93591">
            <w:pPr>
              <w:rPr>
                <w:rFonts w:ascii="Arial"/>
              </w:rPr>
            </w:pPr>
          </w:p>
        </w:tc>
        <w:tc>
          <w:tcPr>
            <w:tcW w:w="406" w:type="dxa"/>
            <w:noWrap w:val="0"/>
            <w:vAlign w:val="top"/>
          </w:tcPr>
          <w:p w14:paraId="0AEB3571">
            <w:pPr>
              <w:rPr>
                <w:rFonts w:ascii="Arial"/>
              </w:rPr>
            </w:pPr>
          </w:p>
        </w:tc>
        <w:tc>
          <w:tcPr>
            <w:tcW w:w="406" w:type="dxa"/>
            <w:noWrap w:val="0"/>
            <w:vAlign w:val="top"/>
          </w:tcPr>
          <w:p w14:paraId="673EBF75">
            <w:pPr>
              <w:rPr>
                <w:rFonts w:ascii="Arial"/>
              </w:rPr>
            </w:pPr>
          </w:p>
        </w:tc>
        <w:tc>
          <w:tcPr>
            <w:tcW w:w="405" w:type="dxa"/>
            <w:noWrap w:val="0"/>
            <w:vAlign w:val="top"/>
          </w:tcPr>
          <w:p w14:paraId="1F11F04C">
            <w:pPr>
              <w:rPr>
                <w:rFonts w:ascii="Arial"/>
              </w:rPr>
            </w:pPr>
          </w:p>
        </w:tc>
        <w:tc>
          <w:tcPr>
            <w:tcW w:w="403" w:type="dxa"/>
            <w:noWrap w:val="0"/>
            <w:vAlign w:val="top"/>
          </w:tcPr>
          <w:p w14:paraId="76BBE6FA">
            <w:pPr>
              <w:rPr>
                <w:rFonts w:ascii="Arial"/>
              </w:rPr>
            </w:pPr>
          </w:p>
        </w:tc>
        <w:tc>
          <w:tcPr>
            <w:tcW w:w="406" w:type="dxa"/>
            <w:noWrap w:val="0"/>
            <w:vAlign w:val="top"/>
          </w:tcPr>
          <w:p w14:paraId="2E8AF84E">
            <w:pPr>
              <w:rPr>
                <w:rFonts w:ascii="Arial"/>
              </w:rPr>
            </w:pPr>
          </w:p>
        </w:tc>
        <w:tc>
          <w:tcPr>
            <w:tcW w:w="405" w:type="dxa"/>
            <w:noWrap w:val="0"/>
            <w:vAlign w:val="top"/>
          </w:tcPr>
          <w:p w14:paraId="6F8B201D">
            <w:pPr>
              <w:rPr>
                <w:rFonts w:ascii="Arial"/>
              </w:rPr>
            </w:pPr>
          </w:p>
        </w:tc>
        <w:tc>
          <w:tcPr>
            <w:tcW w:w="405" w:type="dxa"/>
            <w:noWrap w:val="0"/>
            <w:vAlign w:val="top"/>
          </w:tcPr>
          <w:p w14:paraId="1ED95761">
            <w:pPr>
              <w:rPr>
                <w:rFonts w:ascii="Arial"/>
              </w:rPr>
            </w:pPr>
          </w:p>
        </w:tc>
        <w:tc>
          <w:tcPr>
            <w:tcW w:w="406" w:type="dxa"/>
            <w:noWrap w:val="0"/>
            <w:vAlign w:val="top"/>
          </w:tcPr>
          <w:p w14:paraId="300FDE27">
            <w:pPr>
              <w:rPr>
                <w:rFonts w:ascii="Arial"/>
              </w:rPr>
            </w:pPr>
          </w:p>
        </w:tc>
        <w:tc>
          <w:tcPr>
            <w:tcW w:w="405" w:type="dxa"/>
            <w:noWrap w:val="0"/>
            <w:vAlign w:val="top"/>
          </w:tcPr>
          <w:p w14:paraId="74129168">
            <w:pPr>
              <w:rPr>
                <w:rFonts w:ascii="Arial"/>
              </w:rPr>
            </w:pPr>
          </w:p>
        </w:tc>
        <w:tc>
          <w:tcPr>
            <w:tcW w:w="405" w:type="dxa"/>
            <w:noWrap w:val="0"/>
            <w:vAlign w:val="top"/>
          </w:tcPr>
          <w:p w14:paraId="7BE1F55B">
            <w:pPr>
              <w:rPr>
                <w:rFonts w:ascii="Arial"/>
              </w:rPr>
            </w:pPr>
          </w:p>
        </w:tc>
        <w:tc>
          <w:tcPr>
            <w:tcW w:w="406" w:type="dxa"/>
            <w:noWrap w:val="0"/>
            <w:vAlign w:val="top"/>
          </w:tcPr>
          <w:p w14:paraId="512F5500">
            <w:pPr>
              <w:rPr>
                <w:rFonts w:ascii="Arial"/>
              </w:rPr>
            </w:pPr>
          </w:p>
        </w:tc>
        <w:tc>
          <w:tcPr>
            <w:tcW w:w="405" w:type="dxa"/>
            <w:noWrap w:val="0"/>
            <w:vAlign w:val="top"/>
          </w:tcPr>
          <w:p w14:paraId="5ED02120">
            <w:pPr>
              <w:rPr>
                <w:rFonts w:ascii="Arial"/>
              </w:rPr>
            </w:pPr>
          </w:p>
        </w:tc>
        <w:tc>
          <w:tcPr>
            <w:tcW w:w="405" w:type="dxa"/>
            <w:noWrap w:val="0"/>
            <w:vAlign w:val="top"/>
          </w:tcPr>
          <w:p w14:paraId="2D1F32F8">
            <w:pPr>
              <w:rPr>
                <w:rFonts w:ascii="Arial"/>
              </w:rPr>
            </w:pPr>
          </w:p>
        </w:tc>
        <w:tc>
          <w:tcPr>
            <w:tcW w:w="406" w:type="dxa"/>
            <w:noWrap w:val="0"/>
            <w:vAlign w:val="top"/>
          </w:tcPr>
          <w:p w14:paraId="635E4F14">
            <w:pPr>
              <w:rPr>
                <w:rFonts w:ascii="Arial"/>
              </w:rPr>
            </w:pPr>
          </w:p>
        </w:tc>
        <w:tc>
          <w:tcPr>
            <w:tcW w:w="408" w:type="dxa"/>
            <w:noWrap w:val="0"/>
            <w:vAlign w:val="top"/>
          </w:tcPr>
          <w:p w14:paraId="679E0463">
            <w:pPr>
              <w:rPr>
                <w:rFonts w:ascii="Arial"/>
              </w:rPr>
            </w:pPr>
          </w:p>
        </w:tc>
        <w:tc>
          <w:tcPr>
            <w:tcW w:w="405" w:type="dxa"/>
            <w:noWrap w:val="0"/>
            <w:vAlign w:val="top"/>
          </w:tcPr>
          <w:p w14:paraId="3E1201B0">
            <w:pPr>
              <w:rPr>
                <w:rFonts w:ascii="Arial"/>
              </w:rPr>
            </w:pPr>
          </w:p>
        </w:tc>
        <w:tc>
          <w:tcPr>
            <w:tcW w:w="408" w:type="dxa"/>
            <w:noWrap w:val="0"/>
            <w:vAlign w:val="top"/>
          </w:tcPr>
          <w:p w14:paraId="53C360D0">
            <w:pPr>
              <w:rPr>
                <w:rFonts w:ascii="Arial"/>
              </w:rPr>
            </w:pPr>
          </w:p>
        </w:tc>
        <w:tc>
          <w:tcPr>
            <w:tcW w:w="413" w:type="dxa"/>
            <w:noWrap w:val="0"/>
            <w:vAlign w:val="top"/>
          </w:tcPr>
          <w:p w14:paraId="39A162B8">
            <w:pPr>
              <w:rPr>
                <w:rFonts w:ascii="Arial"/>
              </w:rPr>
            </w:pPr>
          </w:p>
        </w:tc>
      </w:tr>
      <w:tr w14:paraId="353CC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26AE006B">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7A109941">
            <w:pPr>
              <w:rPr>
                <w:rFonts w:ascii="Arial"/>
              </w:rPr>
            </w:pPr>
          </w:p>
        </w:tc>
        <w:tc>
          <w:tcPr>
            <w:tcW w:w="403" w:type="dxa"/>
            <w:tcBorders>
              <w:left w:val="single" w:color="auto" w:sz="4" w:space="0"/>
            </w:tcBorders>
            <w:noWrap w:val="0"/>
            <w:vAlign w:val="top"/>
          </w:tcPr>
          <w:p w14:paraId="15F1A323">
            <w:pPr>
              <w:rPr>
                <w:rFonts w:ascii="Arial"/>
              </w:rPr>
            </w:pPr>
          </w:p>
        </w:tc>
        <w:tc>
          <w:tcPr>
            <w:tcW w:w="405" w:type="dxa"/>
            <w:noWrap w:val="0"/>
            <w:vAlign w:val="top"/>
          </w:tcPr>
          <w:p w14:paraId="76E54C84">
            <w:pPr>
              <w:rPr>
                <w:rFonts w:ascii="Arial"/>
              </w:rPr>
            </w:pPr>
          </w:p>
        </w:tc>
        <w:tc>
          <w:tcPr>
            <w:tcW w:w="406" w:type="dxa"/>
            <w:noWrap w:val="0"/>
            <w:vAlign w:val="top"/>
          </w:tcPr>
          <w:p w14:paraId="030EBE6B">
            <w:pPr>
              <w:rPr>
                <w:rFonts w:ascii="Arial"/>
              </w:rPr>
            </w:pPr>
          </w:p>
        </w:tc>
        <w:tc>
          <w:tcPr>
            <w:tcW w:w="406" w:type="dxa"/>
            <w:noWrap w:val="0"/>
            <w:vAlign w:val="top"/>
          </w:tcPr>
          <w:p w14:paraId="2D6C024B">
            <w:pPr>
              <w:rPr>
                <w:rFonts w:ascii="Arial"/>
              </w:rPr>
            </w:pPr>
          </w:p>
        </w:tc>
        <w:tc>
          <w:tcPr>
            <w:tcW w:w="405" w:type="dxa"/>
            <w:noWrap w:val="0"/>
            <w:vAlign w:val="top"/>
          </w:tcPr>
          <w:p w14:paraId="7EA1D0FF">
            <w:pPr>
              <w:rPr>
                <w:rFonts w:ascii="Arial"/>
              </w:rPr>
            </w:pPr>
          </w:p>
        </w:tc>
        <w:tc>
          <w:tcPr>
            <w:tcW w:w="403" w:type="dxa"/>
            <w:noWrap w:val="0"/>
            <w:vAlign w:val="top"/>
          </w:tcPr>
          <w:p w14:paraId="4978B37D">
            <w:pPr>
              <w:rPr>
                <w:rFonts w:ascii="Arial"/>
              </w:rPr>
            </w:pPr>
          </w:p>
        </w:tc>
        <w:tc>
          <w:tcPr>
            <w:tcW w:w="406" w:type="dxa"/>
            <w:noWrap w:val="0"/>
            <w:vAlign w:val="top"/>
          </w:tcPr>
          <w:p w14:paraId="03981893">
            <w:pPr>
              <w:rPr>
                <w:rFonts w:ascii="Arial"/>
              </w:rPr>
            </w:pPr>
          </w:p>
        </w:tc>
        <w:tc>
          <w:tcPr>
            <w:tcW w:w="405" w:type="dxa"/>
            <w:noWrap w:val="0"/>
            <w:vAlign w:val="top"/>
          </w:tcPr>
          <w:p w14:paraId="2E47ADF5">
            <w:pPr>
              <w:rPr>
                <w:rFonts w:ascii="Arial"/>
              </w:rPr>
            </w:pPr>
          </w:p>
        </w:tc>
        <w:tc>
          <w:tcPr>
            <w:tcW w:w="405" w:type="dxa"/>
            <w:noWrap w:val="0"/>
            <w:vAlign w:val="top"/>
          </w:tcPr>
          <w:p w14:paraId="02A174D3">
            <w:pPr>
              <w:rPr>
                <w:rFonts w:ascii="Arial"/>
              </w:rPr>
            </w:pPr>
          </w:p>
        </w:tc>
        <w:tc>
          <w:tcPr>
            <w:tcW w:w="406" w:type="dxa"/>
            <w:noWrap w:val="0"/>
            <w:vAlign w:val="top"/>
          </w:tcPr>
          <w:p w14:paraId="01301514">
            <w:pPr>
              <w:rPr>
                <w:rFonts w:ascii="Arial"/>
              </w:rPr>
            </w:pPr>
          </w:p>
        </w:tc>
        <w:tc>
          <w:tcPr>
            <w:tcW w:w="405" w:type="dxa"/>
            <w:noWrap w:val="0"/>
            <w:vAlign w:val="top"/>
          </w:tcPr>
          <w:p w14:paraId="686BCBA9">
            <w:pPr>
              <w:rPr>
                <w:rFonts w:ascii="Arial"/>
              </w:rPr>
            </w:pPr>
          </w:p>
        </w:tc>
        <w:tc>
          <w:tcPr>
            <w:tcW w:w="405" w:type="dxa"/>
            <w:noWrap w:val="0"/>
            <w:vAlign w:val="top"/>
          </w:tcPr>
          <w:p w14:paraId="4313A745">
            <w:pPr>
              <w:rPr>
                <w:rFonts w:ascii="Arial"/>
              </w:rPr>
            </w:pPr>
          </w:p>
        </w:tc>
        <w:tc>
          <w:tcPr>
            <w:tcW w:w="406" w:type="dxa"/>
            <w:noWrap w:val="0"/>
            <w:vAlign w:val="top"/>
          </w:tcPr>
          <w:p w14:paraId="2C67AE2F">
            <w:pPr>
              <w:rPr>
                <w:rFonts w:ascii="Arial"/>
              </w:rPr>
            </w:pPr>
          </w:p>
        </w:tc>
        <w:tc>
          <w:tcPr>
            <w:tcW w:w="405" w:type="dxa"/>
            <w:noWrap w:val="0"/>
            <w:vAlign w:val="top"/>
          </w:tcPr>
          <w:p w14:paraId="08BE999A">
            <w:pPr>
              <w:rPr>
                <w:rFonts w:ascii="Arial"/>
              </w:rPr>
            </w:pPr>
          </w:p>
        </w:tc>
        <w:tc>
          <w:tcPr>
            <w:tcW w:w="405" w:type="dxa"/>
            <w:noWrap w:val="0"/>
            <w:vAlign w:val="top"/>
          </w:tcPr>
          <w:p w14:paraId="38E4323A">
            <w:pPr>
              <w:rPr>
                <w:rFonts w:ascii="Arial"/>
              </w:rPr>
            </w:pPr>
          </w:p>
        </w:tc>
        <w:tc>
          <w:tcPr>
            <w:tcW w:w="406" w:type="dxa"/>
            <w:noWrap w:val="0"/>
            <w:vAlign w:val="top"/>
          </w:tcPr>
          <w:p w14:paraId="3DE7D687">
            <w:pPr>
              <w:rPr>
                <w:rFonts w:ascii="Arial"/>
              </w:rPr>
            </w:pPr>
          </w:p>
        </w:tc>
        <w:tc>
          <w:tcPr>
            <w:tcW w:w="408" w:type="dxa"/>
            <w:noWrap w:val="0"/>
            <w:vAlign w:val="top"/>
          </w:tcPr>
          <w:p w14:paraId="732C569D">
            <w:pPr>
              <w:rPr>
                <w:rFonts w:ascii="Arial"/>
              </w:rPr>
            </w:pPr>
          </w:p>
        </w:tc>
        <w:tc>
          <w:tcPr>
            <w:tcW w:w="405" w:type="dxa"/>
            <w:noWrap w:val="0"/>
            <w:vAlign w:val="top"/>
          </w:tcPr>
          <w:p w14:paraId="0AD1D535">
            <w:pPr>
              <w:rPr>
                <w:rFonts w:ascii="Arial"/>
              </w:rPr>
            </w:pPr>
          </w:p>
        </w:tc>
        <w:tc>
          <w:tcPr>
            <w:tcW w:w="408" w:type="dxa"/>
            <w:noWrap w:val="0"/>
            <w:vAlign w:val="top"/>
          </w:tcPr>
          <w:p w14:paraId="45102BA0">
            <w:pPr>
              <w:rPr>
                <w:rFonts w:ascii="Arial"/>
              </w:rPr>
            </w:pPr>
          </w:p>
        </w:tc>
        <w:tc>
          <w:tcPr>
            <w:tcW w:w="413" w:type="dxa"/>
            <w:noWrap w:val="0"/>
            <w:vAlign w:val="top"/>
          </w:tcPr>
          <w:p w14:paraId="4C371D46">
            <w:pPr>
              <w:rPr>
                <w:rFonts w:ascii="Arial"/>
              </w:rPr>
            </w:pPr>
          </w:p>
        </w:tc>
      </w:tr>
      <w:tr w14:paraId="25803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26779BBA">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490C4858">
            <w:pPr>
              <w:rPr>
                <w:rFonts w:ascii="Arial"/>
              </w:rPr>
            </w:pPr>
          </w:p>
        </w:tc>
        <w:tc>
          <w:tcPr>
            <w:tcW w:w="403" w:type="dxa"/>
            <w:tcBorders>
              <w:left w:val="single" w:color="auto" w:sz="4" w:space="0"/>
            </w:tcBorders>
            <w:noWrap w:val="0"/>
            <w:vAlign w:val="top"/>
          </w:tcPr>
          <w:p w14:paraId="42B4EE8F">
            <w:pPr>
              <w:rPr>
                <w:rFonts w:ascii="Arial"/>
              </w:rPr>
            </w:pPr>
          </w:p>
        </w:tc>
        <w:tc>
          <w:tcPr>
            <w:tcW w:w="405" w:type="dxa"/>
            <w:noWrap w:val="0"/>
            <w:vAlign w:val="top"/>
          </w:tcPr>
          <w:p w14:paraId="2FAE3919">
            <w:pPr>
              <w:rPr>
                <w:rFonts w:ascii="Arial"/>
              </w:rPr>
            </w:pPr>
          </w:p>
        </w:tc>
        <w:tc>
          <w:tcPr>
            <w:tcW w:w="406" w:type="dxa"/>
            <w:noWrap w:val="0"/>
            <w:vAlign w:val="top"/>
          </w:tcPr>
          <w:p w14:paraId="7C170481">
            <w:pPr>
              <w:rPr>
                <w:rFonts w:ascii="Arial"/>
              </w:rPr>
            </w:pPr>
          </w:p>
        </w:tc>
        <w:tc>
          <w:tcPr>
            <w:tcW w:w="406" w:type="dxa"/>
            <w:noWrap w:val="0"/>
            <w:vAlign w:val="top"/>
          </w:tcPr>
          <w:p w14:paraId="7E0FA08B">
            <w:pPr>
              <w:rPr>
                <w:rFonts w:ascii="Arial"/>
              </w:rPr>
            </w:pPr>
          </w:p>
        </w:tc>
        <w:tc>
          <w:tcPr>
            <w:tcW w:w="405" w:type="dxa"/>
            <w:noWrap w:val="0"/>
            <w:vAlign w:val="top"/>
          </w:tcPr>
          <w:p w14:paraId="1B7F88FE">
            <w:pPr>
              <w:rPr>
                <w:rFonts w:ascii="Arial"/>
              </w:rPr>
            </w:pPr>
          </w:p>
        </w:tc>
        <w:tc>
          <w:tcPr>
            <w:tcW w:w="403" w:type="dxa"/>
            <w:noWrap w:val="0"/>
            <w:vAlign w:val="top"/>
          </w:tcPr>
          <w:p w14:paraId="5F99FC69">
            <w:pPr>
              <w:rPr>
                <w:rFonts w:ascii="Arial"/>
              </w:rPr>
            </w:pPr>
          </w:p>
        </w:tc>
        <w:tc>
          <w:tcPr>
            <w:tcW w:w="406" w:type="dxa"/>
            <w:noWrap w:val="0"/>
            <w:vAlign w:val="top"/>
          </w:tcPr>
          <w:p w14:paraId="203A4633">
            <w:pPr>
              <w:rPr>
                <w:rFonts w:ascii="Arial"/>
              </w:rPr>
            </w:pPr>
          </w:p>
        </w:tc>
        <w:tc>
          <w:tcPr>
            <w:tcW w:w="405" w:type="dxa"/>
            <w:noWrap w:val="0"/>
            <w:vAlign w:val="top"/>
          </w:tcPr>
          <w:p w14:paraId="04DE48F3">
            <w:pPr>
              <w:rPr>
                <w:rFonts w:ascii="Arial"/>
              </w:rPr>
            </w:pPr>
          </w:p>
        </w:tc>
        <w:tc>
          <w:tcPr>
            <w:tcW w:w="405" w:type="dxa"/>
            <w:noWrap w:val="0"/>
            <w:vAlign w:val="top"/>
          </w:tcPr>
          <w:p w14:paraId="17C6AA59">
            <w:pPr>
              <w:rPr>
                <w:rFonts w:ascii="Arial"/>
              </w:rPr>
            </w:pPr>
          </w:p>
        </w:tc>
        <w:tc>
          <w:tcPr>
            <w:tcW w:w="406" w:type="dxa"/>
            <w:noWrap w:val="0"/>
            <w:vAlign w:val="top"/>
          </w:tcPr>
          <w:p w14:paraId="0980360C">
            <w:pPr>
              <w:rPr>
                <w:rFonts w:ascii="Arial"/>
              </w:rPr>
            </w:pPr>
          </w:p>
        </w:tc>
        <w:tc>
          <w:tcPr>
            <w:tcW w:w="405" w:type="dxa"/>
            <w:noWrap w:val="0"/>
            <w:vAlign w:val="top"/>
          </w:tcPr>
          <w:p w14:paraId="2323D457">
            <w:pPr>
              <w:rPr>
                <w:rFonts w:ascii="Arial"/>
              </w:rPr>
            </w:pPr>
          </w:p>
        </w:tc>
        <w:tc>
          <w:tcPr>
            <w:tcW w:w="405" w:type="dxa"/>
            <w:noWrap w:val="0"/>
            <w:vAlign w:val="top"/>
          </w:tcPr>
          <w:p w14:paraId="3503C159">
            <w:pPr>
              <w:rPr>
                <w:rFonts w:ascii="Arial"/>
              </w:rPr>
            </w:pPr>
          </w:p>
        </w:tc>
        <w:tc>
          <w:tcPr>
            <w:tcW w:w="406" w:type="dxa"/>
            <w:noWrap w:val="0"/>
            <w:vAlign w:val="top"/>
          </w:tcPr>
          <w:p w14:paraId="2FBB07EB">
            <w:pPr>
              <w:rPr>
                <w:rFonts w:ascii="Arial"/>
              </w:rPr>
            </w:pPr>
          </w:p>
        </w:tc>
        <w:tc>
          <w:tcPr>
            <w:tcW w:w="405" w:type="dxa"/>
            <w:noWrap w:val="0"/>
            <w:vAlign w:val="top"/>
          </w:tcPr>
          <w:p w14:paraId="29BA6737">
            <w:pPr>
              <w:rPr>
                <w:rFonts w:ascii="Arial"/>
              </w:rPr>
            </w:pPr>
          </w:p>
        </w:tc>
        <w:tc>
          <w:tcPr>
            <w:tcW w:w="405" w:type="dxa"/>
            <w:noWrap w:val="0"/>
            <w:vAlign w:val="top"/>
          </w:tcPr>
          <w:p w14:paraId="6482065E">
            <w:pPr>
              <w:rPr>
                <w:rFonts w:ascii="Arial"/>
              </w:rPr>
            </w:pPr>
          </w:p>
        </w:tc>
        <w:tc>
          <w:tcPr>
            <w:tcW w:w="406" w:type="dxa"/>
            <w:noWrap w:val="0"/>
            <w:vAlign w:val="top"/>
          </w:tcPr>
          <w:p w14:paraId="46928F80">
            <w:pPr>
              <w:rPr>
                <w:rFonts w:ascii="Arial"/>
              </w:rPr>
            </w:pPr>
          </w:p>
        </w:tc>
        <w:tc>
          <w:tcPr>
            <w:tcW w:w="408" w:type="dxa"/>
            <w:noWrap w:val="0"/>
            <w:vAlign w:val="top"/>
          </w:tcPr>
          <w:p w14:paraId="71F8489E">
            <w:pPr>
              <w:rPr>
                <w:rFonts w:ascii="Arial"/>
              </w:rPr>
            </w:pPr>
          </w:p>
        </w:tc>
        <w:tc>
          <w:tcPr>
            <w:tcW w:w="405" w:type="dxa"/>
            <w:noWrap w:val="0"/>
            <w:vAlign w:val="top"/>
          </w:tcPr>
          <w:p w14:paraId="00FD9C57">
            <w:pPr>
              <w:rPr>
                <w:rFonts w:ascii="Arial"/>
              </w:rPr>
            </w:pPr>
          </w:p>
        </w:tc>
        <w:tc>
          <w:tcPr>
            <w:tcW w:w="408" w:type="dxa"/>
            <w:noWrap w:val="0"/>
            <w:vAlign w:val="top"/>
          </w:tcPr>
          <w:p w14:paraId="4CE2B285">
            <w:pPr>
              <w:rPr>
                <w:rFonts w:ascii="Arial"/>
              </w:rPr>
            </w:pPr>
          </w:p>
        </w:tc>
        <w:tc>
          <w:tcPr>
            <w:tcW w:w="413" w:type="dxa"/>
            <w:noWrap w:val="0"/>
            <w:vAlign w:val="top"/>
          </w:tcPr>
          <w:p w14:paraId="50A1A6B5">
            <w:pPr>
              <w:rPr>
                <w:rFonts w:ascii="Arial"/>
              </w:rPr>
            </w:pPr>
          </w:p>
        </w:tc>
      </w:tr>
      <w:tr w14:paraId="3C58F0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740AE1AC">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7E190877">
            <w:pPr>
              <w:rPr>
                <w:rFonts w:ascii="Arial"/>
              </w:rPr>
            </w:pPr>
          </w:p>
        </w:tc>
        <w:tc>
          <w:tcPr>
            <w:tcW w:w="403" w:type="dxa"/>
            <w:tcBorders>
              <w:left w:val="single" w:color="auto" w:sz="4" w:space="0"/>
            </w:tcBorders>
            <w:noWrap w:val="0"/>
            <w:vAlign w:val="top"/>
          </w:tcPr>
          <w:p w14:paraId="67E7FFC9">
            <w:pPr>
              <w:rPr>
                <w:rFonts w:ascii="Arial"/>
              </w:rPr>
            </w:pPr>
          </w:p>
        </w:tc>
        <w:tc>
          <w:tcPr>
            <w:tcW w:w="405" w:type="dxa"/>
            <w:noWrap w:val="0"/>
            <w:vAlign w:val="top"/>
          </w:tcPr>
          <w:p w14:paraId="02EB315C">
            <w:pPr>
              <w:rPr>
                <w:rFonts w:ascii="Arial"/>
              </w:rPr>
            </w:pPr>
          </w:p>
        </w:tc>
        <w:tc>
          <w:tcPr>
            <w:tcW w:w="406" w:type="dxa"/>
            <w:noWrap w:val="0"/>
            <w:vAlign w:val="top"/>
          </w:tcPr>
          <w:p w14:paraId="7C4E6A20">
            <w:pPr>
              <w:rPr>
                <w:rFonts w:ascii="Arial"/>
              </w:rPr>
            </w:pPr>
          </w:p>
        </w:tc>
        <w:tc>
          <w:tcPr>
            <w:tcW w:w="406" w:type="dxa"/>
            <w:noWrap w:val="0"/>
            <w:vAlign w:val="top"/>
          </w:tcPr>
          <w:p w14:paraId="498E7895">
            <w:pPr>
              <w:rPr>
                <w:rFonts w:ascii="Arial"/>
              </w:rPr>
            </w:pPr>
          </w:p>
        </w:tc>
        <w:tc>
          <w:tcPr>
            <w:tcW w:w="405" w:type="dxa"/>
            <w:noWrap w:val="0"/>
            <w:vAlign w:val="top"/>
          </w:tcPr>
          <w:p w14:paraId="4A3E224B">
            <w:pPr>
              <w:rPr>
                <w:rFonts w:ascii="Arial"/>
              </w:rPr>
            </w:pPr>
          </w:p>
        </w:tc>
        <w:tc>
          <w:tcPr>
            <w:tcW w:w="403" w:type="dxa"/>
            <w:noWrap w:val="0"/>
            <w:vAlign w:val="top"/>
          </w:tcPr>
          <w:p w14:paraId="097CF354">
            <w:pPr>
              <w:rPr>
                <w:rFonts w:ascii="Arial"/>
              </w:rPr>
            </w:pPr>
          </w:p>
        </w:tc>
        <w:tc>
          <w:tcPr>
            <w:tcW w:w="406" w:type="dxa"/>
            <w:noWrap w:val="0"/>
            <w:vAlign w:val="top"/>
          </w:tcPr>
          <w:p w14:paraId="4DC796F5">
            <w:pPr>
              <w:rPr>
                <w:rFonts w:ascii="Arial"/>
              </w:rPr>
            </w:pPr>
          </w:p>
        </w:tc>
        <w:tc>
          <w:tcPr>
            <w:tcW w:w="405" w:type="dxa"/>
            <w:noWrap w:val="0"/>
            <w:vAlign w:val="top"/>
          </w:tcPr>
          <w:p w14:paraId="71183D75">
            <w:pPr>
              <w:rPr>
                <w:rFonts w:ascii="Arial"/>
              </w:rPr>
            </w:pPr>
          </w:p>
        </w:tc>
        <w:tc>
          <w:tcPr>
            <w:tcW w:w="405" w:type="dxa"/>
            <w:noWrap w:val="0"/>
            <w:vAlign w:val="top"/>
          </w:tcPr>
          <w:p w14:paraId="0968AD0B">
            <w:pPr>
              <w:rPr>
                <w:rFonts w:ascii="Arial"/>
              </w:rPr>
            </w:pPr>
          </w:p>
        </w:tc>
        <w:tc>
          <w:tcPr>
            <w:tcW w:w="406" w:type="dxa"/>
            <w:noWrap w:val="0"/>
            <w:vAlign w:val="top"/>
          </w:tcPr>
          <w:p w14:paraId="03BF2769">
            <w:pPr>
              <w:rPr>
                <w:rFonts w:ascii="Arial"/>
              </w:rPr>
            </w:pPr>
          </w:p>
        </w:tc>
        <w:tc>
          <w:tcPr>
            <w:tcW w:w="405" w:type="dxa"/>
            <w:noWrap w:val="0"/>
            <w:vAlign w:val="top"/>
          </w:tcPr>
          <w:p w14:paraId="1FBDE3D8">
            <w:pPr>
              <w:rPr>
                <w:rFonts w:ascii="Arial"/>
              </w:rPr>
            </w:pPr>
          </w:p>
        </w:tc>
        <w:tc>
          <w:tcPr>
            <w:tcW w:w="405" w:type="dxa"/>
            <w:noWrap w:val="0"/>
            <w:vAlign w:val="top"/>
          </w:tcPr>
          <w:p w14:paraId="518845CE">
            <w:pPr>
              <w:rPr>
                <w:rFonts w:ascii="Arial"/>
              </w:rPr>
            </w:pPr>
          </w:p>
        </w:tc>
        <w:tc>
          <w:tcPr>
            <w:tcW w:w="406" w:type="dxa"/>
            <w:noWrap w:val="0"/>
            <w:vAlign w:val="top"/>
          </w:tcPr>
          <w:p w14:paraId="60C7D309">
            <w:pPr>
              <w:rPr>
                <w:rFonts w:ascii="Arial"/>
              </w:rPr>
            </w:pPr>
          </w:p>
        </w:tc>
        <w:tc>
          <w:tcPr>
            <w:tcW w:w="405" w:type="dxa"/>
            <w:noWrap w:val="0"/>
            <w:vAlign w:val="top"/>
          </w:tcPr>
          <w:p w14:paraId="02E3E201">
            <w:pPr>
              <w:rPr>
                <w:rFonts w:ascii="Arial"/>
              </w:rPr>
            </w:pPr>
          </w:p>
        </w:tc>
        <w:tc>
          <w:tcPr>
            <w:tcW w:w="405" w:type="dxa"/>
            <w:noWrap w:val="0"/>
            <w:vAlign w:val="top"/>
          </w:tcPr>
          <w:p w14:paraId="11CB8792">
            <w:pPr>
              <w:rPr>
                <w:rFonts w:ascii="Arial"/>
              </w:rPr>
            </w:pPr>
          </w:p>
        </w:tc>
        <w:tc>
          <w:tcPr>
            <w:tcW w:w="406" w:type="dxa"/>
            <w:noWrap w:val="0"/>
            <w:vAlign w:val="top"/>
          </w:tcPr>
          <w:p w14:paraId="2A622556">
            <w:pPr>
              <w:rPr>
                <w:rFonts w:ascii="Arial"/>
              </w:rPr>
            </w:pPr>
          </w:p>
        </w:tc>
        <w:tc>
          <w:tcPr>
            <w:tcW w:w="408" w:type="dxa"/>
            <w:noWrap w:val="0"/>
            <w:vAlign w:val="top"/>
          </w:tcPr>
          <w:p w14:paraId="3C1593FC">
            <w:pPr>
              <w:rPr>
                <w:rFonts w:ascii="Arial"/>
              </w:rPr>
            </w:pPr>
          </w:p>
        </w:tc>
        <w:tc>
          <w:tcPr>
            <w:tcW w:w="405" w:type="dxa"/>
            <w:noWrap w:val="0"/>
            <w:vAlign w:val="top"/>
          </w:tcPr>
          <w:p w14:paraId="4FA20ECB">
            <w:pPr>
              <w:rPr>
                <w:rFonts w:ascii="Arial"/>
              </w:rPr>
            </w:pPr>
          </w:p>
        </w:tc>
        <w:tc>
          <w:tcPr>
            <w:tcW w:w="408" w:type="dxa"/>
            <w:noWrap w:val="0"/>
            <w:vAlign w:val="top"/>
          </w:tcPr>
          <w:p w14:paraId="3771EE14">
            <w:pPr>
              <w:rPr>
                <w:rFonts w:ascii="Arial"/>
              </w:rPr>
            </w:pPr>
          </w:p>
        </w:tc>
        <w:tc>
          <w:tcPr>
            <w:tcW w:w="413" w:type="dxa"/>
            <w:noWrap w:val="0"/>
            <w:vAlign w:val="top"/>
          </w:tcPr>
          <w:p w14:paraId="20DC6436">
            <w:pPr>
              <w:rPr>
                <w:rFonts w:ascii="Arial"/>
              </w:rPr>
            </w:pPr>
          </w:p>
        </w:tc>
      </w:tr>
      <w:tr w14:paraId="595AE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17812F7F">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7426A364">
            <w:pPr>
              <w:rPr>
                <w:rFonts w:ascii="Arial"/>
              </w:rPr>
            </w:pPr>
          </w:p>
        </w:tc>
        <w:tc>
          <w:tcPr>
            <w:tcW w:w="403" w:type="dxa"/>
            <w:tcBorders>
              <w:left w:val="single" w:color="auto" w:sz="4" w:space="0"/>
            </w:tcBorders>
            <w:noWrap w:val="0"/>
            <w:vAlign w:val="top"/>
          </w:tcPr>
          <w:p w14:paraId="1364D43F">
            <w:pPr>
              <w:rPr>
                <w:rFonts w:ascii="Arial"/>
              </w:rPr>
            </w:pPr>
          </w:p>
        </w:tc>
        <w:tc>
          <w:tcPr>
            <w:tcW w:w="405" w:type="dxa"/>
            <w:noWrap w:val="0"/>
            <w:vAlign w:val="top"/>
          </w:tcPr>
          <w:p w14:paraId="23A9935F">
            <w:pPr>
              <w:rPr>
                <w:rFonts w:ascii="Arial"/>
              </w:rPr>
            </w:pPr>
          </w:p>
        </w:tc>
        <w:tc>
          <w:tcPr>
            <w:tcW w:w="406" w:type="dxa"/>
            <w:noWrap w:val="0"/>
            <w:vAlign w:val="top"/>
          </w:tcPr>
          <w:p w14:paraId="449E6626">
            <w:pPr>
              <w:rPr>
                <w:rFonts w:ascii="Arial"/>
              </w:rPr>
            </w:pPr>
          </w:p>
        </w:tc>
        <w:tc>
          <w:tcPr>
            <w:tcW w:w="406" w:type="dxa"/>
            <w:noWrap w:val="0"/>
            <w:vAlign w:val="top"/>
          </w:tcPr>
          <w:p w14:paraId="0B14EF7F">
            <w:pPr>
              <w:rPr>
                <w:rFonts w:ascii="Arial"/>
              </w:rPr>
            </w:pPr>
          </w:p>
        </w:tc>
        <w:tc>
          <w:tcPr>
            <w:tcW w:w="405" w:type="dxa"/>
            <w:noWrap w:val="0"/>
            <w:vAlign w:val="top"/>
          </w:tcPr>
          <w:p w14:paraId="0A76DF78">
            <w:pPr>
              <w:rPr>
                <w:rFonts w:ascii="Arial"/>
              </w:rPr>
            </w:pPr>
          </w:p>
        </w:tc>
        <w:tc>
          <w:tcPr>
            <w:tcW w:w="403" w:type="dxa"/>
            <w:noWrap w:val="0"/>
            <w:vAlign w:val="top"/>
          </w:tcPr>
          <w:p w14:paraId="5EF7AEC9">
            <w:pPr>
              <w:rPr>
                <w:rFonts w:ascii="Arial"/>
              </w:rPr>
            </w:pPr>
          </w:p>
        </w:tc>
        <w:tc>
          <w:tcPr>
            <w:tcW w:w="406" w:type="dxa"/>
            <w:noWrap w:val="0"/>
            <w:vAlign w:val="top"/>
          </w:tcPr>
          <w:p w14:paraId="6344E888">
            <w:pPr>
              <w:rPr>
                <w:rFonts w:ascii="Arial"/>
              </w:rPr>
            </w:pPr>
          </w:p>
        </w:tc>
        <w:tc>
          <w:tcPr>
            <w:tcW w:w="405" w:type="dxa"/>
            <w:noWrap w:val="0"/>
            <w:vAlign w:val="top"/>
          </w:tcPr>
          <w:p w14:paraId="08073849">
            <w:pPr>
              <w:rPr>
                <w:rFonts w:ascii="Arial"/>
              </w:rPr>
            </w:pPr>
          </w:p>
        </w:tc>
        <w:tc>
          <w:tcPr>
            <w:tcW w:w="405" w:type="dxa"/>
            <w:noWrap w:val="0"/>
            <w:vAlign w:val="top"/>
          </w:tcPr>
          <w:p w14:paraId="071F823F">
            <w:pPr>
              <w:rPr>
                <w:rFonts w:ascii="Arial"/>
              </w:rPr>
            </w:pPr>
          </w:p>
        </w:tc>
        <w:tc>
          <w:tcPr>
            <w:tcW w:w="406" w:type="dxa"/>
            <w:noWrap w:val="0"/>
            <w:vAlign w:val="top"/>
          </w:tcPr>
          <w:p w14:paraId="35DB0C0B">
            <w:pPr>
              <w:rPr>
                <w:rFonts w:ascii="Arial"/>
              </w:rPr>
            </w:pPr>
          </w:p>
        </w:tc>
        <w:tc>
          <w:tcPr>
            <w:tcW w:w="405" w:type="dxa"/>
            <w:noWrap w:val="0"/>
            <w:vAlign w:val="top"/>
          </w:tcPr>
          <w:p w14:paraId="19D8CC70">
            <w:pPr>
              <w:rPr>
                <w:rFonts w:ascii="Arial"/>
              </w:rPr>
            </w:pPr>
          </w:p>
        </w:tc>
        <w:tc>
          <w:tcPr>
            <w:tcW w:w="405" w:type="dxa"/>
            <w:noWrap w:val="0"/>
            <w:vAlign w:val="top"/>
          </w:tcPr>
          <w:p w14:paraId="5A73C5C4">
            <w:pPr>
              <w:rPr>
                <w:rFonts w:ascii="Arial"/>
              </w:rPr>
            </w:pPr>
          </w:p>
        </w:tc>
        <w:tc>
          <w:tcPr>
            <w:tcW w:w="406" w:type="dxa"/>
            <w:noWrap w:val="0"/>
            <w:vAlign w:val="top"/>
          </w:tcPr>
          <w:p w14:paraId="08C0C9B2">
            <w:pPr>
              <w:rPr>
                <w:rFonts w:ascii="Arial"/>
              </w:rPr>
            </w:pPr>
          </w:p>
        </w:tc>
        <w:tc>
          <w:tcPr>
            <w:tcW w:w="405" w:type="dxa"/>
            <w:noWrap w:val="0"/>
            <w:vAlign w:val="top"/>
          </w:tcPr>
          <w:p w14:paraId="3D38E8BE">
            <w:pPr>
              <w:rPr>
                <w:rFonts w:ascii="Arial"/>
              </w:rPr>
            </w:pPr>
          </w:p>
        </w:tc>
        <w:tc>
          <w:tcPr>
            <w:tcW w:w="405" w:type="dxa"/>
            <w:noWrap w:val="0"/>
            <w:vAlign w:val="top"/>
          </w:tcPr>
          <w:p w14:paraId="4CEB111A">
            <w:pPr>
              <w:rPr>
                <w:rFonts w:ascii="Arial"/>
              </w:rPr>
            </w:pPr>
          </w:p>
        </w:tc>
        <w:tc>
          <w:tcPr>
            <w:tcW w:w="406" w:type="dxa"/>
            <w:noWrap w:val="0"/>
            <w:vAlign w:val="top"/>
          </w:tcPr>
          <w:p w14:paraId="505F8F90">
            <w:pPr>
              <w:rPr>
                <w:rFonts w:ascii="Arial"/>
              </w:rPr>
            </w:pPr>
          </w:p>
        </w:tc>
        <w:tc>
          <w:tcPr>
            <w:tcW w:w="408" w:type="dxa"/>
            <w:noWrap w:val="0"/>
            <w:vAlign w:val="top"/>
          </w:tcPr>
          <w:p w14:paraId="3E92D768">
            <w:pPr>
              <w:rPr>
                <w:rFonts w:ascii="Arial"/>
              </w:rPr>
            </w:pPr>
          </w:p>
        </w:tc>
        <w:tc>
          <w:tcPr>
            <w:tcW w:w="405" w:type="dxa"/>
            <w:noWrap w:val="0"/>
            <w:vAlign w:val="top"/>
          </w:tcPr>
          <w:p w14:paraId="73E7B657">
            <w:pPr>
              <w:rPr>
                <w:rFonts w:ascii="Arial"/>
              </w:rPr>
            </w:pPr>
          </w:p>
        </w:tc>
        <w:tc>
          <w:tcPr>
            <w:tcW w:w="408" w:type="dxa"/>
            <w:noWrap w:val="0"/>
            <w:vAlign w:val="top"/>
          </w:tcPr>
          <w:p w14:paraId="663D283B">
            <w:pPr>
              <w:rPr>
                <w:rFonts w:ascii="Arial"/>
              </w:rPr>
            </w:pPr>
          </w:p>
        </w:tc>
        <w:tc>
          <w:tcPr>
            <w:tcW w:w="413" w:type="dxa"/>
            <w:noWrap w:val="0"/>
            <w:vAlign w:val="top"/>
          </w:tcPr>
          <w:p w14:paraId="15BD772E">
            <w:pPr>
              <w:rPr>
                <w:rFonts w:ascii="Arial"/>
              </w:rPr>
            </w:pPr>
          </w:p>
        </w:tc>
      </w:tr>
      <w:tr w14:paraId="7B06FC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715B7C29">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381DC4E0">
            <w:pPr>
              <w:rPr>
                <w:rFonts w:ascii="Arial"/>
              </w:rPr>
            </w:pPr>
          </w:p>
        </w:tc>
        <w:tc>
          <w:tcPr>
            <w:tcW w:w="403" w:type="dxa"/>
            <w:tcBorders>
              <w:left w:val="single" w:color="auto" w:sz="4" w:space="0"/>
            </w:tcBorders>
            <w:noWrap w:val="0"/>
            <w:vAlign w:val="top"/>
          </w:tcPr>
          <w:p w14:paraId="5D70C476">
            <w:pPr>
              <w:rPr>
                <w:rFonts w:ascii="Arial"/>
              </w:rPr>
            </w:pPr>
          </w:p>
        </w:tc>
        <w:tc>
          <w:tcPr>
            <w:tcW w:w="405" w:type="dxa"/>
            <w:noWrap w:val="0"/>
            <w:vAlign w:val="top"/>
          </w:tcPr>
          <w:p w14:paraId="56866BCA">
            <w:pPr>
              <w:rPr>
                <w:rFonts w:ascii="Arial"/>
              </w:rPr>
            </w:pPr>
          </w:p>
        </w:tc>
        <w:tc>
          <w:tcPr>
            <w:tcW w:w="406" w:type="dxa"/>
            <w:noWrap w:val="0"/>
            <w:vAlign w:val="top"/>
          </w:tcPr>
          <w:p w14:paraId="25E1FC52">
            <w:pPr>
              <w:rPr>
                <w:rFonts w:ascii="Arial"/>
              </w:rPr>
            </w:pPr>
          </w:p>
        </w:tc>
        <w:tc>
          <w:tcPr>
            <w:tcW w:w="406" w:type="dxa"/>
            <w:noWrap w:val="0"/>
            <w:vAlign w:val="top"/>
          </w:tcPr>
          <w:p w14:paraId="3034FB61">
            <w:pPr>
              <w:rPr>
                <w:rFonts w:ascii="Arial"/>
              </w:rPr>
            </w:pPr>
          </w:p>
        </w:tc>
        <w:tc>
          <w:tcPr>
            <w:tcW w:w="405" w:type="dxa"/>
            <w:noWrap w:val="0"/>
            <w:vAlign w:val="top"/>
          </w:tcPr>
          <w:p w14:paraId="2916FF4E">
            <w:pPr>
              <w:rPr>
                <w:rFonts w:ascii="Arial"/>
              </w:rPr>
            </w:pPr>
          </w:p>
        </w:tc>
        <w:tc>
          <w:tcPr>
            <w:tcW w:w="403" w:type="dxa"/>
            <w:noWrap w:val="0"/>
            <w:vAlign w:val="top"/>
          </w:tcPr>
          <w:p w14:paraId="5B0C0E4B">
            <w:pPr>
              <w:rPr>
                <w:rFonts w:ascii="Arial"/>
              </w:rPr>
            </w:pPr>
          </w:p>
        </w:tc>
        <w:tc>
          <w:tcPr>
            <w:tcW w:w="406" w:type="dxa"/>
            <w:noWrap w:val="0"/>
            <w:vAlign w:val="top"/>
          </w:tcPr>
          <w:p w14:paraId="67042CCC">
            <w:pPr>
              <w:rPr>
                <w:rFonts w:ascii="Arial"/>
              </w:rPr>
            </w:pPr>
          </w:p>
        </w:tc>
        <w:tc>
          <w:tcPr>
            <w:tcW w:w="405" w:type="dxa"/>
            <w:noWrap w:val="0"/>
            <w:vAlign w:val="top"/>
          </w:tcPr>
          <w:p w14:paraId="4DB99BD2">
            <w:pPr>
              <w:rPr>
                <w:rFonts w:ascii="Arial"/>
              </w:rPr>
            </w:pPr>
          </w:p>
        </w:tc>
        <w:tc>
          <w:tcPr>
            <w:tcW w:w="405" w:type="dxa"/>
            <w:noWrap w:val="0"/>
            <w:vAlign w:val="top"/>
          </w:tcPr>
          <w:p w14:paraId="780B938D">
            <w:pPr>
              <w:rPr>
                <w:rFonts w:ascii="Arial"/>
              </w:rPr>
            </w:pPr>
          </w:p>
        </w:tc>
        <w:tc>
          <w:tcPr>
            <w:tcW w:w="406" w:type="dxa"/>
            <w:noWrap w:val="0"/>
            <w:vAlign w:val="top"/>
          </w:tcPr>
          <w:p w14:paraId="2B740058">
            <w:pPr>
              <w:rPr>
                <w:rFonts w:ascii="Arial"/>
              </w:rPr>
            </w:pPr>
          </w:p>
        </w:tc>
        <w:tc>
          <w:tcPr>
            <w:tcW w:w="405" w:type="dxa"/>
            <w:noWrap w:val="0"/>
            <w:vAlign w:val="top"/>
          </w:tcPr>
          <w:p w14:paraId="44D9E904">
            <w:pPr>
              <w:rPr>
                <w:rFonts w:ascii="Arial"/>
              </w:rPr>
            </w:pPr>
          </w:p>
        </w:tc>
        <w:tc>
          <w:tcPr>
            <w:tcW w:w="405" w:type="dxa"/>
            <w:noWrap w:val="0"/>
            <w:vAlign w:val="top"/>
          </w:tcPr>
          <w:p w14:paraId="3DF4580C">
            <w:pPr>
              <w:rPr>
                <w:rFonts w:ascii="Arial"/>
              </w:rPr>
            </w:pPr>
          </w:p>
        </w:tc>
        <w:tc>
          <w:tcPr>
            <w:tcW w:w="406" w:type="dxa"/>
            <w:noWrap w:val="0"/>
            <w:vAlign w:val="top"/>
          </w:tcPr>
          <w:p w14:paraId="597D0909">
            <w:pPr>
              <w:rPr>
                <w:rFonts w:ascii="Arial"/>
              </w:rPr>
            </w:pPr>
          </w:p>
        </w:tc>
        <w:tc>
          <w:tcPr>
            <w:tcW w:w="405" w:type="dxa"/>
            <w:noWrap w:val="0"/>
            <w:vAlign w:val="top"/>
          </w:tcPr>
          <w:p w14:paraId="7F8FE7CC">
            <w:pPr>
              <w:rPr>
                <w:rFonts w:ascii="Arial"/>
              </w:rPr>
            </w:pPr>
          </w:p>
        </w:tc>
        <w:tc>
          <w:tcPr>
            <w:tcW w:w="405" w:type="dxa"/>
            <w:noWrap w:val="0"/>
            <w:vAlign w:val="top"/>
          </w:tcPr>
          <w:p w14:paraId="24101A16">
            <w:pPr>
              <w:rPr>
                <w:rFonts w:ascii="Arial"/>
              </w:rPr>
            </w:pPr>
          </w:p>
        </w:tc>
        <w:tc>
          <w:tcPr>
            <w:tcW w:w="406" w:type="dxa"/>
            <w:noWrap w:val="0"/>
            <w:vAlign w:val="top"/>
          </w:tcPr>
          <w:p w14:paraId="75F498B0">
            <w:pPr>
              <w:rPr>
                <w:rFonts w:ascii="Arial"/>
              </w:rPr>
            </w:pPr>
          </w:p>
        </w:tc>
        <w:tc>
          <w:tcPr>
            <w:tcW w:w="408" w:type="dxa"/>
            <w:noWrap w:val="0"/>
            <w:vAlign w:val="top"/>
          </w:tcPr>
          <w:p w14:paraId="43FF38C1">
            <w:pPr>
              <w:rPr>
                <w:rFonts w:ascii="Arial"/>
              </w:rPr>
            </w:pPr>
          </w:p>
        </w:tc>
        <w:tc>
          <w:tcPr>
            <w:tcW w:w="405" w:type="dxa"/>
            <w:noWrap w:val="0"/>
            <w:vAlign w:val="top"/>
          </w:tcPr>
          <w:p w14:paraId="56761E49">
            <w:pPr>
              <w:rPr>
                <w:rFonts w:ascii="Arial"/>
              </w:rPr>
            </w:pPr>
          </w:p>
        </w:tc>
        <w:tc>
          <w:tcPr>
            <w:tcW w:w="408" w:type="dxa"/>
            <w:noWrap w:val="0"/>
            <w:vAlign w:val="top"/>
          </w:tcPr>
          <w:p w14:paraId="6874B4DF">
            <w:pPr>
              <w:rPr>
                <w:rFonts w:ascii="Arial"/>
              </w:rPr>
            </w:pPr>
          </w:p>
        </w:tc>
        <w:tc>
          <w:tcPr>
            <w:tcW w:w="413" w:type="dxa"/>
            <w:noWrap w:val="0"/>
            <w:vAlign w:val="top"/>
          </w:tcPr>
          <w:p w14:paraId="6002B4A6">
            <w:pPr>
              <w:rPr>
                <w:rFonts w:ascii="Arial"/>
              </w:rPr>
            </w:pPr>
          </w:p>
        </w:tc>
      </w:tr>
      <w:tr w14:paraId="1C0B9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5A167202">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783E2C53">
            <w:pPr>
              <w:rPr>
                <w:rFonts w:ascii="Arial"/>
              </w:rPr>
            </w:pPr>
          </w:p>
        </w:tc>
        <w:tc>
          <w:tcPr>
            <w:tcW w:w="403" w:type="dxa"/>
            <w:tcBorders>
              <w:left w:val="single" w:color="auto" w:sz="4" w:space="0"/>
            </w:tcBorders>
            <w:noWrap w:val="0"/>
            <w:vAlign w:val="top"/>
          </w:tcPr>
          <w:p w14:paraId="6BB50A4C">
            <w:pPr>
              <w:rPr>
                <w:rFonts w:ascii="Arial"/>
              </w:rPr>
            </w:pPr>
          </w:p>
        </w:tc>
        <w:tc>
          <w:tcPr>
            <w:tcW w:w="405" w:type="dxa"/>
            <w:noWrap w:val="0"/>
            <w:vAlign w:val="top"/>
          </w:tcPr>
          <w:p w14:paraId="46892962">
            <w:pPr>
              <w:rPr>
                <w:rFonts w:ascii="Arial"/>
              </w:rPr>
            </w:pPr>
          </w:p>
        </w:tc>
        <w:tc>
          <w:tcPr>
            <w:tcW w:w="406" w:type="dxa"/>
            <w:noWrap w:val="0"/>
            <w:vAlign w:val="top"/>
          </w:tcPr>
          <w:p w14:paraId="1F984F53">
            <w:pPr>
              <w:rPr>
                <w:rFonts w:ascii="Arial"/>
              </w:rPr>
            </w:pPr>
          </w:p>
        </w:tc>
        <w:tc>
          <w:tcPr>
            <w:tcW w:w="406" w:type="dxa"/>
            <w:noWrap w:val="0"/>
            <w:vAlign w:val="top"/>
          </w:tcPr>
          <w:p w14:paraId="4C0BF5A9">
            <w:pPr>
              <w:rPr>
                <w:rFonts w:ascii="Arial"/>
              </w:rPr>
            </w:pPr>
          </w:p>
        </w:tc>
        <w:tc>
          <w:tcPr>
            <w:tcW w:w="405" w:type="dxa"/>
            <w:noWrap w:val="0"/>
            <w:vAlign w:val="top"/>
          </w:tcPr>
          <w:p w14:paraId="3A4ECC7A">
            <w:pPr>
              <w:rPr>
                <w:rFonts w:ascii="Arial"/>
              </w:rPr>
            </w:pPr>
          </w:p>
        </w:tc>
        <w:tc>
          <w:tcPr>
            <w:tcW w:w="403" w:type="dxa"/>
            <w:noWrap w:val="0"/>
            <w:vAlign w:val="top"/>
          </w:tcPr>
          <w:p w14:paraId="330A475D">
            <w:pPr>
              <w:rPr>
                <w:rFonts w:ascii="Arial"/>
              </w:rPr>
            </w:pPr>
          </w:p>
        </w:tc>
        <w:tc>
          <w:tcPr>
            <w:tcW w:w="406" w:type="dxa"/>
            <w:noWrap w:val="0"/>
            <w:vAlign w:val="top"/>
          </w:tcPr>
          <w:p w14:paraId="7867DAC9">
            <w:pPr>
              <w:rPr>
                <w:rFonts w:ascii="Arial"/>
              </w:rPr>
            </w:pPr>
          </w:p>
        </w:tc>
        <w:tc>
          <w:tcPr>
            <w:tcW w:w="405" w:type="dxa"/>
            <w:noWrap w:val="0"/>
            <w:vAlign w:val="top"/>
          </w:tcPr>
          <w:p w14:paraId="2DADB658">
            <w:pPr>
              <w:rPr>
                <w:rFonts w:ascii="Arial"/>
              </w:rPr>
            </w:pPr>
          </w:p>
        </w:tc>
        <w:tc>
          <w:tcPr>
            <w:tcW w:w="405" w:type="dxa"/>
            <w:noWrap w:val="0"/>
            <w:vAlign w:val="top"/>
          </w:tcPr>
          <w:p w14:paraId="675D16AA">
            <w:pPr>
              <w:rPr>
                <w:rFonts w:ascii="Arial"/>
              </w:rPr>
            </w:pPr>
          </w:p>
        </w:tc>
        <w:tc>
          <w:tcPr>
            <w:tcW w:w="406" w:type="dxa"/>
            <w:noWrap w:val="0"/>
            <w:vAlign w:val="top"/>
          </w:tcPr>
          <w:p w14:paraId="59F74F97">
            <w:pPr>
              <w:rPr>
                <w:rFonts w:ascii="Arial"/>
              </w:rPr>
            </w:pPr>
          </w:p>
        </w:tc>
        <w:tc>
          <w:tcPr>
            <w:tcW w:w="405" w:type="dxa"/>
            <w:noWrap w:val="0"/>
            <w:vAlign w:val="top"/>
          </w:tcPr>
          <w:p w14:paraId="3F9EA5ED">
            <w:pPr>
              <w:rPr>
                <w:rFonts w:ascii="Arial"/>
              </w:rPr>
            </w:pPr>
          </w:p>
        </w:tc>
        <w:tc>
          <w:tcPr>
            <w:tcW w:w="405" w:type="dxa"/>
            <w:noWrap w:val="0"/>
            <w:vAlign w:val="top"/>
          </w:tcPr>
          <w:p w14:paraId="1694C583">
            <w:pPr>
              <w:rPr>
                <w:rFonts w:ascii="Arial"/>
              </w:rPr>
            </w:pPr>
          </w:p>
        </w:tc>
        <w:tc>
          <w:tcPr>
            <w:tcW w:w="406" w:type="dxa"/>
            <w:noWrap w:val="0"/>
            <w:vAlign w:val="top"/>
          </w:tcPr>
          <w:p w14:paraId="2A9355D2">
            <w:pPr>
              <w:rPr>
                <w:rFonts w:ascii="Arial"/>
              </w:rPr>
            </w:pPr>
          </w:p>
        </w:tc>
        <w:tc>
          <w:tcPr>
            <w:tcW w:w="405" w:type="dxa"/>
            <w:noWrap w:val="0"/>
            <w:vAlign w:val="top"/>
          </w:tcPr>
          <w:p w14:paraId="1CEEE607">
            <w:pPr>
              <w:rPr>
                <w:rFonts w:ascii="Arial"/>
              </w:rPr>
            </w:pPr>
          </w:p>
        </w:tc>
        <w:tc>
          <w:tcPr>
            <w:tcW w:w="405" w:type="dxa"/>
            <w:noWrap w:val="0"/>
            <w:vAlign w:val="top"/>
          </w:tcPr>
          <w:p w14:paraId="301A9B6F">
            <w:pPr>
              <w:rPr>
                <w:rFonts w:ascii="Arial"/>
              </w:rPr>
            </w:pPr>
          </w:p>
        </w:tc>
        <w:tc>
          <w:tcPr>
            <w:tcW w:w="406" w:type="dxa"/>
            <w:noWrap w:val="0"/>
            <w:vAlign w:val="top"/>
          </w:tcPr>
          <w:p w14:paraId="66AAD365">
            <w:pPr>
              <w:rPr>
                <w:rFonts w:ascii="Arial"/>
              </w:rPr>
            </w:pPr>
          </w:p>
        </w:tc>
        <w:tc>
          <w:tcPr>
            <w:tcW w:w="408" w:type="dxa"/>
            <w:noWrap w:val="0"/>
            <w:vAlign w:val="top"/>
          </w:tcPr>
          <w:p w14:paraId="03FD9790">
            <w:pPr>
              <w:rPr>
                <w:rFonts w:ascii="Arial"/>
              </w:rPr>
            </w:pPr>
          </w:p>
        </w:tc>
        <w:tc>
          <w:tcPr>
            <w:tcW w:w="405" w:type="dxa"/>
            <w:noWrap w:val="0"/>
            <w:vAlign w:val="top"/>
          </w:tcPr>
          <w:p w14:paraId="6C5950A7">
            <w:pPr>
              <w:rPr>
                <w:rFonts w:ascii="Arial"/>
              </w:rPr>
            </w:pPr>
          </w:p>
        </w:tc>
        <w:tc>
          <w:tcPr>
            <w:tcW w:w="408" w:type="dxa"/>
            <w:noWrap w:val="0"/>
            <w:vAlign w:val="top"/>
          </w:tcPr>
          <w:p w14:paraId="635889A2">
            <w:pPr>
              <w:rPr>
                <w:rFonts w:ascii="Arial"/>
              </w:rPr>
            </w:pPr>
          </w:p>
        </w:tc>
        <w:tc>
          <w:tcPr>
            <w:tcW w:w="413" w:type="dxa"/>
            <w:noWrap w:val="0"/>
            <w:vAlign w:val="top"/>
          </w:tcPr>
          <w:p w14:paraId="71DBA837">
            <w:pPr>
              <w:rPr>
                <w:rFonts w:ascii="Arial"/>
              </w:rPr>
            </w:pPr>
          </w:p>
        </w:tc>
      </w:tr>
      <w:tr w14:paraId="40CFEA29">
        <w:tblPrEx>
          <w:tblCellMar>
            <w:top w:w="0" w:type="dxa"/>
            <w:left w:w="0" w:type="dxa"/>
            <w:bottom w:w="0" w:type="dxa"/>
            <w:right w:w="0" w:type="dxa"/>
          </w:tblCellMar>
        </w:tblPrEx>
        <w:trPr>
          <w:trHeight w:val="244"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3218E7BC">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599A38A8">
            <w:pPr>
              <w:rPr>
                <w:rFonts w:ascii="Arial"/>
              </w:rPr>
            </w:pPr>
          </w:p>
        </w:tc>
        <w:tc>
          <w:tcPr>
            <w:tcW w:w="403" w:type="dxa"/>
            <w:tcBorders>
              <w:left w:val="single" w:color="auto" w:sz="4" w:space="0"/>
            </w:tcBorders>
            <w:noWrap w:val="0"/>
            <w:vAlign w:val="top"/>
          </w:tcPr>
          <w:p w14:paraId="0022484F">
            <w:pPr>
              <w:rPr>
                <w:rFonts w:ascii="Arial"/>
              </w:rPr>
            </w:pPr>
          </w:p>
        </w:tc>
        <w:tc>
          <w:tcPr>
            <w:tcW w:w="405" w:type="dxa"/>
            <w:noWrap w:val="0"/>
            <w:vAlign w:val="top"/>
          </w:tcPr>
          <w:p w14:paraId="3ADB3171">
            <w:pPr>
              <w:rPr>
                <w:rFonts w:ascii="Arial"/>
              </w:rPr>
            </w:pPr>
          </w:p>
        </w:tc>
        <w:tc>
          <w:tcPr>
            <w:tcW w:w="406" w:type="dxa"/>
            <w:noWrap w:val="0"/>
            <w:vAlign w:val="top"/>
          </w:tcPr>
          <w:p w14:paraId="1FF541ED">
            <w:pPr>
              <w:rPr>
                <w:rFonts w:ascii="Arial"/>
              </w:rPr>
            </w:pPr>
          </w:p>
        </w:tc>
        <w:tc>
          <w:tcPr>
            <w:tcW w:w="406" w:type="dxa"/>
            <w:noWrap w:val="0"/>
            <w:vAlign w:val="top"/>
          </w:tcPr>
          <w:p w14:paraId="4589B47C">
            <w:pPr>
              <w:rPr>
                <w:rFonts w:ascii="Arial"/>
              </w:rPr>
            </w:pPr>
          </w:p>
        </w:tc>
        <w:tc>
          <w:tcPr>
            <w:tcW w:w="405" w:type="dxa"/>
            <w:noWrap w:val="0"/>
            <w:vAlign w:val="top"/>
          </w:tcPr>
          <w:p w14:paraId="69C34F4D">
            <w:pPr>
              <w:rPr>
                <w:rFonts w:ascii="Arial"/>
              </w:rPr>
            </w:pPr>
          </w:p>
        </w:tc>
        <w:tc>
          <w:tcPr>
            <w:tcW w:w="403" w:type="dxa"/>
            <w:noWrap w:val="0"/>
            <w:vAlign w:val="top"/>
          </w:tcPr>
          <w:p w14:paraId="72C3ECBF">
            <w:pPr>
              <w:rPr>
                <w:rFonts w:ascii="Arial"/>
              </w:rPr>
            </w:pPr>
          </w:p>
        </w:tc>
        <w:tc>
          <w:tcPr>
            <w:tcW w:w="406" w:type="dxa"/>
            <w:noWrap w:val="0"/>
            <w:vAlign w:val="top"/>
          </w:tcPr>
          <w:p w14:paraId="5613DB18">
            <w:pPr>
              <w:rPr>
                <w:rFonts w:ascii="Arial"/>
              </w:rPr>
            </w:pPr>
          </w:p>
        </w:tc>
        <w:tc>
          <w:tcPr>
            <w:tcW w:w="405" w:type="dxa"/>
            <w:noWrap w:val="0"/>
            <w:vAlign w:val="top"/>
          </w:tcPr>
          <w:p w14:paraId="5EC74097">
            <w:pPr>
              <w:rPr>
                <w:rFonts w:ascii="Arial"/>
              </w:rPr>
            </w:pPr>
          </w:p>
        </w:tc>
        <w:tc>
          <w:tcPr>
            <w:tcW w:w="405" w:type="dxa"/>
            <w:noWrap w:val="0"/>
            <w:vAlign w:val="top"/>
          </w:tcPr>
          <w:p w14:paraId="6C9BA29B">
            <w:pPr>
              <w:rPr>
                <w:rFonts w:ascii="Arial"/>
              </w:rPr>
            </w:pPr>
          </w:p>
        </w:tc>
        <w:tc>
          <w:tcPr>
            <w:tcW w:w="406" w:type="dxa"/>
            <w:noWrap w:val="0"/>
            <w:vAlign w:val="top"/>
          </w:tcPr>
          <w:p w14:paraId="4009852E">
            <w:pPr>
              <w:rPr>
                <w:rFonts w:ascii="Arial"/>
              </w:rPr>
            </w:pPr>
          </w:p>
        </w:tc>
        <w:tc>
          <w:tcPr>
            <w:tcW w:w="405" w:type="dxa"/>
            <w:noWrap w:val="0"/>
            <w:vAlign w:val="top"/>
          </w:tcPr>
          <w:p w14:paraId="7B90E588">
            <w:pPr>
              <w:rPr>
                <w:rFonts w:ascii="Arial"/>
              </w:rPr>
            </w:pPr>
          </w:p>
        </w:tc>
        <w:tc>
          <w:tcPr>
            <w:tcW w:w="405" w:type="dxa"/>
            <w:noWrap w:val="0"/>
            <w:vAlign w:val="top"/>
          </w:tcPr>
          <w:p w14:paraId="1D3B1E01">
            <w:pPr>
              <w:rPr>
                <w:rFonts w:ascii="Arial"/>
              </w:rPr>
            </w:pPr>
          </w:p>
        </w:tc>
        <w:tc>
          <w:tcPr>
            <w:tcW w:w="406" w:type="dxa"/>
            <w:noWrap w:val="0"/>
            <w:vAlign w:val="top"/>
          </w:tcPr>
          <w:p w14:paraId="1A7BAC73">
            <w:pPr>
              <w:rPr>
                <w:rFonts w:ascii="Arial"/>
              </w:rPr>
            </w:pPr>
          </w:p>
        </w:tc>
        <w:tc>
          <w:tcPr>
            <w:tcW w:w="405" w:type="dxa"/>
            <w:noWrap w:val="0"/>
            <w:vAlign w:val="top"/>
          </w:tcPr>
          <w:p w14:paraId="36B1F861">
            <w:pPr>
              <w:rPr>
                <w:rFonts w:ascii="Arial"/>
              </w:rPr>
            </w:pPr>
          </w:p>
        </w:tc>
        <w:tc>
          <w:tcPr>
            <w:tcW w:w="405" w:type="dxa"/>
            <w:noWrap w:val="0"/>
            <w:vAlign w:val="top"/>
          </w:tcPr>
          <w:p w14:paraId="53955CF1">
            <w:pPr>
              <w:rPr>
                <w:rFonts w:ascii="Arial"/>
              </w:rPr>
            </w:pPr>
          </w:p>
        </w:tc>
        <w:tc>
          <w:tcPr>
            <w:tcW w:w="406" w:type="dxa"/>
            <w:noWrap w:val="0"/>
            <w:vAlign w:val="top"/>
          </w:tcPr>
          <w:p w14:paraId="2B0B61C7">
            <w:pPr>
              <w:rPr>
                <w:rFonts w:ascii="Arial"/>
              </w:rPr>
            </w:pPr>
          </w:p>
        </w:tc>
        <w:tc>
          <w:tcPr>
            <w:tcW w:w="408" w:type="dxa"/>
            <w:noWrap w:val="0"/>
            <w:vAlign w:val="top"/>
          </w:tcPr>
          <w:p w14:paraId="5ECA82C3">
            <w:pPr>
              <w:rPr>
                <w:rFonts w:ascii="Arial"/>
              </w:rPr>
            </w:pPr>
          </w:p>
        </w:tc>
        <w:tc>
          <w:tcPr>
            <w:tcW w:w="405" w:type="dxa"/>
            <w:noWrap w:val="0"/>
            <w:vAlign w:val="top"/>
          </w:tcPr>
          <w:p w14:paraId="7F9ACB25">
            <w:pPr>
              <w:rPr>
                <w:rFonts w:ascii="Arial"/>
              </w:rPr>
            </w:pPr>
          </w:p>
        </w:tc>
        <w:tc>
          <w:tcPr>
            <w:tcW w:w="408" w:type="dxa"/>
            <w:noWrap w:val="0"/>
            <w:vAlign w:val="top"/>
          </w:tcPr>
          <w:p w14:paraId="2E1180B2">
            <w:pPr>
              <w:rPr>
                <w:rFonts w:ascii="Arial"/>
              </w:rPr>
            </w:pPr>
          </w:p>
        </w:tc>
        <w:tc>
          <w:tcPr>
            <w:tcW w:w="413" w:type="dxa"/>
            <w:noWrap w:val="0"/>
            <w:vAlign w:val="top"/>
          </w:tcPr>
          <w:p w14:paraId="19770FBF">
            <w:pPr>
              <w:rPr>
                <w:rFonts w:ascii="Arial"/>
              </w:rPr>
            </w:pPr>
          </w:p>
        </w:tc>
      </w:tr>
      <w:tr w14:paraId="38FC0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4D349BEE">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215E7692">
            <w:pPr>
              <w:rPr>
                <w:rFonts w:ascii="Arial"/>
              </w:rPr>
            </w:pPr>
          </w:p>
        </w:tc>
        <w:tc>
          <w:tcPr>
            <w:tcW w:w="403" w:type="dxa"/>
            <w:tcBorders>
              <w:left w:val="single" w:color="auto" w:sz="4" w:space="0"/>
            </w:tcBorders>
            <w:noWrap w:val="0"/>
            <w:vAlign w:val="top"/>
          </w:tcPr>
          <w:p w14:paraId="66C8213D">
            <w:pPr>
              <w:rPr>
                <w:rFonts w:ascii="Arial"/>
              </w:rPr>
            </w:pPr>
          </w:p>
        </w:tc>
        <w:tc>
          <w:tcPr>
            <w:tcW w:w="405" w:type="dxa"/>
            <w:noWrap w:val="0"/>
            <w:vAlign w:val="top"/>
          </w:tcPr>
          <w:p w14:paraId="65B1CC19">
            <w:pPr>
              <w:rPr>
                <w:rFonts w:ascii="Arial"/>
              </w:rPr>
            </w:pPr>
          </w:p>
        </w:tc>
        <w:tc>
          <w:tcPr>
            <w:tcW w:w="406" w:type="dxa"/>
            <w:noWrap w:val="0"/>
            <w:vAlign w:val="top"/>
          </w:tcPr>
          <w:p w14:paraId="3FFA8808">
            <w:pPr>
              <w:rPr>
                <w:rFonts w:ascii="Arial"/>
              </w:rPr>
            </w:pPr>
          </w:p>
        </w:tc>
        <w:tc>
          <w:tcPr>
            <w:tcW w:w="406" w:type="dxa"/>
            <w:noWrap w:val="0"/>
            <w:vAlign w:val="top"/>
          </w:tcPr>
          <w:p w14:paraId="33B780E6">
            <w:pPr>
              <w:rPr>
                <w:rFonts w:ascii="Arial"/>
              </w:rPr>
            </w:pPr>
          </w:p>
        </w:tc>
        <w:tc>
          <w:tcPr>
            <w:tcW w:w="405" w:type="dxa"/>
            <w:noWrap w:val="0"/>
            <w:vAlign w:val="top"/>
          </w:tcPr>
          <w:p w14:paraId="69CCEE94">
            <w:pPr>
              <w:rPr>
                <w:rFonts w:ascii="Arial"/>
              </w:rPr>
            </w:pPr>
          </w:p>
        </w:tc>
        <w:tc>
          <w:tcPr>
            <w:tcW w:w="403" w:type="dxa"/>
            <w:noWrap w:val="0"/>
            <w:vAlign w:val="top"/>
          </w:tcPr>
          <w:p w14:paraId="31944C94">
            <w:pPr>
              <w:rPr>
                <w:rFonts w:ascii="Arial"/>
              </w:rPr>
            </w:pPr>
          </w:p>
        </w:tc>
        <w:tc>
          <w:tcPr>
            <w:tcW w:w="406" w:type="dxa"/>
            <w:noWrap w:val="0"/>
            <w:vAlign w:val="top"/>
          </w:tcPr>
          <w:p w14:paraId="632DE486">
            <w:pPr>
              <w:rPr>
                <w:rFonts w:ascii="Arial"/>
              </w:rPr>
            </w:pPr>
          </w:p>
        </w:tc>
        <w:tc>
          <w:tcPr>
            <w:tcW w:w="405" w:type="dxa"/>
            <w:noWrap w:val="0"/>
            <w:vAlign w:val="top"/>
          </w:tcPr>
          <w:p w14:paraId="1D587E51">
            <w:pPr>
              <w:rPr>
                <w:rFonts w:ascii="Arial"/>
              </w:rPr>
            </w:pPr>
          </w:p>
        </w:tc>
        <w:tc>
          <w:tcPr>
            <w:tcW w:w="405" w:type="dxa"/>
            <w:noWrap w:val="0"/>
            <w:vAlign w:val="top"/>
          </w:tcPr>
          <w:p w14:paraId="4FA0D615">
            <w:pPr>
              <w:rPr>
                <w:rFonts w:ascii="Arial"/>
              </w:rPr>
            </w:pPr>
          </w:p>
        </w:tc>
        <w:tc>
          <w:tcPr>
            <w:tcW w:w="406" w:type="dxa"/>
            <w:noWrap w:val="0"/>
            <w:vAlign w:val="top"/>
          </w:tcPr>
          <w:p w14:paraId="26E543AC">
            <w:pPr>
              <w:rPr>
                <w:rFonts w:ascii="Arial"/>
              </w:rPr>
            </w:pPr>
          </w:p>
        </w:tc>
        <w:tc>
          <w:tcPr>
            <w:tcW w:w="405" w:type="dxa"/>
            <w:noWrap w:val="0"/>
            <w:vAlign w:val="top"/>
          </w:tcPr>
          <w:p w14:paraId="4DFF8CD2">
            <w:pPr>
              <w:rPr>
                <w:rFonts w:ascii="Arial"/>
              </w:rPr>
            </w:pPr>
          </w:p>
        </w:tc>
        <w:tc>
          <w:tcPr>
            <w:tcW w:w="405" w:type="dxa"/>
            <w:noWrap w:val="0"/>
            <w:vAlign w:val="top"/>
          </w:tcPr>
          <w:p w14:paraId="2B559383">
            <w:pPr>
              <w:rPr>
                <w:rFonts w:ascii="Arial"/>
              </w:rPr>
            </w:pPr>
          </w:p>
        </w:tc>
        <w:tc>
          <w:tcPr>
            <w:tcW w:w="406" w:type="dxa"/>
            <w:noWrap w:val="0"/>
            <w:vAlign w:val="top"/>
          </w:tcPr>
          <w:p w14:paraId="122E8349">
            <w:pPr>
              <w:rPr>
                <w:rFonts w:ascii="Arial"/>
              </w:rPr>
            </w:pPr>
          </w:p>
        </w:tc>
        <w:tc>
          <w:tcPr>
            <w:tcW w:w="405" w:type="dxa"/>
            <w:noWrap w:val="0"/>
            <w:vAlign w:val="top"/>
          </w:tcPr>
          <w:p w14:paraId="5F318A43">
            <w:pPr>
              <w:rPr>
                <w:rFonts w:ascii="Arial"/>
              </w:rPr>
            </w:pPr>
          </w:p>
        </w:tc>
        <w:tc>
          <w:tcPr>
            <w:tcW w:w="405" w:type="dxa"/>
            <w:noWrap w:val="0"/>
            <w:vAlign w:val="top"/>
          </w:tcPr>
          <w:p w14:paraId="6A45AE73">
            <w:pPr>
              <w:rPr>
                <w:rFonts w:ascii="Arial"/>
              </w:rPr>
            </w:pPr>
          </w:p>
        </w:tc>
        <w:tc>
          <w:tcPr>
            <w:tcW w:w="406" w:type="dxa"/>
            <w:noWrap w:val="0"/>
            <w:vAlign w:val="top"/>
          </w:tcPr>
          <w:p w14:paraId="5ACA7F6E">
            <w:pPr>
              <w:rPr>
                <w:rFonts w:ascii="Arial"/>
              </w:rPr>
            </w:pPr>
          </w:p>
        </w:tc>
        <w:tc>
          <w:tcPr>
            <w:tcW w:w="408" w:type="dxa"/>
            <w:noWrap w:val="0"/>
            <w:vAlign w:val="top"/>
          </w:tcPr>
          <w:p w14:paraId="76B4D264">
            <w:pPr>
              <w:rPr>
                <w:rFonts w:ascii="Arial"/>
              </w:rPr>
            </w:pPr>
          </w:p>
        </w:tc>
        <w:tc>
          <w:tcPr>
            <w:tcW w:w="405" w:type="dxa"/>
            <w:noWrap w:val="0"/>
            <w:vAlign w:val="top"/>
          </w:tcPr>
          <w:p w14:paraId="5E4A8A06">
            <w:pPr>
              <w:rPr>
                <w:rFonts w:ascii="Arial"/>
              </w:rPr>
            </w:pPr>
          </w:p>
        </w:tc>
        <w:tc>
          <w:tcPr>
            <w:tcW w:w="408" w:type="dxa"/>
            <w:noWrap w:val="0"/>
            <w:vAlign w:val="top"/>
          </w:tcPr>
          <w:p w14:paraId="74ABD39B">
            <w:pPr>
              <w:rPr>
                <w:rFonts w:ascii="Arial"/>
              </w:rPr>
            </w:pPr>
          </w:p>
        </w:tc>
        <w:tc>
          <w:tcPr>
            <w:tcW w:w="413" w:type="dxa"/>
            <w:noWrap w:val="0"/>
            <w:vAlign w:val="top"/>
          </w:tcPr>
          <w:p w14:paraId="21FFAFF8">
            <w:pPr>
              <w:rPr>
                <w:rFonts w:ascii="Arial"/>
              </w:rPr>
            </w:pPr>
          </w:p>
        </w:tc>
      </w:tr>
      <w:tr w14:paraId="2F2C4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675D06CF">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3D660195">
            <w:pPr>
              <w:rPr>
                <w:rFonts w:ascii="Arial"/>
              </w:rPr>
            </w:pPr>
          </w:p>
        </w:tc>
        <w:tc>
          <w:tcPr>
            <w:tcW w:w="403" w:type="dxa"/>
            <w:tcBorders>
              <w:left w:val="single" w:color="auto" w:sz="4" w:space="0"/>
              <w:bottom w:val="single" w:color="auto" w:sz="4" w:space="0"/>
            </w:tcBorders>
            <w:noWrap w:val="0"/>
            <w:vAlign w:val="top"/>
          </w:tcPr>
          <w:p w14:paraId="44AD44C1">
            <w:pPr>
              <w:rPr>
                <w:rFonts w:ascii="Arial"/>
              </w:rPr>
            </w:pPr>
          </w:p>
        </w:tc>
        <w:tc>
          <w:tcPr>
            <w:tcW w:w="405" w:type="dxa"/>
            <w:tcBorders>
              <w:bottom w:val="single" w:color="auto" w:sz="4" w:space="0"/>
            </w:tcBorders>
            <w:noWrap w:val="0"/>
            <w:vAlign w:val="top"/>
          </w:tcPr>
          <w:p w14:paraId="0DAB0BF4">
            <w:pPr>
              <w:rPr>
                <w:rFonts w:ascii="Arial"/>
              </w:rPr>
            </w:pPr>
          </w:p>
        </w:tc>
        <w:tc>
          <w:tcPr>
            <w:tcW w:w="406" w:type="dxa"/>
            <w:tcBorders>
              <w:bottom w:val="single" w:color="auto" w:sz="4" w:space="0"/>
            </w:tcBorders>
            <w:noWrap w:val="0"/>
            <w:vAlign w:val="top"/>
          </w:tcPr>
          <w:p w14:paraId="4BDC82C2">
            <w:pPr>
              <w:rPr>
                <w:rFonts w:ascii="Arial"/>
              </w:rPr>
            </w:pPr>
          </w:p>
        </w:tc>
        <w:tc>
          <w:tcPr>
            <w:tcW w:w="406" w:type="dxa"/>
            <w:tcBorders>
              <w:bottom w:val="single" w:color="auto" w:sz="4" w:space="0"/>
            </w:tcBorders>
            <w:noWrap w:val="0"/>
            <w:vAlign w:val="top"/>
          </w:tcPr>
          <w:p w14:paraId="6E61BB08">
            <w:pPr>
              <w:rPr>
                <w:rFonts w:ascii="Arial"/>
              </w:rPr>
            </w:pPr>
          </w:p>
        </w:tc>
        <w:tc>
          <w:tcPr>
            <w:tcW w:w="405" w:type="dxa"/>
            <w:tcBorders>
              <w:bottom w:val="single" w:color="auto" w:sz="4" w:space="0"/>
            </w:tcBorders>
            <w:noWrap w:val="0"/>
            <w:vAlign w:val="top"/>
          </w:tcPr>
          <w:p w14:paraId="3A2049F3">
            <w:pPr>
              <w:rPr>
                <w:rFonts w:ascii="Arial"/>
              </w:rPr>
            </w:pPr>
          </w:p>
        </w:tc>
        <w:tc>
          <w:tcPr>
            <w:tcW w:w="403" w:type="dxa"/>
            <w:tcBorders>
              <w:bottom w:val="single" w:color="auto" w:sz="4" w:space="0"/>
            </w:tcBorders>
            <w:noWrap w:val="0"/>
            <w:vAlign w:val="top"/>
          </w:tcPr>
          <w:p w14:paraId="5FAB7BA3">
            <w:pPr>
              <w:rPr>
                <w:rFonts w:ascii="Arial"/>
              </w:rPr>
            </w:pPr>
          </w:p>
        </w:tc>
        <w:tc>
          <w:tcPr>
            <w:tcW w:w="406" w:type="dxa"/>
            <w:tcBorders>
              <w:bottom w:val="single" w:color="auto" w:sz="4" w:space="0"/>
            </w:tcBorders>
            <w:noWrap w:val="0"/>
            <w:vAlign w:val="top"/>
          </w:tcPr>
          <w:p w14:paraId="1363B4F4">
            <w:pPr>
              <w:rPr>
                <w:rFonts w:ascii="Arial"/>
              </w:rPr>
            </w:pPr>
          </w:p>
        </w:tc>
        <w:tc>
          <w:tcPr>
            <w:tcW w:w="405" w:type="dxa"/>
            <w:tcBorders>
              <w:bottom w:val="single" w:color="auto" w:sz="4" w:space="0"/>
            </w:tcBorders>
            <w:noWrap w:val="0"/>
            <w:vAlign w:val="top"/>
          </w:tcPr>
          <w:p w14:paraId="094C66BC">
            <w:pPr>
              <w:rPr>
                <w:rFonts w:ascii="Arial"/>
              </w:rPr>
            </w:pPr>
          </w:p>
        </w:tc>
        <w:tc>
          <w:tcPr>
            <w:tcW w:w="405" w:type="dxa"/>
            <w:tcBorders>
              <w:bottom w:val="single" w:color="auto" w:sz="4" w:space="0"/>
            </w:tcBorders>
            <w:noWrap w:val="0"/>
            <w:vAlign w:val="top"/>
          </w:tcPr>
          <w:p w14:paraId="5C72F2DC">
            <w:pPr>
              <w:rPr>
                <w:rFonts w:ascii="Arial"/>
              </w:rPr>
            </w:pPr>
          </w:p>
        </w:tc>
        <w:tc>
          <w:tcPr>
            <w:tcW w:w="406" w:type="dxa"/>
            <w:tcBorders>
              <w:bottom w:val="single" w:color="auto" w:sz="4" w:space="0"/>
            </w:tcBorders>
            <w:noWrap w:val="0"/>
            <w:vAlign w:val="top"/>
          </w:tcPr>
          <w:p w14:paraId="4D38904D">
            <w:pPr>
              <w:rPr>
                <w:rFonts w:ascii="Arial"/>
              </w:rPr>
            </w:pPr>
          </w:p>
        </w:tc>
        <w:tc>
          <w:tcPr>
            <w:tcW w:w="405" w:type="dxa"/>
            <w:tcBorders>
              <w:bottom w:val="single" w:color="auto" w:sz="4" w:space="0"/>
            </w:tcBorders>
            <w:noWrap w:val="0"/>
            <w:vAlign w:val="top"/>
          </w:tcPr>
          <w:p w14:paraId="47B27077">
            <w:pPr>
              <w:rPr>
                <w:rFonts w:ascii="Arial"/>
              </w:rPr>
            </w:pPr>
          </w:p>
        </w:tc>
        <w:tc>
          <w:tcPr>
            <w:tcW w:w="405" w:type="dxa"/>
            <w:tcBorders>
              <w:bottom w:val="single" w:color="auto" w:sz="4" w:space="0"/>
            </w:tcBorders>
            <w:noWrap w:val="0"/>
            <w:vAlign w:val="top"/>
          </w:tcPr>
          <w:p w14:paraId="0D2FA5CF">
            <w:pPr>
              <w:rPr>
                <w:rFonts w:ascii="Arial"/>
              </w:rPr>
            </w:pPr>
          </w:p>
        </w:tc>
        <w:tc>
          <w:tcPr>
            <w:tcW w:w="406" w:type="dxa"/>
            <w:tcBorders>
              <w:bottom w:val="single" w:color="auto" w:sz="4" w:space="0"/>
            </w:tcBorders>
            <w:noWrap w:val="0"/>
            <w:vAlign w:val="top"/>
          </w:tcPr>
          <w:p w14:paraId="192F4DDB">
            <w:pPr>
              <w:rPr>
                <w:rFonts w:ascii="Arial"/>
              </w:rPr>
            </w:pPr>
          </w:p>
        </w:tc>
        <w:tc>
          <w:tcPr>
            <w:tcW w:w="405" w:type="dxa"/>
            <w:tcBorders>
              <w:bottom w:val="single" w:color="auto" w:sz="4" w:space="0"/>
            </w:tcBorders>
            <w:noWrap w:val="0"/>
            <w:vAlign w:val="top"/>
          </w:tcPr>
          <w:p w14:paraId="28AEF4F8">
            <w:pPr>
              <w:rPr>
                <w:rFonts w:ascii="Arial"/>
              </w:rPr>
            </w:pPr>
          </w:p>
        </w:tc>
        <w:tc>
          <w:tcPr>
            <w:tcW w:w="405" w:type="dxa"/>
            <w:tcBorders>
              <w:bottom w:val="single" w:color="auto" w:sz="4" w:space="0"/>
            </w:tcBorders>
            <w:noWrap w:val="0"/>
            <w:vAlign w:val="top"/>
          </w:tcPr>
          <w:p w14:paraId="56D25122">
            <w:pPr>
              <w:rPr>
                <w:rFonts w:ascii="Arial"/>
              </w:rPr>
            </w:pPr>
          </w:p>
        </w:tc>
        <w:tc>
          <w:tcPr>
            <w:tcW w:w="406" w:type="dxa"/>
            <w:tcBorders>
              <w:bottom w:val="single" w:color="auto" w:sz="4" w:space="0"/>
            </w:tcBorders>
            <w:noWrap w:val="0"/>
            <w:vAlign w:val="top"/>
          </w:tcPr>
          <w:p w14:paraId="7A186BA1">
            <w:pPr>
              <w:rPr>
                <w:rFonts w:ascii="Arial"/>
              </w:rPr>
            </w:pPr>
          </w:p>
        </w:tc>
        <w:tc>
          <w:tcPr>
            <w:tcW w:w="408" w:type="dxa"/>
            <w:tcBorders>
              <w:bottom w:val="single" w:color="auto" w:sz="4" w:space="0"/>
            </w:tcBorders>
            <w:noWrap w:val="0"/>
            <w:vAlign w:val="top"/>
          </w:tcPr>
          <w:p w14:paraId="7E173D7C">
            <w:pPr>
              <w:rPr>
                <w:rFonts w:ascii="Arial"/>
              </w:rPr>
            </w:pPr>
          </w:p>
        </w:tc>
        <w:tc>
          <w:tcPr>
            <w:tcW w:w="405" w:type="dxa"/>
            <w:tcBorders>
              <w:bottom w:val="single" w:color="auto" w:sz="4" w:space="0"/>
            </w:tcBorders>
            <w:noWrap w:val="0"/>
            <w:vAlign w:val="top"/>
          </w:tcPr>
          <w:p w14:paraId="2B631614">
            <w:pPr>
              <w:rPr>
                <w:rFonts w:ascii="Arial"/>
              </w:rPr>
            </w:pPr>
          </w:p>
        </w:tc>
        <w:tc>
          <w:tcPr>
            <w:tcW w:w="408" w:type="dxa"/>
            <w:tcBorders>
              <w:bottom w:val="single" w:color="auto" w:sz="4" w:space="0"/>
            </w:tcBorders>
            <w:noWrap w:val="0"/>
            <w:vAlign w:val="top"/>
          </w:tcPr>
          <w:p w14:paraId="7C3E239B">
            <w:pPr>
              <w:rPr>
                <w:rFonts w:ascii="Arial"/>
              </w:rPr>
            </w:pPr>
          </w:p>
        </w:tc>
        <w:tc>
          <w:tcPr>
            <w:tcW w:w="413" w:type="dxa"/>
            <w:tcBorders>
              <w:bottom w:val="single" w:color="auto" w:sz="4" w:space="0"/>
            </w:tcBorders>
            <w:noWrap w:val="0"/>
            <w:vAlign w:val="top"/>
          </w:tcPr>
          <w:p w14:paraId="050B81D7">
            <w:pPr>
              <w:rPr>
                <w:rFonts w:ascii="Arial"/>
              </w:rPr>
            </w:pPr>
          </w:p>
        </w:tc>
      </w:tr>
      <w:tr w14:paraId="356C2A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262D8095">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56721730">
            <w:pPr>
              <w:rPr>
                <w:rFonts w:ascii="Arial"/>
              </w:rPr>
            </w:pPr>
          </w:p>
        </w:tc>
        <w:tc>
          <w:tcPr>
            <w:tcW w:w="403" w:type="dxa"/>
            <w:tcBorders>
              <w:top w:val="single" w:color="auto" w:sz="4" w:space="0"/>
              <w:left w:val="single" w:color="auto" w:sz="4" w:space="0"/>
              <w:bottom w:val="single" w:color="auto" w:sz="4" w:space="0"/>
              <w:right w:val="single" w:color="auto" w:sz="4" w:space="0"/>
            </w:tcBorders>
            <w:noWrap w:val="0"/>
            <w:vAlign w:val="top"/>
          </w:tcPr>
          <w:p w14:paraId="7CF1D852">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19FF0878">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57BAB578">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4EFE9989">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0809F0ED">
            <w:pPr>
              <w:rPr>
                <w:rFonts w:ascii="Arial"/>
              </w:rPr>
            </w:pPr>
          </w:p>
        </w:tc>
        <w:tc>
          <w:tcPr>
            <w:tcW w:w="403" w:type="dxa"/>
            <w:tcBorders>
              <w:top w:val="single" w:color="auto" w:sz="4" w:space="0"/>
              <w:left w:val="single" w:color="auto" w:sz="4" w:space="0"/>
              <w:bottom w:val="single" w:color="auto" w:sz="4" w:space="0"/>
              <w:right w:val="single" w:color="auto" w:sz="4" w:space="0"/>
            </w:tcBorders>
            <w:noWrap w:val="0"/>
            <w:vAlign w:val="top"/>
          </w:tcPr>
          <w:p w14:paraId="6C4E57EB">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76FB1579">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5A69F47D">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7D44F716">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016EA50A">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2BB52B43">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36245F9F">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093559CE">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34E0BF7D">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7719916F">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2E15E7A4">
            <w:pPr>
              <w:rPr>
                <w:rFonts w:ascii="Arial"/>
              </w:rPr>
            </w:pPr>
          </w:p>
        </w:tc>
        <w:tc>
          <w:tcPr>
            <w:tcW w:w="408" w:type="dxa"/>
            <w:tcBorders>
              <w:top w:val="single" w:color="auto" w:sz="4" w:space="0"/>
              <w:left w:val="single" w:color="auto" w:sz="4" w:space="0"/>
              <w:bottom w:val="single" w:color="auto" w:sz="4" w:space="0"/>
              <w:right w:val="single" w:color="auto" w:sz="4" w:space="0"/>
            </w:tcBorders>
            <w:noWrap w:val="0"/>
            <w:vAlign w:val="top"/>
          </w:tcPr>
          <w:p w14:paraId="34F45B54">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749A510E">
            <w:pPr>
              <w:rPr>
                <w:rFonts w:ascii="Arial"/>
              </w:rPr>
            </w:pPr>
          </w:p>
        </w:tc>
        <w:tc>
          <w:tcPr>
            <w:tcW w:w="408" w:type="dxa"/>
            <w:tcBorders>
              <w:top w:val="single" w:color="auto" w:sz="4" w:space="0"/>
              <w:left w:val="single" w:color="auto" w:sz="4" w:space="0"/>
              <w:bottom w:val="single" w:color="auto" w:sz="4" w:space="0"/>
              <w:right w:val="single" w:color="auto" w:sz="4" w:space="0"/>
            </w:tcBorders>
            <w:noWrap w:val="0"/>
            <w:vAlign w:val="top"/>
          </w:tcPr>
          <w:p w14:paraId="1568F736">
            <w:pPr>
              <w:rPr>
                <w:rFonts w:ascii="Arial"/>
              </w:rPr>
            </w:pPr>
          </w:p>
        </w:tc>
        <w:tc>
          <w:tcPr>
            <w:tcW w:w="413" w:type="dxa"/>
            <w:tcBorders>
              <w:top w:val="single" w:color="auto" w:sz="4" w:space="0"/>
              <w:left w:val="single" w:color="auto" w:sz="4" w:space="0"/>
              <w:bottom w:val="single" w:color="auto" w:sz="4" w:space="0"/>
              <w:right w:val="single" w:color="auto" w:sz="4" w:space="0"/>
            </w:tcBorders>
            <w:noWrap w:val="0"/>
            <w:vAlign w:val="top"/>
          </w:tcPr>
          <w:p w14:paraId="01545ED2">
            <w:pPr>
              <w:rPr>
                <w:rFonts w:ascii="Arial"/>
              </w:rPr>
            </w:pPr>
          </w:p>
        </w:tc>
      </w:tr>
      <w:tr w14:paraId="3783C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jc w:val="center"/>
        </w:trPr>
        <w:tc>
          <w:tcPr>
            <w:tcW w:w="644" w:type="dxa"/>
            <w:vMerge w:val="continue"/>
            <w:tcBorders>
              <w:top w:val="single" w:color="auto" w:sz="4" w:space="0"/>
              <w:left w:val="single" w:color="auto" w:sz="4" w:space="0"/>
              <w:bottom w:val="single" w:color="auto" w:sz="4" w:space="0"/>
              <w:right w:val="nil"/>
            </w:tcBorders>
            <w:noWrap w:val="0"/>
            <w:vAlign w:val="top"/>
          </w:tcPr>
          <w:p w14:paraId="3444C4F8">
            <w:pPr>
              <w:rPr>
                <w:rFonts w:ascii="Arial"/>
              </w:rPr>
            </w:pPr>
          </w:p>
        </w:tc>
        <w:tc>
          <w:tcPr>
            <w:tcW w:w="598" w:type="dxa"/>
            <w:vMerge w:val="continue"/>
            <w:tcBorders>
              <w:top w:val="single" w:color="auto" w:sz="4" w:space="0"/>
              <w:left w:val="nil"/>
              <w:bottom w:val="single" w:color="auto" w:sz="4" w:space="0"/>
              <w:right w:val="single" w:color="auto" w:sz="4" w:space="0"/>
            </w:tcBorders>
            <w:noWrap w:val="0"/>
            <w:vAlign w:val="top"/>
          </w:tcPr>
          <w:p w14:paraId="1E79484B">
            <w:pPr>
              <w:rPr>
                <w:rFonts w:ascii="Arial"/>
              </w:rPr>
            </w:pPr>
          </w:p>
        </w:tc>
        <w:tc>
          <w:tcPr>
            <w:tcW w:w="403" w:type="dxa"/>
            <w:tcBorders>
              <w:top w:val="single" w:color="auto" w:sz="4" w:space="0"/>
              <w:left w:val="single" w:color="auto" w:sz="4" w:space="0"/>
              <w:bottom w:val="single" w:color="auto" w:sz="4" w:space="0"/>
              <w:right w:val="single" w:color="auto" w:sz="4" w:space="0"/>
            </w:tcBorders>
            <w:noWrap w:val="0"/>
            <w:vAlign w:val="top"/>
          </w:tcPr>
          <w:p w14:paraId="4CAC6BE4">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4FF5DD44">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3BEE8994">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4CF09597">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74B8E687">
            <w:pPr>
              <w:rPr>
                <w:rFonts w:ascii="Arial"/>
              </w:rPr>
            </w:pPr>
          </w:p>
        </w:tc>
        <w:tc>
          <w:tcPr>
            <w:tcW w:w="403" w:type="dxa"/>
            <w:tcBorders>
              <w:top w:val="single" w:color="auto" w:sz="4" w:space="0"/>
              <w:left w:val="single" w:color="auto" w:sz="4" w:space="0"/>
              <w:bottom w:val="single" w:color="auto" w:sz="4" w:space="0"/>
              <w:right w:val="single" w:color="auto" w:sz="4" w:space="0"/>
            </w:tcBorders>
            <w:noWrap w:val="0"/>
            <w:vAlign w:val="top"/>
          </w:tcPr>
          <w:p w14:paraId="482F33F4">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2A285BEE">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07D432C7">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426867EF">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79190757">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6A2DF320">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6D3CFFA5">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093DFA13">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1EA6041A">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3B0EB26B">
            <w:pPr>
              <w:rPr>
                <w:rFonts w:ascii="Arial"/>
              </w:rPr>
            </w:pPr>
          </w:p>
        </w:tc>
        <w:tc>
          <w:tcPr>
            <w:tcW w:w="406" w:type="dxa"/>
            <w:tcBorders>
              <w:top w:val="single" w:color="auto" w:sz="4" w:space="0"/>
              <w:left w:val="single" w:color="auto" w:sz="4" w:space="0"/>
              <w:bottom w:val="single" w:color="auto" w:sz="4" w:space="0"/>
              <w:right w:val="single" w:color="auto" w:sz="4" w:space="0"/>
            </w:tcBorders>
            <w:noWrap w:val="0"/>
            <w:vAlign w:val="top"/>
          </w:tcPr>
          <w:p w14:paraId="7C7FF54B">
            <w:pPr>
              <w:rPr>
                <w:rFonts w:ascii="Arial"/>
              </w:rPr>
            </w:pPr>
          </w:p>
        </w:tc>
        <w:tc>
          <w:tcPr>
            <w:tcW w:w="408" w:type="dxa"/>
            <w:tcBorders>
              <w:top w:val="single" w:color="auto" w:sz="4" w:space="0"/>
              <w:left w:val="single" w:color="auto" w:sz="4" w:space="0"/>
              <w:bottom w:val="single" w:color="auto" w:sz="4" w:space="0"/>
              <w:right w:val="single" w:color="auto" w:sz="4" w:space="0"/>
            </w:tcBorders>
            <w:noWrap w:val="0"/>
            <w:vAlign w:val="top"/>
          </w:tcPr>
          <w:p w14:paraId="73A6C891">
            <w:pPr>
              <w:rPr>
                <w:rFonts w:ascii="Arial"/>
              </w:rPr>
            </w:pPr>
          </w:p>
        </w:tc>
        <w:tc>
          <w:tcPr>
            <w:tcW w:w="405" w:type="dxa"/>
            <w:tcBorders>
              <w:top w:val="single" w:color="auto" w:sz="4" w:space="0"/>
              <w:left w:val="single" w:color="auto" w:sz="4" w:space="0"/>
              <w:bottom w:val="single" w:color="auto" w:sz="4" w:space="0"/>
              <w:right w:val="single" w:color="auto" w:sz="4" w:space="0"/>
            </w:tcBorders>
            <w:noWrap w:val="0"/>
            <w:vAlign w:val="top"/>
          </w:tcPr>
          <w:p w14:paraId="081371C4">
            <w:pPr>
              <w:rPr>
                <w:rFonts w:ascii="Arial"/>
              </w:rPr>
            </w:pPr>
          </w:p>
        </w:tc>
        <w:tc>
          <w:tcPr>
            <w:tcW w:w="408" w:type="dxa"/>
            <w:tcBorders>
              <w:top w:val="single" w:color="auto" w:sz="4" w:space="0"/>
              <w:left w:val="single" w:color="auto" w:sz="4" w:space="0"/>
              <w:bottom w:val="single" w:color="auto" w:sz="4" w:space="0"/>
              <w:right w:val="single" w:color="auto" w:sz="4" w:space="0"/>
            </w:tcBorders>
            <w:noWrap w:val="0"/>
            <w:vAlign w:val="top"/>
          </w:tcPr>
          <w:p w14:paraId="501C37DF">
            <w:pPr>
              <w:rPr>
                <w:rFonts w:ascii="Arial"/>
              </w:rPr>
            </w:pPr>
          </w:p>
        </w:tc>
        <w:tc>
          <w:tcPr>
            <w:tcW w:w="413" w:type="dxa"/>
            <w:tcBorders>
              <w:top w:val="single" w:color="auto" w:sz="4" w:space="0"/>
              <w:left w:val="single" w:color="auto" w:sz="4" w:space="0"/>
              <w:bottom w:val="single" w:color="auto" w:sz="4" w:space="0"/>
              <w:right w:val="single" w:color="auto" w:sz="4" w:space="0"/>
            </w:tcBorders>
            <w:noWrap w:val="0"/>
            <w:vAlign w:val="top"/>
          </w:tcPr>
          <w:p w14:paraId="33DDB77F">
            <w:pPr>
              <w:rPr>
                <w:rFonts w:ascii="Arial"/>
              </w:rPr>
            </w:pPr>
          </w:p>
        </w:tc>
      </w:tr>
      <w:tr w14:paraId="3407D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jc w:val="center"/>
        </w:trPr>
        <w:tc>
          <w:tcPr>
            <w:tcW w:w="9358" w:type="dxa"/>
            <w:gridSpan w:val="22"/>
            <w:tcBorders>
              <w:top w:val="nil"/>
              <w:left w:val="nil"/>
              <w:bottom w:val="nil"/>
              <w:right w:val="nil"/>
            </w:tcBorders>
            <w:noWrap w:val="0"/>
            <w:vAlign w:val="top"/>
          </w:tcPr>
          <w:p w14:paraId="5DFA0187">
            <w:pPr>
              <w:spacing w:before="49" w:line="187" w:lineRule="auto"/>
              <w:jc w:val="right"/>
              <w:rPr>
                <w:rFonts w:eastAsia="Times New Roman"/>
                <w:szCs w:val="21"/>
              </w:rPr>
            </w:pPr>
            <w:r>
              <w:rPr>
                <w:rFonts w:eastAsia="Times New Roman"/>
                <w:spacing w:val="1"/>
                <w:szCs w:val="21"/>
              </w:rPr>
              <w:t>0</w:t>
            </w:r>
            <w:r>
              <w:rPr>
                <w:rFonts w:hint="eastAsia"/>
                <w:spacing w:val="1"/>
                <w:szCs w:val="21"/>
              </w:rPr>
              <w:t xml:space="preserve">     </w:t>
            </w:r>
            <w:r>
              <w:rPr>
                <w:rFonts w:eastAsia="Times New Roman"/>
                <w:spacing w:val="1"/>
                <w:szCs w:val="21"/>
              </w:rPr>
              <w:t xml:space="preserve"> 10</w:t>
            </w:r>
            <w:r>
              <w:rPr>
                <w:rFonts w:hint="eastAsia"/>
                <w:spacing w:val="1"/>
                <w:szCs w:val="21"/>
              </w:rPr>
              <w:t xml:space="preserve">     </w:t>
            </w:r>
            <w:r>
              <w:rPr>
                <w:rFonts w:eastAsia="Times New Roman"/>
                <w:spacing w:val="1"/>
                <w:szCs w:val="21"/>
              </w:rPr>
              <w:t>20</w:t>
            </w:r>
            <w:r>
              <w:rPr>
                <w:rFonts w:hint="eastAsia"/>
                <w:spacing w:val="1"/>
                <w:szCs w:val="21"/>
              </w:rPr>
              <w:t xml:space="preserve">     </w:t>
            </w:r>
            <w:r>
              <w:rPr>
                <w:rFonts w:eastAsia="Times New Roman"/>
                <w:spacing w:val="1"/>
                <w:szCs w:val="21"/>
              </w:rPr>
              <w:t>30</w:t>
            </w:r>
            <w:r>
              <w:rPr>
                <w:rFonts w:hint="eastAsia"/>
                <w:spacing w:val="1"/>
                <w:szCs w:val="21"/>
              </w:rPr>
              <w:t xml:space="preserve">      </w:t>
            </w:r>
            <w:r>
              <w:rPr>
                <w:rFonts w:eastAsia="Times New Roman"/>
                <w:spacing w:val="1"/>
                <w:szCs w:val="21"/>
              </w:rPr>
              <w:t>40</w:t>
            </w:r>
            <w:r>
              <w:rPr>
                <w:rFonts w:hint="eastAsia"/>
                <w:spacing w:val="1"/>
                <w:szCs w:val="21"/>
              </w:rPr>
              <w:t xml:space="preserve">     </w:t>
            </w:r>
            <w:r>
              <w:rPr>
                <w:rFonts w:eastAsia="Times New Roman"/>
                <w:spacing w:val="1"/>
                <w:szCs w:val="21"/>
              </w:rPr>
              <w:t xml:space="preserve"> 50 </w:t>
            </w:r>
            <w:r>
              <w:rPr>
                <w:rFonts w:hint="eastAsia"/>
                <w:spacing w:val="1"/>
                <w:szCs w:val="21"/>
              </w:rPr>
              <w:t xml:space="preserve">     </w:t>
            </w:r>
            <w:r>
              <w:rPr>
                <w:rFonts w:eastAsia="Times New Roman"/>
                <w:spacing w:val="1"/>
                <w:szCs w:val="21"/>
              </w:rPr>
              <w:t>60</w:t>
            </w:r>
            <w:r>
              <w:rPr>
                <w:rFonts w:hint="eastAsia"/>
                <w:spacing w:val="1"/>
                <w:szCs w:val="21"/>
              </w:rPr>
              <w:t xml:space="preserve">    </w:t>
            </w:r>
            <w:r>
              <w:rPr>
                <w:rFonts w:eastAsia="Times New Roman"/>
                <w:spacing w:val="1"/>
                <w:szCs w:val="21"/>
              </w:rPr>
              <w:t xml:space="preserve"> 70 </w:t>
            </w:r>
            <w:r>
              <w:rPr>
                <w:rFonts w:hint="eastAsia"/>
                <w:spacing w:val="1"/>
                <w:szCs w:val="21"/>
              </w:rPr>
              <w:t xml:space="preserve">     </w:t>
            </w:r>
            <w:r>
              <w:rPr>
                <w:rFonts w:eastAsia="Times New Roman"/>
                <w:spacing w:val="1"/>
                <w:szCs w:val="21"/>
              </w:rPr>
              <w:t>80</w:t>
            </w:r>
            <w:r>
              <w:rPr>
                <w:rFonts w:hint="eastAsia"/>
                <w:spacing w:val="1"/>
                <w:szCs w:val="21"/>
              </w:rPr>
              <w:t xml:space="preserve">     </w:t>
            </w:r>
            <w:r>
              <w:rPr>
                <w:rFonts w:eastAsia="Times New Roman"/>
                <w:spacing w:val="1"/>
                <w:szCs w:val="21"/>
              </w:rPr>
              <w:t>90</w:t>
            </w:r>
            <w:r>
              <w:rPr>
                <w:rFonts w:hint="eastAsia"/>
                <w:spacing w:val="1"/>
                <w:szCs w:val="21"/>
              </w:rPr>
              <w:t xml:space="preserve">  </w:t>
            </w:r>
            <w:r>
              <w:rPr>
                <w:rFonts w:eastAsia="Times New Roman"/>
                <w:szCs w:val="21"/>
              </w:rPr>
              <w:t xml:space="preserve"> </w:t>
            </w:r>
            <w:r>
              <w:rPr>
                <w:rFonts w:hint="eastAsia"/>
                <w:szCs w:val="21"/>
              </w:rPr>
              <w:t xml:space="preserve"> </w:t>
            </w:r>
            <w:r>
              <w:rPr>
                <w:rFonts w:eastAsia="Times New Roman"/>
                <w:szCs w:val="21"/>
              </w:rPr>
              <w:t>100</w:t>
            </w:r>
          </w:p>
          <w:p w14:paraId="1B21C4DA">
            <w:pPr>
              <w:rPr>
                <w:rFonts w:ascii="Arial"/>
              </w:rPr>
            </w:pPr>
          </w:p>
        </w:tc>
      </w:tr>
    </w:tbl>
    <w:p w14:paraId="0E0C3A6B">
      <w:pPr>
        <w:spacing w:before="176" w:line="235" w:lineRule="auto"/>
        <w:ind w:left="3426"/>
        <w:rPr>
          <w:rFonts w:ascii="宋体" w:hAnsi="宋体" w:cs="宋体"/>
          <w:szCs w:val="21"/>
        </w:rPr>
      </w:pPr>
      <w:r>
        <w:rPr>
          <w:rFonts w:ascii="宋体" w:hAnsi="宋体" w:cs="宋体"/>
          <w:spacing w:val="-1"/>
          <w:szCs w:val="21"/>
        </w:rPr>
        <w:t xml:space="preserve">工期历程的百分比 </w:t>
      </w:r>
      <w:r>
        <w:rPr>
          <w:rFonts w:ascii="宋体" w:hAnsi="宋体" w:cs="宋体"/>
          <w:szCs w:val="21"/>
        </w:rPr>
        <w:t>(</w:t>
      </w:r>
      <w:r>
        <w:rPr>
          <w:rFonts w:eastAsia="Times New Roman"/>
          <w:szCs w:val="21"/>
        </w:rPr>
        <w:t>%</w:t>
      </w:r>
      <w:r>
        <w:rPr>
          <w:rFonts w:ascii="宋体" w:hAnsi="宋体" w:cs="宋体"/>
          <w:szCs w:val="21"/>
        </w:rPr>
        <w:t>)</w:t>
      </w:r>
    </w:p>
    <w:p w14:paraId="7880B5BC">
      <w:pPr>
        <w:pStyle w:val="43"/>
        <w:shd w:val="clear" w:color="auto" w:fill="auto"/>
        <w:spacing w:after="184" w:line="360" w:lineRule="auto"/>
        <w:jc w:val="left"/>
        <w:rPr>
          <w:rFonts w:hint="eastAsia" w:ascii="宋体" w:hAnsi="宋体" w:eastAsia="宋体" w:cs="宋体"/>
        </w:rPr>
      </w:pPr>
    </w:p>
    <w:p w14:paraId="72252D30">
      <w:pPr>
        <w:pStyle w:val="43"/>
        <w:shd w:val="clear" w:color="auto" w:fill="auto"/>
        <w:spacing w:after="424" w:line="280" w:lineRule="exact"/>
        <w:ind w:left="260"/>
        <w:jc w:val="left"/>
        <w:rPr>
          <w:rFonts w:hint="eastAsia" w:ascii="宋体" w:hAnsi="宋体" w:eastAsia="宋体" w:cs="宋体"/>
        </w:rPr>
      </w:pPr>
      <w:r>
        <w:rPr>
          <w:rStyle w:val="48"/>
          <w:rFonts w:hint="eastAsia" w:ascii="宋体" w:hAnsi="宋体" w:eastAsia="宋体" w:cs="宋体"/>
          <w:color w:val="auto"/>
          <w:sz w:val="18"/>
          <w:szCs w:val="18"/>
        </w:rPr>
        <w:t>注：本表可根据项目情况自行调整</w:t>
      </w:r>
    </w:p>
    <w:p w14:paraId="366047C5">
      <w:pPr>
        <w:pStyle w:val="43"/>
        <w:shd w:val="clear" w:color="auto" w:fill="auto"/>
        <w:spacing w:after="424" w:line="280" w:lineRule="exact"/>
        <w:ind w:left="260"/>
        <w:jc w:val="left"/>
        <w:rPr>
          <w:rFonts w:hint="eastAsia" w:ascii="宋体" w:hAnsi="宋体" w:eastAsia="宋体" w:cs="宋体"/>
        </w:rPr>
      </w:pPr>
    </w:p>
    <w:p w14:paraId="69001395">
      <w:pPr>
        <w:pStyle w:val="43"/>
        <w:shd w:val="clear" w:color="auto" w:fill="auto"/>
        <w:spacing w:after="424" w:line="280" w:lineRule="exact"/>
        <w:ind w:left="260"/>
        <w:jc w:val="left"/>
        <w:rPr>
          <w:rFonts w:hint="eastAsia" w:ascii="宋体" w:hAnsi="宋体" w:eastAsia="宋体" w:cs="宋体"/>
        </w:rPr>
      </w:pPr>
    </w:p>
    <w:p w14:paraId="12A85F98">
      <w:pPr>
        <w:pStyle w:val="43"/>
        <w:shd w:val="clear" w:color="auto" w:fill="auto"/>
        <w:spacing w:after="364" w:line="360" w:lineRule="auto"/>
        <w:ind w:left="200"/>
        <w:jc w:val="left"/>
        <w:rPr>
          <w:rFonts w:hint="eastAsia" w:ascii="宋体" w:hAnsi="宋体" w:eastAsia="宋体" w:cs="宋体"/>
        </w:rPr>
        <w:sectPr>
          <w:pgSz w:w="11909" w:h="16838"/>
          <w:pgMar w:top="1418" w:right="1418" w:bottom="1418" w:left="1418" w:header="851" w:footer="964" w:gutter="0"/>
          <w:pgNumType w:fmt="decimal"/>
          <w:cols w:space="720" w:num="1"/>
          <w:docGrid w:linePitch="360" w:charSpace="0"/>
        </w:sectPr>
      </w:pPr>
      <w:bookmarkStart w:id="609" w:name="bookmark568"/>
      <w:bookmarkStart w:id="610" w:name="bookmark567"/>
    </w:p>
    <w:bookmarkEnd w:id="609"/>
    <w:bookmarkEnd w:id="610"/>
    <w:p w14:paraId="1E583CF1">
      <w:pPr>
        <w:pStyle w:val="43"/>
        <w:shd w:val="clear" w:color="auto" w:fill="auto"/>
        <w:spacing w:after="364" w:line="360" w:lineRule="auto"/>
        <w:ind w:left="200" w:leftChars="0"/>
        <w:jc w:val="left"/>
        <w:outlineLvl w:val="9"/>
        <w:rPr>
          <w:rFonts w:hint="eastAsia" w:ascii="宋体" w:hAnsi="宋体" w:eastAsia="宋体" w:cs="宋体"/>
        </w:rPr>
      </w:pPr>
      <w:bookmarkStart w:id="611" w:name="_Toc3841"/>
      <w:bookmarkStart w:id="612" w:name="_Toc22274"/>
      <w:r>
        <w:rPr>
          <w:rFonts w:hint="eastAsia" w:ascii="宋体" w:hAnsi="宋体" w:eastAsia="宋体" w:cs="宋体"/>
        </w:rPr>
        <w:t>附表四  分项工程生产率和施工周期表</w:t>
      </w:r>
      <w:bookmarkEnd w:id="611"/>
      <w:bookmarkEnd w:id="612"/>
    </w:p>
    <w:tbl>
      <w:tblPr>
        <w:tblStyle w:val="29"/>
        <w:tblW w:w="0" w:type="auto"/>
        <w:jc w:val="center"/>
        <w:tblLayout w:type="fixed"/>
        <w:tblCellMar>
          <w:top w:w="0" w:type="dxa"/>
          <w:left w:w="10" w:type="dxa"/>
          <w:bottom w:w="0" w:type="dxa"/>
          <w:right w:w="10" w:type="dxa"/>
        </w:tblCellMar>
      </w:tblPr>
      <w:tblGrid>
        <w:gridCol w:w="826"/>
        <w:gridCol w:w="1997"/>
        <w:gridCol w:w="898"/>
        <w:gridCol w:w="902"/>
        <w:gridCol w:w="2698"/>
        <w:gridCol w:w="2160"/>
        <w:gridCol w:w="2146"/>
        <w:gridCol w:w="2486"/>
      </w:tblGrid>
      <w:tr w14:paraId="488AB893">
        <w:tblPrEx>
          <w:tblCellMar>
            <w:top w:w="0" w:type="dxa"/>
            <w:left w:w="10" w:type="dxa"/>
            <w:bottom w:w="0" w:type="dxa"/>
            <w:right w:w="10" w:type="dxa"/>
          </w:tblCellMar>
        </w:tblPrEx>
        <w:trPr>
          <w:trHeight w:val="826" w:hRule="exact"/>
          <w:jc w:val="center"/>
        </w:trPr>
        <w:tc>
          <w:tcPr>
            <w:tcW w:w="826" w:type="dxa"/>
            <w:tcBorders>
              <w:top w:val="single" w:color="auto" w:sz="4" w:space="0"/>
              <w:left w:val="single" w:color="auto" w:sz="4" w:space="0"/>
            </w:tcBorders>
            <w:shd w:val="clear" w:color="auto" w:fill="FFFFFF"/>
            <w:noWrap w:val="0"/>
            <w:vAlign w:val="center"/>
          </w:tcPr>
          <w:p w14:paraId="653272D1">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4"/>
                <w:rFonts w:hint="eastAsia" w:ascii="宋体" w:hAnsi="宋体" w:eastAsia="宋体" w:cs="宋体"/>
                <w:color w:val="auto"/>
              </w:rPr>
              <w:t>序号</w:t>
            </w:r>
          </w:p>
        </w:tc>
        <w:tc>
          <w:tcPr>
            <w:tcW w:w="1997" w:type="dxa"/>
            <w:tcBorders>
              <w:top w:val="single" w:color="auto" w:sz="4" w:space="0"/>
              <w:left w:val="single" w:color="auto" w:sz="4" w:space="0"/>
            </w:tcBorders>
            <w:shd w:val="clear" w:color="auto" w:fill="FFFFFF"/>
            <w:noWrap w:val="0"/>
            <w:vAlign w:val="center"/>
          </w:tcPr>
          <w:p w14:paraId="67AEDDAF">
            <w:pPr>
              <w:pStyle w:val="32"/>
              <w:framePr w:w="14112" w:h="6013" w:hRule="exact" w:wrap="notBeside" w:vAnchor="text" w:hAnchor="text" w:xAlign="center" w:y="6"/>
              <w:shd w:val="clear" w:color="auto" w:fill="auto"/>
              <w:spacing w:before="0" w:line="240" w:lineRule="auto"/>
              <w:ind w:firstLine="0"/>
              <w:jc w:val="center"/>
              <w:rPr>
                <w:rFonts w:hint="eastAsia" w:ascii="宋体" w:hAnsi="宋体" w:eastAsia="宋体" w:cs="宋体"/>
              </w:rPr>
            </w:pPr>
            <w:r>
              <w:rPr>
                <w:rStyle w:val="44"/>
                <w:rFonts w:hint="eastAsia" w:ascii="宋体" w:hAnsi="宋体" w:eastAsia="宋体" w:cs="宋体"/>
                <w:color w:val="auto"/>
              </w:rPr>
              <w:t>工程项目</w:t>
            </w:r>
          </w:p>
        </w:tc>
        <w:tc>
          <w:tcPr>
            <w:tcW w:w="898" w:type="dxa"/>
            <w:tcBorders>
              <w:top w:val="single" w:color="auto" w:sz="4" w:space="0"/>
              <w:left w:val="single" w:color="auto" w:sz="4" w:space="0"/>
            </w:tcBorders>
            <w:shd w:val="clear" w:color="auto" w:fill="FFFFFF"/>
            <w:noWrap w:val="0"/>
            <w:vAlign w:val="center"/>
          </w:tcPr>
          <w:p w14:paraId="2D19465E">
            <w:pPr>
              <w:pStyle w:val="32"/>
              <w:framePr w:w="14112" w:h="6013" w:hRule="exact" w:wrap="notBeside" w:vAnchor="text" w:hAnchor="text" w:xAlign="center" w:y="6"/>
              <w:shd w:val="clear" w:color="auto" w:fill="auto"/>
              <w:spacing w:before="0" w:line="240" w:lineRule="auto"/>
              <w:ind w:left="300" w:firstLine="0"/>
              <w:jc w:val="both"/>
              <w:rPr>
                <w:rFonts w:hint="eastAsia" w:ascii="宋体" w:hAnsi="宋体" w:eastAsia="宋体" w:cs="宋体"/>
              </w:rPr>
            </w:pPr>
            <w:r>
              <w:rPr>
                <w:rStyle w:val="44"/>
                <w:rFonts w:hint="eastAsia" w:ascii="宋体" w:hAnsi="宋体" w:eastAsia="宋体" w:cs="宋体"/>
                <w:color w:val="auto"/>
              </w:rPr>
              <w:t>单位</w:t>
            </w:r>
          </w:p>
        </w:tc>
        <w:tc>
          <w:tcPr>
            <w:tcW w:w="902" w:type="dxa"/>
            <w:tcBorders>
              <w:top w:val="single" w:color="auto" w:sz="4" w:space="0"/>
              <w:left w:val="single" w:color="auto" w:sz="4" w:space="0"/>
            </w:tcBorders>
            <w:shd w:val="clear" w:color="auto" w:fill="FFFFFF"/>
            <w:noWrap w:val="0"/>
            <w:vAlign w:val="center"/>
          </w:tcPr>
          <w:p w14:paraId="675A5F03">
            <w:pPr>
              <w:pStyle w:val="32"/>
              <w:framePr w:w="14112" w:h="6013" w:hRule="exact" w:wrap="notBeside" w:vAnchor="text" w:hAnchor="text" w:xAlign="center" w:y="6"/>
              <w:shd w:val="clear" w:color="auto" w:fill="auto"/>
              <w:spacing w:before="0" w:line="240" w:lineRule="auto"/>
              <w:ind w:left="260" w:firstLine="0"/>
              <w:jc w:val="both"/>
              <w:rPr>
                <w:rFonts w:hint="eastAsia" w:ascii="宋体" w:hAnsi="宋体" w:eastAsia="宋体" w:cs="宋体"/>
              </w:rPr>
            </w:pPr>
            <w:r>
              <w:rPr>
                <w:rStyle w:val="44"/>
                <w:rFonts w:hint="eastAsia" w:ascii="宋体" w:hAnsi="宋体" w:eastAsia="宋体" w:cs="宋体"/>
                <w:color w:val="auto"/>
              </w:rPr>
              <w:t>数量</w:t>
            </w:r>
          </w:p>
        </w:tc>
        <w:tc>
          <w:tcPr>
            <w:tcW w:w="2698" w:type="dxa"/>
            <w:tcBorders>
              <w:top w:val="single" w:color="auto" w:sz="4" w:space="0"/>
              <w:left w:val="single" w:color="auto" w:sz="4" w:space="0"/>
            </w:tcBorders>
            <w:shd w:val="clear" w:color="auto" w:fill="FFFFFF"/>
            <w:noWrap w:val="0"/>
            <w:vAlign w:val="center"/>
          </w:tcPr>
          <w:p w14:paraId="4AB79260">
            <w:pPr>
              <w:pStyle w:val="32"/>
              <w:framePr w:w="14112" w:h="6013" w:hRule="exact" w:wrap="notBeside" w:vAnchor="text" w:hAnchor="text" w:xAlign="center" w:y="6"/>
              <w:shd w:val="clear" w:color="auto" w:fill="auto"/>
              <w:spacing w:before="0" w:line="240" w:lineRule="auto"/>
              <w:ind w:firstLine="0"/>
              <w:jc w:val="center"/>
              <w:rPr>
                <w:rFonts w:hint="eastAsia" w:ascii="宋体" w:hAnsi="宋体" w:eastAsia="宋体" w:cs="宋体"/>
              </w:rPr>
            </w:pPr>
            <w:r>
              <w:rPr>
                <w:rStyle w:val="44"/>
                <w:rFonts w:hint="eastAsia" w:ascii="宋体" w:hAnsi="宋体" w:eastAsia="宋体" w:cs="宋体"/>
                <w:color w:val="auto"/>
              </w:rPr>
              <w:t>平均每生产单位规模</w:t>
            </w:r>
            <w:r>
              <w:rPr>
                <w:rStyle w:val="44"/>
                <w:rFonts w:hint="eastAsia" w:ascii="宋体" w:hAnsi="宋体" w:eastAsia="宋体" w:cs="宋体"/>
                <w:color w:val="auto"/>
                <w:lang w:val="en-US"/>
              </w:rPr>
              <w:t>（</w:t>
            </w:r>
            <w:r>
              <w:rPr>
                <w:rStyle w:val="45"/>
                <w:rFonts w:hint="eastAsia" w:ascii="宋体" w:hAnsi="宋体" w:eastAsia="宋体" w:cs="宋体"/>
                <w:color w:val="auto"/>
                <w:lang w:val="en-US"/>
              </w:rPr>
              <w:t>_</w:t>
            </w:r>
            <w:r>
              <w:rPr>
                <w:rStyle w:val="44"/>
                <w:rFonts w:hint="eastAsia" w:ascii="宋体" w:hAnsi="宋体" w:eastAsia="宋体" w:cs="宋体"/>
                <w:color w:val="auto"/>
              </w:rPr>
              <w:t>人， 各种机械</w:t>
            </w:r>
            <w:r>
              <w:rPr>
                <w:rStyle w:val="45"/>
                <w:rFonts w:hint="eastAsia" w:ascii="宋体" w:hAnsi="宋体" w:eastAsia="宋体" w:cs="宋体"/>
                <w:color w:val="auto"/>
              </w:rPr>
              <w:t>_</w:t>
            </w:r>
            <w:r>
              <w:rPr>
                <w:rStyle w:val="44"/>
                <w:rFonts w:hint="eastAsia" w:ascii="宋体" w:hAnsi="宋体" w:eastAsia="宋体" w:cs="宋体"/>
                <w:color w:val="auto"/>
              </w:rPr>
              <w:t>台</w:t>
            </w:r>
            <w:r>
              <w:rPr>
                <w:rStyle w:val="44"/>
                <w:rFonts w:hint="eastAsia" w:ascii="宋体" w:hAnsi="宋体" w:eastAsia="宋体" w:cs="宋体"/>
                <w:color w:val="auto"/>
                <w:lang w:val="en-US"/>
              </w:rPr>
              <w:t>）</w:t>
            </w:r>
          </w:p>
        </w:tc>
        <w:tc>
          <w:tcPr>
            <w:tcW w:w="2160" w:type="dxa"/>
            <w:tcBorders>
              <w:top w:val="single" w:color="auto" w:sz="4" w:space="0"/>
              <w:left w:val="single" w:color="auto" w:sz="4" w:space="0"/>
            </w:tcBorders>
            <w:shd w:val="clear" w:color="auto" w:fill="FFFFFF"/>
            <w:noWrap w:val="0"/>
            <w:vAlign w:val="center"/>
          </w:tcPr>
          <w:p w14:paraId="31E5E3A8">
            <w:pPr>
              <w:pStyle w:val="32"/>
              <w:framePr w:w="14112" w:h="6013" w:hRule="exact" w:wrap="notBeside" w:vAnchor="text" w:hAnchor="text" w:xAlign="center" w:y="6"/>
              <w:shd w:val="clear" w:color="auto" w:fill="auto"/>
              <w:spacing w:before="0" w:line="240" w:lineRule="auto"/>
              <w:ind w:firstLine="0"/>
              <w:jc w:val="center"/>
              <w:rPr>
                <w:rFonts w:hint="eastAsia" w:ascii="宋体" w:hAnsi="宋体" w:eastAsia="宋体" w:cs="宋体"/>
              </w:rPr>
            </w:pPr>
            <w:r>
              <w:rPr>
                <w:rStyle w:val="44"/>
                <w:rFonts w:hint="eastAsia" w:ascii="宋体" w:hAnsi="宋体" w:eastAsia="宋体" w:cs="宋体"/>
                <w:color w:val="auto"/>
              </w:rPr>
              <w:t xml:space="preserve">平均每单位生产率 </w:t>
            </w:r>
            <w:r>
              <w:rPr>
                <w:rStyle w:val="45"/>
                <w:rFonts w:hint="eastAsia" w:ascii="宋体" w:hAnsi="宋体" w:eastAsia="宋体" w:cs="宋体"/>
                <w:color w:val="auto"/>
                <w:lang w:val="en-US"/>
              </w:rPr>
              <w:t>(</w:t>
            </w:r>
            <w:r>
              <w:rPr>
                <w:rStyle w:val="44"/>
                <w:rFonts w:hint="eastAsia" w:ascii="宋体" w:hAnsi="宋体" w:eastAsia="宋体" w:cs="宋体"/>
                <w:color w:val="auto"/>
              </w:rPr>
              <w:t>数量、每周）</w:t>
            </w:r>
          </w:p>
        </w:tc>
        <w:tc>
          <w:tcPr>
            <w:tcW w:w="2146" w:type="dxa"/>
            <w:tcBorders>
              <w:top w:val="single" w:color="auto" w:sz="4" w:space="0"/>
              <w:left w:val="single" w:color="auto" w:sz="4" w:space="0"/>
            </w:tcBorders>
            <w:shd w:val="clear" w:color="auto" w:fill="FFFFFF"/>
            <w:noWrap w:val="0"/>
            <w:vAlign w:val="center"/>
          </w:tcPr>
          <w:p w14:paraId="3B8AA041">
            <w:pPr>
              <w:pStyle w:val="32"/>
              <w:framePr w:w="14112" w:h="6013" w:hRule="exact" w:wrap="notBeside" w:vAnchor="text" w:hAnchor="text" w:xAlign="center" w:y="6"/>
              <w:shd w:val="clear" w:color="auto" w:fill="auto"/>
              <w:spacing w:before="0" w:line="240" w:lineRule="auto"/>
              <w:ind w:firstLine="0"/>
              <w:jc w:val="center"/>
              <w:rPr>
                <w:rFonts w:hint="eastAsia" w:ascii="宋体" w:hAnsi="宋体" w:eastAsia="宋体" w:cs="宋体"/>
              </w:rPr>
            </w:pPr>
            <w:r>
              <w:rPr>
                <w:rStyle w:val="44"/>
                <w:rFonts w:hint="eastAsia" w:ascii="宋体" w:hAnsi="宋体" w:eastAsia="宋体" w:cs="宋体"/>
                <w:color w:val="auto"/>
              </w:rPr>
              <w:t xml:space="preserve">每生产单位 </w:t>
            </w:r>
            <w:r>
              <w:rPr>
                <w:rStyle w:val="47"/>
                <w:rFonts w:hint="eastAsia" w:ascii="宋体" w:hAnsi="宋体" w:eastAsia="宋体" w:cs="宋体"/>
                <w:color w:val="auto"/>
              </w:rPr>
              <w:t>平均施工时间</w:t>
            </w:r>
            <w:r>
              <w:rPr>
                <w:rStyle w:val="47"/>
                <w:rFonts w:hint="eastAsia" w:ascii="宋体" w:hAnsi="宋体" w:eastAsia="宋体" w:cs="宋体"/>
                <w:color w:val="auto"/>
                <w:lang w:val="en-US"/>
              </w:rPr>
              <w:t>（</w:t>
            </w:r>
            <w:r>
              <w:rPr>
                <w:rStyle w:val="47"/>
                <w:rFonts w:hint="eastAsia" w:ascii="宋体" w:hAnsi="宋体" w:eastAsia="宋体" w:cs="宋体"/>
                <w:color w:val="auto"/>
              </w:rPr>
              <w:t>周）</w:t>
            </w:r>
          </w:p>
        </w:tc>
        <w:tc>
          <w:tcPr>
            <w:tcW w:w="2486" w:type="dxa"/>
            <w:tcBorders>
              <w:top w:val="single" w:color="auto" w:sz="4" w:space="0"/>
              <w:left w:val="single" w:color="auto" w:sz="4" w:space="0"/>
              <w:right w:val="single" w:color="auto" w:sz="4" w:space="0"/>
            </w:tcBorders>
            <w:shd w:val="clear" w:color="auto" w:fill="FFFFFF"/>
            <w:noWrap w:val="0"/>
            <w:vAlign w:val="center"/>
          </w:tcPr>
          <w:p w14:paraId="6C7AFE89">
            <w:pPr>
              <w:pStyle w:val="32"/>
              <w:framePr w:w="14112" w:h="6013" w:hRule="exact" w:wrap="notBeside" w:vAnchor="text" w:hAnchor="text" w:xAlign="center" w:y="6"/>
              <w:shd w:val="clear" w:color="auto" w:fill="auto"/>
              <w:spacing w:before="0" w:after="180" w:line="240" w:lineRule="auto"/>
              <w:ind w:firstLine="0"/>
              <w:jc w:val="center"/>
              <w:rPr>
                <w:rFonts w:hint="eastAsia" w:ascii="宋体" w:hAnsi="宋体" w:eastAsia="宋体" w:cs="宋体"/>
              </w:rPr>
            </w:pPr>
            <w:r>
              <w:rPr>
                <w:rStyle w:val="44"/>
                <w:rFonts w:hint="eastAsia" w:ascii="宋体" w:hAnsi="宋体" w:eastAsia="宋体" w:cs="宋体"/>
                <w:color w:val="auto"/>
              </w:rPr>
              <w:t>生产单位总数</w:t>
            </w:r>
          </w:p>
          <w:p w14:paraId="74F9721F">
            <w:pPr>
              <w:pStyle w:val="32"/>
              <w:framePr w:w="14112" w:h="6013" w:hRule="exact" w:wrap="notBeside" w:vAnchor="text" w:hAnchor="text" w:xAlign="center" w:y="6"/>
              <w:shd w:val="clear" w:color="auto" w:fill="auto"/>
              <w:spacing w:before="180" w:line="240" w:lineRule="auto"/>
              <w:ind w:firstLine="0"/>
              <w:jc w:val="center"/>
              <w:rPr>
                <w:rFonts w:hint="eastAsia" w:ascii="宋体" w:hAnsi="宋体" w:eastAsia="宋体" w:cs="宋体"/>
              </w:rPr>
            </w:pPr>
            <w:r>
              <w:rPr>
                <w:rStyle w:val="45"/>
                <w:rFonts w:hint="eastAsia" w:ascii="宋体" w:hAnsi="宋体" w:eastAsia="宋体" w:cs="宋体"/>
                <w:color w:val="auto"/>
                <w:lang w:val="en-US"/>
              </w:rPr>
              <w:t>(</w:t>
            </w:r>
            <w:r>
              <w:rPr>
                <w:rStyle w:val="44"/>
                <w:rFonts w:hint="eastAsia" w:ascii="宋体" w:hAnsi="宋体" w:eastAsia="宋体" w:cs="宋体"/>
                <w:color w:val="auto"/>
              </w:rPr>
              <w:t>个）</w:t>
            </w:r>
          </w:p>
        </w:tc>
      </w:tr>
      <w:tr w14:paraId="3241EC82">
        <w:tblPrEx>
          <w:tblCellMar>
            <w:top w:w="0" w:type="dxa"/>
            <w:left w:w="10" w:type="dxa"/>
            <w:bottom w:w="0" w:type="dxa"/>
            <w:right w:w="10" w:type="dxa"/>
          </w:tblCellMar>
        </w:tblPrEx>
        <w:trPr>
          <w:trHeight w:val="451" w:hRule="exact"/>
          <w:jc w:val="center"/>
        </w:trPr>
        <w:tc>
          <w:tcPr>
            <w:tcW w:w="826" w:type="dxa"/>
            <w:tcBorders>
              <w:top w:val="single" w:color="auto" w:sz="4" w:space="0"/>
              <w:left w:val="single" w:color="auto" w:sz="4" w:space="0"/>
            </w:tcBorders>
            <w:shd w:val="clear" w:color="auto" w:fill="FFFFFF"/>
            <w:noWrap w:val="0"/>
            <w:vAlign w:val="center"/>
          </w:tcPr>
          <w:p w14:paraId="7643D799">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1</w:t>
            </w:r>
          </w:p>
        </w:tc>
        <w:tc>
          <w:tcPr>
            <w:tcW w:w="1997" w:type="dxa"/>
            <w:tcBorders>
              <w:top w:val="single" w:color="auto" w:sz="4" w:space="0"/>
              <w:left w:val="single" w:color="auto" w:sz="4" w:space="0"/>
            </w:tcBorders>
            <w:shd w:val="clear" w:color="auto" w:fill="FFFFFF"/>
            <w:noWrap w:val="0"/>
            <w:vAlign w:val="center"/>
          </w:tcPr>
          <w:p w14:paraId="68F910DB">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特殊路基处理</w:t>
            </w:r>
          </w:p>
        </w:tc>
        <w:tc>
          <w:tcPr>
            <w:tcW w:w="898" w:type="dxa"/>
            <w:tcBorders>
              <w:top w:val="single" w:color="auto" w:sz="4" w:space="0"/>
              <w:left w:val="single" w:color="auto" w:sz="4" w:space="0"/>
            </w:tcBorders>
            <w:shd w:val="clear" w:color="auto" w:fill="FFFFFF"/>
            <w:noWrap w:val="0"/>
            <w:vAlign w:val="center"/>
          </w:tcPr>
          <w:p w14:paraId="20C5F2AD">
            <w:pPr>
              <w:pStyle w:val="32"/>
              <w:framePr w:w="14112" w:h="6013" w:hRule="exact" w:wrap="notBeside" w:vAnchor="text" w:hAnchor="text" w:xAlign="center" w:y="6"/>
              <w:shd w:val="clear" w:color="auto" w:fill="auto"/>
              <w:spacing w:before="0" w:line="240" w:lineRule="auto"/>
              <w:ind w:firstLine="0"/>
              <w:jc w:val="center"/>
              <w:rPr>
                <w:rFonts w:hint="eastAsia" w:ascii="宋体" w:hAnsi="宋体" w:eastAsia="宋体" w:cs="宋体"/>
              </w:rPr>
            </w:pPr>
            <w:r>
              <w:rPr>
                <w:rStyle w:val="45"/>
                <w:rFonts w:hint="eastAsia" w:ascii="宋体" w:hAnsi="宋体" w:eastAsia="宋体" w:cs="宋体"/>
                <w:color w:val="auto"/>
                <w:lang w:val="en-US"/>
              </w:rPr>
              <w:t>km</w:t>
            </w:r>
          </w:p>
        </w:tc>
        <w:tc>
          <w:tcPr>
            <w:tcW w:w="902" w:type="dxa"/>
            <w:tcBorders>
              <w:top w:val="single" w:color="auto" w:sz="4" w:space="0"/>
              <w:left w:val="single" w:color="auto" w:sz="4" w:space="0"/>
            </w:tcBorders>
            <w:shd w:val="clear" w:color="auto" w:fill="FFFFFF"/>
            <w:noWrap w:val="0"/>
            <w:vAlign w:val="center"/>
          </w:tcPr>
          <w:p w14:paraId="00F6198D">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5E8C9C92">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536F0B3A">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7B087BFA">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0CF72489">
            <w:pPr>
              <w:framePr w:w="14112" w:h="6013" w:hRule="exact" w:wrap="notBeside" w:vAnchor="text" w:hAnchor="text" w:xAlign="center" w:y="6"/>
              <w:rPr>
                <w:rFonts w:hint="eastAsia" w:ascii="宋体" w:hAnsi="宋体" w:cs="宋体"/>
                <w:sz w:val="10"/>
                <w:szCs w:val="10"/>
              </w:rPr>
            </w:pPr>
          </w:p>
        </w:tc>
      </w:tr>
      <w:tr w14:paraId="4174B94B">
        <w:tblPrEx>
          <w:tblCellMar>
            <w:top w:w="0" w:type="dxa"/>
            <w:left w:w="10" w:type="dxa"/>
            <w:bottom w:w="0" w:type="dxa"/>
            <w:right w:w="10" w:type="dxa"/>
          </w:tblCellMar>
        </w:tblPrEx>
        <w:trPr>
          <w:trHeight w:val="456" w:hRule="exact"/>
          <w:jc w:val="center"/>
        </w:trPr>
        <w:tc>
          <w:tcPr>
            <w:tcW w:w="826" w:type="dxa"/>
            <w:tcBorders>
              <w:top w:val="single" w:color="auto" w:sz="4" w:space="0"/>
              <w:left w:val="single" w:color="auto" w:sz="4" w:space="0"/>
            </w:tcBorders>
            <w:shd w:val="clear" w:color="auto" w:fill="FFFFFF"/>
            <w:noWrap w:val="0"/>
            <w:vAlign w:val="center"/>
          </w:tcPr>
          <w:p w14:paraId="7215E7B9">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2</w:t>
            </w:r>
          </w:p>
        </w:tc>
        <w:tc>
          <w:tcPr>
            <w:tcW w:w="1997" w:type="dxa"/>
            <w:tcBorders>
              <w:top w:val="single" w:color="auto" w:sz="4" w:space="0"/>
              <w:left w:val="single" w:color="auto" w:sz="4" w:space="0"/>
            </w:tcBorders>
            <w:shd w:val="clear" w:color="auto" w:fill="FFFFFF"/>
            <w:noWrap w:val="0"/>
            <w:vAlign w:val="center"/>
          </w:tcPr>
          <w:p w14:paraId="252FB429">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路基填筑</w:t>
            </w:r>
          </w:p>
        </w:tc>
        <w:tc>
          <w:tcPr>
            <w:tcW w:w="898" w:type="dxa"/>
            <w:tcBorders>
              <w:top w:val="single" w:color="auto" w:sz="4" w:space="0"/>
              <w:left w:val="single" w:color="auto" w:sz="4" w:space="0"/>
            </w:tcBorders>
            <w:shd w:val="clear" w:color="auto" w:fill="FFFFFF"/>
            <w:noWrap w:val="0"/>
            <w:vAlign w:val="center"/>
          </w:tcPr>
          <w:p w14:paraId="3C360071">
            <w:pPr>
              <w:pStyle w:val="32"/>
              <w:framePr w:w="14112" w:h="6013" w:hRule="exact" w:wrap="notBeside" w:vAnchor="text" w:hAnchor="text" w:xAlign="center" w:y="6"/>
              <w:shd w:val="clear" w:color="auto" w:fill="auto"/>
              <w:spacing w:before="0" w:line="170" w:lineRule="exact"/>
              <w:ind w:left="300" w:firstLine="0"/>
              <w:jc w:val="both"/>
              <w:rPr>
                <w:rFonts w:hint="eastAsia" w:ascii="宋体" w:hAnsi="宋体" w:eastAsia="宋体" w:cs="宋体"/>
              </w:rPr>
            </w:pPr>
            <w:r>
              <w:rPr>
                <w:rStyle w:val="44"/>
                <w:rFonts w:hint="eastAsia" w:ascii="宋体" w:hAnsi="宋体" w:eastAsia="宋体" w:cs="宋体"/>
                <w:color w:val="auto"/>
              </w:rPr>
              <w:t>万</w:t>
            </w:r>
            <w:r>
              <w:rPr>
                <w:rStyle w:val="45"/>
                <w:rFonts w:hint="eastAsia" w:ascii="宋体" w:hAnsi="宋体" w:eastAsia="宋体" w:cs="宋体"/>
                <w:color w:val="auto"/>
                <w:lang w:val="en-US"/>
              </w:rPr>
              <w:t>m</w:t>
            </w:r>
            <w:r>
              <w:rPr>
                <w:rStyle w:val="45"/>
                <w:rFonts w:hint="eastAsia" w:ascii="宋体" w:hAnsi="宋体" w:eastAsia="宋体" w:cs="宋体"/>
                <w:color w:val="auto"/>
                <w:vertAlign w:val="superscript"/>
                <w:lang w:val="en-US"/>
              </w:rPr>
              <w:t>3</w:t>
            </w:r>
          </w:p>
        </w:tc>
        <w:tc>
          <w:tcPr>
            <w:tcW w:w="902" w:type="dxa"/>
            <w:tcBorders>
              <w:top w:val="single" w:color="auto" w:sz="4" w:space="0"/>
              <w:left w:val="single" w:color="auto" w:sz="4" w:space="0"/>
            </w:tcBorders>
            <w:shd w:val="clear" w:color="auto" w:fill="FFFFFF"/>
            <w:noWrap w:val="0"/>
            <w:vAlign w:val="center"/>
          </w:tcPr>
          <w:p w14:paraId="40B41458">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58A2B5EF">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07453FC5">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1E411160">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2A762D36">
            <w:pPr>
              <w:framePr w:w="14112" w:h="6013" w:hRule="exact" w:wrap="notBeside" w:vAnchor="text" w:hAnchor="text" w:xAlign="center" w:y="6"/>
              <w:rPr>
                <w:rFonts w:hint="eastAsia" w:ascii="宋体" w:hAnsi="宋体" w:cs="宋体"/>
                <w:sz w:val="10"/>
                <w:szCs w:val="10"/>
              </w:rPr>
            </w:pPr>
          </w:p>
        </w:tc>
      </w:tr>
      <w:tr w14:paraId="1D6EFCBE">
        <w:tblPrEx>
          <w:tblCellMar>
            <w:top w:w="0" w:type="dxa"/>
            <w:left w:w="10" w:type="dxa"/>
            <w:bottom w:w="0" w:type="dxa"/>
            <w:right w:w="10" w:type="dxa"/>
          </w:tblCellMar>
        </w:tblPrEx>
        <w:trPr>
          <w:trHeight w:val="456" w:hRule="exact"/>
          <w:jc w:val="center"/>
        </w:trPr>
        <w:tc>
          <w:tcPr>
            <w:tcW w:w="826" w:type="dxa"/>
            <w:tcBorders>
              <w:top w:val="single" w:color="auto" w:sz="4" w:space="0"/>
              <w:left w:val="single" w:color="auto" w:sz="4" w:space="0"/>
            </w:tcBorders>
            <w:shd w:val="clear" w:color="auto" w:fill="FFFFFF"/>
            <w:noWrap w:val="0"/>
            <w:vAlign w:val="center"/>
          </w:tcPr>
          <w:p w14:paraId="14323129">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3</w:t>
            </w:r>
          </w:p>
        </w:tc>
        <w:tc>
          <w:tcPr>
            <w:tcW w:w="1997" w:type="dxa"/>
            <w:tcBorders>
              <w:top w:val="single" w:color="auto" w:sz="4" w:space="0"/>
              <w:left w:val="single" w:color="auto" w:sz="4" w:space="0"/>
            </w:tcBorders>
            <w:shd w:val="clear" w:color="auto" w:fill="FFFFFF"/>
            <w:noWrap w:val="0"/>
            <w:vAlign w:val="center"/>
          </w:tcPr>
          <w:p w14:paraId="18205D23">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路面基层</w:t>
            </w:r>
          </w:p>
        </w:tc>
        <w:tc>
          <w:tcPr>
            <w:tcW w:w="898" w:type="dxa"/>
            <w:tcBorders>
              <w:top w:val="single" w:color="auto" w:sz="4" w:space="0"/>
              <w:left w:val="single" w:color="auto" w:sz="4" w:space="0"/>
            </w:tcBorders>
            <w:shd w:val="clear" w:color="auto" w:fill="FFFFFF"/>
            <w:noWrap w:val="0"/>
            <w:vAlign w:val="center"/>
          </w:tcPr>
          <w:p w14:paraId="23187785">
            <w:pPr>
              <w:pStyle w:val="32"/>
              <w:framePr w:w="14112" w:h="6013" w:hRule="exact" w:wrap="notBeside" w:vAnchor="text" w:hAnchor="text" w:xAlign="center" w:y="6"/>
              <w:shd w:val="clear" w:color="auto" w:fill="auto"/>
              <w:spacing w:before="0" w:line="170" w:lineRule="exact"/>
              <w:ind w:left="300" w:firstLine="0"/>
              <w:jc w:val="both"/>
              <w:rPr>
                <w:rFonts w:hint="eastAsia" w:ascii="宋体" w:hAnsi="宋体" w:eastAsia="宋体" w:cs="宋体"/>
              </w:rPr>
            </w:pPr>
            <w:r>
              <w:rPr>
                <w:rStyle w:val="44"/>
                <w:rFonts w:hint="eastAsia" w:ascii="宋体" w:hAnsi="宋体" w:eastAsia="宋体" w:cs="宋体"/>
                <w:color w:val="auto"/>
              </w:rPr>
              <w:t>万</w:t>
            </w:r>
            <w:r>
              <w:rPr>
                <w:rStyle w:val="45"/>
                <w:rFonts w:hint="eastAsia" w:ascii="宋体" w:hAnsi="宋体" w:eastAsia="宋体" w:cs="宋体"/>
                <w:color w:val="auto"/>
                <w:lang w:val="en-US"/>
              </w:rPr>
              <w:t>m</w:t>
            </w:r>
            <w:r>
              <w:rPr>
                <w:rStyle w:val="45"/>
                <w:rFonts w:hint="eastAsia" w:ascii="宋体" w:hAnsi="宋体" w:eastAsia="宋体" w:cs="宋体"/>
                <w:color w:val="auto"/>
                <w:vertAlign w:val="superscript"/>
                <w:lang w:val="en-US"/>
              </w:rPr>
              <w:t>2</w:t>
            </w:r>
          </w:p>
        </w:tc>
        <w:tc>
          <w:tcPr>
            <w:tcW w:w="902" w:type="dxa"/>
            <w:tcBorders>
              <w:top w:val="single" w:color="auto" w:sz="4" w:space="0"/>
              <w:left w:val="single" w:color="auto" w:sz="4" w:space="0"/>
            </w:tcBorders>
            <w:shd w:val="clear" w:color="auto" w:fill="FFFFFF"/>
            <w:noWrap w:val="0"/>
            <w:vAlign w:val="center"/>
          </w:tcPr>
          <w:p w14:paraId="34DCF425">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02CC7D0C">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4CC9F3F0">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7718909F">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5BF0229D">
            <w:pPr>
              <w:framePr w:w="14112" w:h="6013" w:hRule="exact" w:wrap="notBeside" w:vAnchor="text" w:hAnchor="text" w:xAlign="center" w:y="6"/>
              <w:rPr>
                <w:rFonts w:hint="eastAsia" w:ascii="宋体" w:hAnsi="宋体" w:cs="宋体"/>
                <w:sz w:val="10"/>
                <w:szCs w:val="10"/>
              </w:rPr>
            </w:pPr>
          </w:p>
        </w:tc>
      </w:tr>
      <w:tr w14:paraId="6213450B">
        <w:tblPrEx>
          <w:tblCellMar>
            <w:top w:w="0" w:type="dxa"/>
            <w:left w:w="10" w:type="dxa"/>
            <w:bottom w:w="0" w:type="dxa"/>
            <w:right w:w="10" w:type="dxa"/>
          </w:tblCellMar>
        </w:tblPrEx>
        <w:trPr>
          <w:trHeight w:val="456" w:hRule="exact"/>
          <w:jc w:val="center"/>
        </w:trPr>
        <w:tc>
          <w:tcPr>
            <w:tcW w:w="826" w:type="dxa"/>
            <w:tcBorders>
              <w:top w:val="single" w:color="auto" w:sz="4" w:space="0"/>
              <w:left w:val="single" w:color="auto" w:sz="4" w:space="0"/>
            </w:tcBorders>
            <w:shd w:val="clear" w:color="auto" w:fill="FFFFFF"/>
            <w:noWrap w:val="0"/>
            <w:vAlign w:val="center"/>
          </w:tcPr>
          <w:p w14:paraId="146871C0">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4</w:t>
            </w:r>
          </w:p>
        </w:tc>
        <w:tc>
          <w:tcPr>
            <w:tcW w:w="1997" w:type="dxa"/>
            <w:tcBorders>
              <w:top w:val="single" w:color="auto" w:sz="4" w:space="0"/>
              <w:left w:val="single" w:color="auto" w:sz="4" w:space="0"/>
            </w:tcBorders>
            <w:shd w:val="clear" w:color="auto" w:fill="FFFFFF"/>
            <w:noWrap w:val="0"/>
            <w:vAlign w:val="center"/>
          </w:tcPr>
          <w:p w14:paraId="60D2EB28">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路面面层</w:t>
            </w:r>
          </w:p>
        </w:tc>
        <w:tc>
          <w:tcPr>
            <w:tcW w:w="898" w:type="dxa"/>
            <w:tcBorders>
              <w:top w:val="single" w:color="auto" w:sz="4" w:space="0"/>
              <w:left w:val="single" w:color="auto" w:sz="4" w:space="0"/>
            </w:tcBorders>
            <w:shd w:val="clear" w:color="auto" w:fill="FFFFFF"/>
            <w:noWrap w:val="0"/>
            <w:vAlign w:val="center"/>
          </w:tcPr>
          <w:p w14:paraId="708FBF2B">
            <w:pPr>
              <w:pStyle w:val="32"/>
              <w:framePr w:w="14112" w:h="6013" w:hRule="exact" w:wrap="notBeside" w:vAnchor="text" w:hAnchor="text" w:xAlign="center" w:y="6"/>
              <w:shd w:val="clear" w:color="auto" w:fill="auto"/>
              <w:spacing w:before="0" w:line="170" w:lineRule="exact"/>
              <w:ind w:left="300" w:firstLine="0"/>
              <w:jc w:val="both"/>
              <w:rPr>
                <w:rFonts w:hint="eastAsia" w:ascii="宋体" w:hAnsi="宋体" w:eastAsia="宋体" w:cs="宋体"/>
              </w:rPr>
            </w:pPr>
            <w:r>
              <w:rPr>
                <w:rStyle w:val="44"/>
                <w:rFonts w:hint="eastAsia" w:ascii="宋体" w:hAnsi="宋体" w:eastAsia="宋体" w:cs="宋体"/>
                <w:color w:val="auto"/>
              </w:rPr>
              <w:t>万</w:t>
            </w:r>
            <w:r>
              <w:rPr>
                <w:rStyle w:val="45"/>
                <w:rFonts w:hint="eastAsia" w:ascii="宋体" w:hAnsi="宋体" w:eastAsia="宋体" w:cs="宋体"/>
                <w:color w:val="auto"/>
                <w:lang w:val="en-US"/>
              </w:rPr>
              <w:t>m</w:t>
            </w:r>
            <w:r>
              <w:rPr>
                <w:rStyle w:val="45"/>
                <w:rFonts w:hint="eastAsia" w:ascii="宋体" w:hAnsi="宋体" w:eastAsia="宋体" w:cs="宋体"/>
                <w:color w:val="auto"/>
                <w:vertAlign w:val="superscript"/>
                <w:lang w:val="en-US"/>
              </w:rPr>
              <w:t>2</w:t>
            </w:r>
          </w:p>
        </w:tc>
        <w:tc>
          <w:tcPr>
            <w:tcW w:w="902" w:type="dxa"/>
            <w:tcBorders>
              <w:top w:val="single" w:color="auto" w:sz="4" w:space="0"/>
              <w:left w:val="single" w:color="auto" w:sz="4" w:space="0"/>
            </w:tcBorders>
            <w:shd w:val="clear" w:color="auto" w:fill="FFFFFF"/>
            <w:noWrap w:val="0"/>
            <w:vAlign w:val="center"/>
          </w:tcPr>
          <w:p w14:paraId="18E9BABC">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02117301">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57B4B3CD">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539C4DBF">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02DF4623">
            <w:pPr>
              <w:framePr w:w="14112" w:h="6013" w:hRule="exact" w:wrap="notBeside" w:vAnchor="text" w:hAnchor="text" w:xAlign="center" w:y="6"/>
              <w:rPr>
                <w:rFonts w:hint="eastAsia" w:ascii="宋体" w:hAnsi="宋体" w:cs="宋体"/>
                <w:sz w:val="10"/>
                <w:szCs w:val="10"/>
              </w:rPr>
            </w:pPr>
          </w:p>
        </w:tc>
      </w:tr>
      <w:tr w14:paraId="49899861">
        <w:tblPrEx>
          <w:tblCellMar>
            <w:top w:w="0" w:type="dxa"/>
            <w:left w:w="10" w:type="dxa"/>
            <w:bottom w:w="0" w:type="dxa"/>
            <w:right w:w="10" w:type="dxa"/>
          </w:tblCellMar>
        </w:tblPrEx>
        <w:trPr>
          <w:trHeight w:val="451" w:hRule="exact"/>
          <w:jc w:val="center"/>
        </w:trPr>
        <w:tc>
          <w:tcPr>
            <w:tcW w:w="826" w:type="dxa"/>
            <w:tcBorders>
              <w:top w:val="single" w:color="auto" w:sz="4" w:space="0"/>
              <w:left w:val="single" w:color="auto" w:sz="4" w:space="0"/>
            </w:tcBorders>
            <w:shd w:val="clear" w:color="auto" w:fill="FFFFFF"/>
            <w:noWrap w:val="0"/>
            <w:vAlign w:val="center"/>
          </w:tcPr>
          <w:p w14:paraId="5C584010">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5</w:t>
            </w:r>
          </w:p>
        </w:tc>
        <w:tc>
          <w:tcPr>
            <w:tcW w:w="1997" w:type="dxa"/>
            <w:tcBorders>
              <w:top w:val="single" w:color="auto" w:sz="4" w:space="0"/>
              <w:left w:val="single" w:color="auto" w:sz="4" w:space="0"/>
            </w:tcBorders>
            <w:shd w:val="clear" w:color="auto" w:fill="FFFFFF"/>
            <w:noWrap w:val="0"/>
            <w:vAlign w:val="center"/>
          </w:tcPr>
          <w:p w14:paraId="59E580C9">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路基防护及排水</w:t>
            </w:r>
          </w:p>
        </w:tc>
        <w:tc>
          <w:tcPr>
            <w:tcW w:w="898" w:type="dxa"/>
            <w:tcBorders>
              <w:top w:val="single" w:color="auto" w:sz="4" w:space="0"/>
              <w:left w:val="single" w:color="auto" w:sz="4" w:space="0"/>
            </w:tcBorders>
            <w:shd w:val="clear" w:color="auto" w:fill="FFFFFF"/>
            <w:noWrap w:val="0"/>
            <w:vAlign w:val="center"/>
          </w:tcPr>
          <w:p w14:paraId="19C90CFF">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lang w:val="en-US"/>
              </w:rPr>
              <w:t>km</w:t>
            </w:r>
          </w:p>
        </w:tc>
        <w:tc>
          <w:tcPr>
            <w:tcW w:w="902" w:type="dxa"/>
            <w:tcBorders>
              <w:top w:val="single" w:color="auto" w:sz="4" w:space="0"/>
              <w:left w:val="single" w:color="auto" w:sz="4" w:space="0"/>
            </w:tcBorders>
            <w:shd w:val="clear" w:color="auto" w:fill="FFFFFF"/>
            <w:noWrap w:val="0"/>
            <w:vAlign w:val="center"/>
          </w:tcPr>
          <w:p w14:paraId="489E6B97">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1D4915B2">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12E9A454">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196F734C">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6D51FD42">
            <w:pPr>
              <w:framePr w:w="14112" w:h="6013" w:hRule="exact" w:wrap="notBeside" w:vAnchor="text" w:hAnchor="text" w:xAlign="center" w:y="6"/>
              <w:rPr>
                <w:rFonts w:hint="eastAsia" w:ascii="宋体" w:hAnsi="宋体" w:cs="宋体"/>
                <w:sz w:val="10"/>
                <w:szCs w:val="10"/>
              </w:rPr>
            </w:pPr>
          </w:p>
        </w:tc>
      </w:tr>
      <w:tr w14:paraId="7A7237D9">
        <w:tblPrEx>
          <w:tblCellMar>
            <w:top w:w="0" w:type="dxa"/>
            <w:left w:w="10" w:type="dxa"/>
            <w:bottom w:w="0" w:type="dxa"/>
            <w:right w:w="10" w:type="dxa"/>
          </w:tblCellMar>
        </w:tblPrEx>
        <w:trPr>
          <w:trHeight w:val="456" w:hRule="exact"/>
          <w:jc w:val="center"/>
        </w:trPr>
        <w:tc>
          <w:tcPr>
            <w:tcW w:w="826" w:type="dxa"/>
            <w:tcBorders>
              <w:top w:val="single" w:color="auto" w:sz="4" w:space="0"/>
              <w:left w:val="single" w:color="auto" w:sz="4" w:space="0"/>
            </w:tcBorders>
            <w:shd w:val="clear" w:color="auto" w:fill="FFFFFF"/>
            <w:noWrap w:val="0"/>
            <w:vAlign w:val="center"/>
          </w:tcPr>
          <w:p w14:paraId="0047B881">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6</w:t>
            </w:r>
          </w:p>
        </w:tc>
        <w:tc>
          <w:tcPr>
            <w:tcW w:w="1997" w:type="dxa"/>
            <w:tcBorders>
              <w:top w:val="single" w:color="auto" w:sz="4" w:space="0"/>
              <w:left w:val="single" w:color="auto" w:sz="4" w:space="0"/>
            </w:tcBorders>
            <w:shd w:val="clear" w:color="auto" w:fill="FFFFFF"/>
            <w:noWrap w:val="0"/>
            <w:vAlign w:val="center"/>
          </w:tcPr>
          <w:p w14:paraId="675325A4">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涵洞</w:t>
            </w:r>
          </w:p>
        </w:tc>
        <w:tc>
          <w:tcPr>
            <w:tcW w:w="898" w:type="dxa"/>
            <w:tcBorders>
              <w:top w:val="single" w:color="auto" w:sz="4" w:space="0"/>
              <w:left w:val="single" w:color="auto" w:sz="4" w:space="0"/>
            </w:tcBorders>
            <w:shd w:val="clear" w:color="auto" w:fill="FFFFFF"/>
            <w:noWrap w:val="0"/>
            <w:vAlign w:val="center"/>
          </w:tcPr>
          <w:p w14:paraId="6F81DCCD">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4"/>
                <w:rFonts w:hint="eastAsia" w:ascii="宋体" w:hAnsi="宋体" w:eastAsia="宋体" w:cs="宋体"/>
                <w:color w:val="auto"/>
              </w:rPr>
              <w:t>道</w:t>
            </w:r>
          </w:p>
        </w:tc>
        <w:tc>
          <w:tcPr>
            <w:tcW w:w="902" w:type="dxa"/>
            <w:tcBorders>
              <w:top w:val="single" w:color="auto" w:sz="4" w:space="0"/>
              <w:left w:val="single" w:color="auto" w:sz="4" w:space="0"/>
            </w:tcBorders>
            <w:shd w:val="clear" w:color="auto" w:fill="FFFFFF"/>
            <w:noWrap w:val="0"/>
            <w:vAlign w:val="center"/>
          </w:tcPr>
          <w:p w14:paraId="4A1988E2">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00CC0666">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666259CA">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56CF8F8D">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559A1929">
            <w:pPr>
              <w:framePr w:w="14112" w:h="6013" w:hRule="exact" w:wrap="notBeside" w:vAnchor="text" w:hAnchor="text" w:xAlign="center" w:y="6"/>
              <w:rPr>
                <w:rFonts w:hint="eastAsia" w:ascii="宋体" w:hAnsi="宋体" w:cs="宋体"/>
                <w:sz w:val="10"/>
                <w:szCs w:val="10"/>
              </w:rPr>
            </w:pPr>
          </w:p>
        </w:tc>
      </w:tr>
      <w:tr w14:paraId="1F0910A5">
        <w:tblPrEx>
          <w:tblCellMar>
            <w:top w:w="0" w:type="dxa"/>
            <w:left w:w="10" w:type="dxa"/>
            <w:bottom w:w="0" w:type="dxa"/>
            <w:right w:w="10" w:type="dxa"/>
          </w:tblCellMar>
        </w:tblPrEx>
        <w:trPr>
          <w:trHeight w:val="456" w:hRule="exact"/>
          <w:jc w:val="center"/>
        </w:trPr>
        <w:tc>
          <w:tcPr>
            <w:tcW w:w="826" w:type="dxa"/>
            <w:tcBorders>
              <w:top w:val="single" w:color="auto" w:sz="4" w:space="0"/>
              <w:left w:val="single" w:color="auto" w:sz="4" w:space="0"/>
            </w:tcBorders>
            <w:shd w:val="clear" w:color="auto" w:fill="FFFFFF"/>
            <w:noWrap w:val="0"/>
            <w:vAlign w:val="center"/>
          </w:tcPr>
          <w:p w14:paraId="606A9606">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7</w:t>
            </w:r>
          </w:p>
        </w:tc>
        <w:tc>
          <w:tcPr>
            <w:tcW w:w="1997" w:type="dxa"/>
            <w:tcBorders>
              <w:top w:val="single" w:color="auto" w:sz="4" w:space="0"/>
              <w:left w:val="single" w:color="auto" w:sz="4" w:space="0"/>
            </w:tcBorders>
            <w:shd w:val="clear" w:color="auto" w:fill="FFFFFF"/>
            <w:noWrap w:val="0"/>
            <w:vAlign w:val="center"/>
          </w:tcPr>
          <w:p w14:paraId="3DE88DA9">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通道</w:t>
            </w:r>
          </w:p>
        </w:tc>
        <w:tc>
          <w:tcPr>
            <w:tcW w:w="898" w:type="dxa"/>
            <w:tcBorders>
              <w:top w:val="single" w:color="auto" w:sz="4" w:space="0"/>
              <w:left w:val="single" w:color="auto" w:sz="4" w:space="0"/>
            </w:tcBorders>
            <w:shd w:val="clear" w:color="auto" w:fill="FFFFFF"/>
            <w:noWrap w:val="0"/>
            <w:vAlign w:val="center"/>
          </w:tcPr>
          <w:p w14:paraId="01648B31">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4"/>
                <w:rFonts w:hint="eastAsia" w:ascii="宋体" w:hAnsi="宋体" w:eastAsia="宋体" w:cs="宋体"/>
                <w:color w:val="auto"/>
              </w:rPr>
              <w:t>道</w:t>
            </w:r>
          </w:p>
        </w:tc>
        <w:tc>
          <w:tcPr>
            <w:tcW w:w="902" w:type="dxa"/>
            <w:tcBorders>
              <w:top w:val="single" w:color="auto" w:sz="4" w:space="0"/>
              <w:left w:val="single" w:color="auto" w:sz="4" w:space="0"/>
            </w:tcBorders>
            <w:shd w:val="clear" w:color="auto" w:fill="FFFFFF"/>
            <w:noWrap w:val="0"/>
            <w:vAlign w:val="center"/>
          </w:tcPr>
          <w:p w14:paraId="70899AAB">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0FA08CDA">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79045E7C">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6DBCC433">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42474977">
            <w:pPr>
              <w:framePr w:w="14112" w:h="6013" w:hRule="exact" w:wrap="notBeside" w:vAnchor="text" w:hAnchor="text" w:xAlign="center" w:y="6"/>
              <w:rPr>
                <w:rFonts w:hint="eastAsia" w:ascii="宋体" w:hAnsi="宋体" w:cs="宋体"/>
                <w:sz w:val="10"/>
                <w:szCs w:val="10"/>
              </w:rPr>
            </w:pPr>
          </w:p>
        </w:tc>
      </w:tr>
      <w:tr w14:paraId="57178A53">
        <w:tblPrEx>
          <w:tblCellMar>
            <w:top w:w="0" w:type="dxa"/>
            <w:left w:w="10" w:type="dxa"/>
            <w:bottom w:w="0" w:type="dxa"/>
            <w:right w:w="10" w:type="dxa"/>
          </w:tblCellMar>
        </w:tblPrEx>
        <w:trPr>
          <w:trHeight w:val="456" w:hRule="exact"/>
          <w:jc w:val="center"/>
        </w:trPr>
        <w:tc>
          <w:tcPr>
            <w:tcW w:w="826" w:type="dxa"/>
            <w:tcBorders>
              <w:top w:val="single" w:color="auto" w:sz="4" w:space="0"/>
              <w:left w:val="single" w:color="auto" w:sz="4" w:space="0"/>
            </w:tcBorders>
            <w:shd w:val="clear" w:color="auto" w:fill="FFFFFF"/>
            <w:noWrap w:val="0"/>
            <w:vAlign w:val="center"/>
          </w:tcPr>
          <w:p w14:paraId="13C3AA68">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8</w:t>
            </w:r>
          </w:p>
        </w:tc>
        <w:tc>
          <w:tcPr>
            <w:tcW w:w="1997" w:type="dxa"/>
            <w:tcBorders>
              <w:top w:val="single" w:color="auto" w:sz="4" w:space="0"/>
              <w:left w:val="single" w:color="auto" w:sz="4" w:space="0"/>
            </w:tcBorders>
            <w:shd w:val="clear" w:color="auto" w:fill="FFFFFF"/>
            <w:noWrap w:val="0"/>
            <w:vAlign w:val="center"/>
          </w:tcPr>
          <w:p w14:paraId="3DD07887">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桥梁基桩</w:t>
            </w:r>
          </w:p>
        </w:tc>
        <w:tc>
          <w:tcPr>
            <w:tcW w:w="898" w:type="dxa"/>
            <w:tcBorders>
              <w:top w:val="single" w:color="auto" w:sz="4" w:space="0"/>
              <w:left w:val="single" w:color="auto" w:sz="4" w:space="0"/>
            </w:tcBorders>
            <w:shd w:val="clear" w:color="auto" w:fill="FFFFFF"/>
            <w:noWrap w:val="0"/>
            <w:vAlign w:val="center"/>
          </w:tcPr>
          <w:p w14:paraId="53B6A927">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4"/>
                <w:rFonts w:hint="eastAsia" w:ascii="宋体" w:hAnsi="宋体" w:eastAsia="宋体" w:cs="宋体"/>
                <w:color w:val="auto"/>
              </w:rPr>
              <w:t>根</w:t>
            </w:r>
          </w:p>
        </w:tc>
        <w:tc>
          <w:tcPr>
            <w:tcW w:w="902" w:type="dxa"/>
            <w:tcBorders>
              <w:top w:val="single" w:color="auto" w:sz="4" w:space="0"/>
              <w:left w:val="single" w:color="auto" w:sz="4" w:space="0"/>
            </w:tcBorders>
            <w:shd w:val="clear" w:color="auto" w:fill="FFFFFF"/>
            <w:noWrap w:val="0"/>
            <w:vAlign w:val="center"/>
          </w:tcPr>
          <w:p w14:paraId="22CAF764">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655E8002">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52FA78CB">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2FE02F41">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3453207E">
            <w:pPr>
              <w:framePr w:w="14112" w:h="6013" w:hRule="exact" w:wrap="notBeside" w:vAnchor="text" w:hAnchor="text" w:xAlign="center" w:y="6"/>
              <w:rPr>
                <w:rFonts w:hint="eastAsia" w:ascii="宋体" w:hAnsi="宋体" w:cs="宋体"/>
                <w:sz w:val="10"/>
                <w:szCs w:val="10"/>
              </w:rPr>
            </w:pPr>
          </w:p>
        </w:tc>
      </w:tr>
      <w:tr w14:paraId="3F9B9493">
        <w:tblPrEx>
          <w:tblCellMar>
            <w:top w:w="0" w:type="dxa"/>
            <w:left w:w="10" w:type="dxa"/>
            <w:bottom w:w="0" w:type="dxa"/>
            <w:right w:w="10" w:type="dxa"/>
          </w:tblCellMar>
        </w:tblPrEx>
        <w:trPr>
          <w:trHeight w:val="456" w:hRule="exact"/>
          <w:jc w:val="center"/>
        </w:trPr>
        <w:tc>
          <w:tcPr>
            <w:tcW w:w="826" w:type="dxa"/>
            <w:tcBorders>
              <w:top w:val="single" w:color="auto" w:sz="4" w:space="0"/>
              <w:left w:val="single" w:color="auto" w:sz="4" w:space="0"/>
            </w:tcBorders>
            <w:shd w:val="clear" w:color="auto" w:fill="FFFFFF"/>
            <w:noWrap w:val="0"/>
            <w:vAlign w:val="center"/>
          </w:tcPr>
          <w:p w14:paraId="10E6D82F">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9</w:t>
            </w:r>
          </w:p>
        </w:tc>
        <w:tc>
          <w:tcPr>
            <w:tcW w:w="1997" w:type="dxa"/>
            <w:tcBorders>
              <w:top w:val="single" w:color="auto" w:sz="4" w:space="0"/>
              <w:left w:val="single" w:color="auto" w:sz="4" w:space="0"/>
            </w:tcBorders>
            <w:shd w:val="clear" w:color="auto" w:fill="FFFFFF"/>
            <w:noWrap w:val="0"/>
            <w:vAlign w:val="center"/>
          </w:tcPr>
          <w:p w14:paraId="64C6C544">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桥梁墩台</w:t>
            </w:r>
          </w:p>
        </w:tc>
        <w:tc>
          <w:tcPr>
            <w:tcW w:w="898" w:type="dxa"/>
            <w:tcBorders>
              <w:top w:val="single" w:color="auto" w:sz="4" w:space="0"/>
              <w:left w:val="single" w:color="auto" w:sz="4" w:space="0"/>
            </w:tcBorders>
            <w:shd w:val="clear" w:color="auto" w:fill="FFFFFF"/>
            <w:noWrap w:val="0"/>
            <w:vAlign w:val="center"/>
          </w:tcPr>
          <w:p w14:paraId="460E0485">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4"/>
                <w:rFonts w:hint="eastAsia" w:ascii="宋体" w:hAnsi="宋体" w:eastAsia="宋体" w:cs="宋体"/>
                <w:color w:val="auto"/>
              </w:rPr>
              <w:t>座</w:t>
            </w:r>
          </w:p>
        </w:tc>
        <w:tc>
          <w:tcPr>
            <w:tcW w:w="902" w:type="dxa"/>
            <w:tcBorders>
              <w:top w:val="single" w:color="auto" w:sz="4" w:space="0"/>
              <w:left w:val="single" w:color="auto" w:sz="4" w:space="0"/>
            </w:tcBorders>
            <w:shd w:val="clear" w:color="auto" w:fill="FFFFFF"/>
            <w:noWrap w:val="0"/>
            <w:vAlign w:val="center"/>
          </w:tcPr>
          <w:p w14:paraId="053D7E7D">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tcBorders>
            <w:shd w:val="clear" w:color="auto" w:fill="FFFFFF"/>
            <w:noWrap w:val="0"/>
            <w:vAlign w:val="top"/>
          </w:tcPr>
          <w:p w14:paraId="42586767">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tcBorders>
            <w:shd w:val="clear" w:color="auto" w:fill="FFFFFF"/>
            <w:noWrap w:val="0"/>
            <w:vAlign w:val="top"/>
          </w:tcPr>
          <w:p w14:paraId="59CD0C45">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tcBorders>
            <w:shd w:val="clear" w:color="auto" w:fill="FFFFFF"/>
            <w:noWrap w:val="0"/>
            <w:vAlign w:val="top"/>
          </w:tcPr>
          <w:p w14:paraId="1211E0F3">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right w:val="single" w:color="auto" w:sz="4" w:space="0"/>
            </w:tcBorders>
            <w:shd w:val="clear" w:color="auto" w:fill="FFFFFF"/>
            <w:noWrap w:val="0"/>
            <w:vAlign w:val="top"/>
          </w:tcPr>
          <w:p w14:paraId="5A1D3798">
            <w:pPr>
              <w:framePr w:w="14112" w:h="6013" w:hRule="exact" w:wrap="notBeside" w:vAnchor="text" w:hAnchor="text" w:xAlign="center" w:y="6"/>
              <w:rPr>
                <w:rFonts w:hint="eastAsia" w:ascii="宋体" w:hAnsi="宋体" w:cs="宋体"/>
                <w:sz w:val="10"/>
                <w:szCs w:val="10"/>
              </w:rPr>
            </w:pPr>
          </w:p>
        </w:tc>
      </w:tr>
      <w:tr w14:paraId="2EC08192">
        <w:tblPrEx>
          <w:tblCellMar>
            <w:top w:w="0" w:type="dxa"/>
            <w:left w:w="10" w:type="dxa"/>
            <w:bottom w:w="0" w:type="dxa"/>
            <w:right w:w="10" w:type="dxa"/>
          </w:tblCellMar>
        </w:tblPrEx>
        <w:trPr>
          <w:trHeight w:val="466" w:hRule="exact"/>
          <w:jc w:val="center"/>
        </w:trPr>
        <w:tc>
          <w:tcPr>
            <w:tcW w:w="826" w:type="dxa"/>
            <w:tcBorders>
              <w:top w:val="single" w:color="auto" w:sz="4" w:space="0"/>
              <w:left w:val="single" w:color="auto" w:sz="4" w:space="0"/>
              <w:bottom w:val="single" w:color="auto" w:sz="4" w:space="0"/>
            </w:tcBorders>
            <w:shd w:val="clear" w:color="auto" w:fill="FFFFFF"/>
            <w:noWrap w:val="0"/>
            <w:vAlign w:val="center"/>
          </w:tcPr>
          <w:p w14:paraId="26147783">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5"/>
                <w:rFonts w:hint="eastAsia" w:ascii="宋体" w:hAnsi="宋体" w:eastAsia="宋体" w:cs="宋体"/>
                <w:color w:val="auto"/>
              </w:rPr>
              <w:t>10</w:t>
            </w:r>
          </w:p>
        </w:tc>
        <w:tc>
          <w:tcPr>
            <w:tcW w:w="1997" w:type="dxa"/>
            <w:tcBorders>
              <w:top w:val="single" w:color="auto" w:sz="4" w:space="0"/>
              <w:left w:val="single" w:color="auto" w:sz="4" w:space="0"/>
              <w:bottom w:val="single" w:color="auto" w:sz="4" w:space="0"/>
            </w:tcBorders>
            <w:shd w:val="clear" w:color="auto" w:fill="FFFFFF"/>
            <w:noWrap w:val="0"/>
            <w:vAlign w:val="center"/>
          </w:tcPr>
          <w:p w14:paraId="7DBE7DAA">
            <w:pPr>
              <w:pStyle w:val="32"/>
              <w:framePr w:w="14112" w:h="6013" w:hRule="exact" w:wrap="notBeside" w:vAnchor="text" w:hAnchor="text" w:xAlign="center" w:y="6"/>
              <w:shd w:val="clear" w:color="auto" w:fill="auto"/>
              <w:spacing w:before="0" w:line="240" w:lineRule="auto"/>
              <w:ind w:left="120" w:firstLine="0"/>
              <w:jc w:val="center"/>
              <w:rPr>
                <w:rFonts w:hint="eastAsia" w:ascii="宋体" w:hAnsi="宋体" w:eastAsia="宋体" w:cs="宋体"/>
              </w:rPr>
            </w:pPr>
            <w:r>
              <w:rPr>
                <w:rStyle w:val="44"/>
                <w:rFonts w:hint="eastAsia" w:ascii="宋体" w:hAnsi="宋体" w:eastAsia="宋体" w:cs="宋体"/>
                <w:color w:val="auto"/>
              </w:rPr>
              <w:t>梁体预制安装</w:t>
            </w:r>
          </w:p>
        </w:tc>
        <w:tc>
          <w:tcPr>
            <w:tcW w:w="898" w:type="dxa"/>
            <w:tcBorders>
              <w:top w:val="single" w:color="auto" w:sz="4" w:space="0"/>
              <w:left w:val="single" w:color="auto" w:sz="4" w:space="0"/>
              <w:bottom w:val="single" w:color="auto" w:sz="4" w:space="0"/>
            </w:tcBorders>
            <w:shd w:val="clear" w:color="auto" w:fill="FFFFFF"/>
            <w:noWrap w:val="0"/>
            <w:vAlign w:val="center"/>
          </w:tcPr>
          <w:p w14:paraId="20736836">
            <w:pPr>
              <w:pStyle w:val="32"/>
              <w:framePr w:w="14112" w:h="6013" w:hRule="exact" w:wrap="notBeside" w:vAnchor="text" w:hAnchor="text" w:xAlign="center" w:y="6"/>
              <w:shd w:val="clear" w:color="auto" w:fill="auto"/>
              <w:spacing w:before="0" w:line="170" w:lineRule="exact"/>
              <w:ind w:firstLine="0"/>
              <w:jc w:val="center"/>
              <w:rPr>
                <w:rFonts w:hint="eastAsia" w:ascii="宋体" w:hAnsi="宋体" w:eastAsia="宋体" w:cs="宋体"/>
              </w:rPr>
            </w:pPr>
            <w:r>
              <w:rPr>
                <w:rStyle w:val="44"/>
                <w:rFonts w:hint="eastAsia" w:ascii="宋体" w:hAnsi="宋体" w:eastAsia="宋体" w:cs="宋体"/>
                <w:color w:val="auto"/>
              </w:rPr>
              <w:t>片</w:t>
            </w:r>
          </w:p>
        </w:tc>
        <w:tc>
          <w:tcPr>
            <w:tcW w:w="902" w:type="dxa"/>
            <w:tcBorders>
              <w:top w:val="single" w:color="auto" w:sz="4" w:space="0"/>
              <w:left w:val="single" w:color="auto" w:sz="4" w:space="0"/>
              <w:bottom w:val="single" w:color="auto" w:sz="4" w:space="0"/>
            </w:tcBorders>
            <w:shd w:val="clear" w:color="auto" w:fill="FFFFFF"/>
            <w:noWrap w:val="0"/>
            <w:vAlign w:val="center"/>
          </w:tcPr>
          <w:p w14:paraId="6D9245B5">
            <w:pPr>
              <w:framePr w:w="14112" w:h="6013" w:hRule="exact" w:wrap="notBeside" w:vAnchor="text" w:hAnchor="text" w:xAlign="center" w:y="6"/>
              <w:jc w:val="center"/>
              <w:rPr>
                <w:rFonts w:hint="eastAsia" w:ascii="宋体" w:hAnsi="宋体" w:cs="宋体"/>
                <w:sz w:val="10"/>
                <w:szCs w:val="10"/>
              </w:rPr>
            </w:pPr>
          </w:p>
        </w:tc>
        <w:tc>
          <w:tcPr>
            <w:tcW w:w="2698" w:type="dxa"/>
            <w:tcBorders>
              <w:top w:val="single" w:color="auto" w:sz="4" w:space="0"/>
              <w:left w:val="single" w:color="auto" w:sz="4" w:space="0"/>
              <w:bottom w:val="single" w:color="auto" w:sz="4" w:space="0"/>
            </w:tcBorders>
            <w:shd w:val="clear" w:color="auto" w:fill="FFFFFF"/>
            <w:noWrap w:val="0"/>
            <w:vAlign w:val="top"/>
          </w:tcPr>
          <w:p w14:paraId="1C5A6DC1">
            <w:pPr>
              <w:framePr w:w="14112" w:h="6013" w:hRule="exact" w:wrap="notBeside" w:vAnchor="text" w:hAnchor="text" w:xAlign="center" w:y="6"/>
              <w:rPr>
                <w:rFonts w:hint="eastAsia" w:ascii="宋体" w:hAnsi="宋体" w:cs="宋体"/>
                <w:sz w:val="10"/>
                <w:szCs w:val="10"/>
              </w:rPr>
            </w:pPr>
          </w:p>
        </w:tc>
        <w:tc>
          <w:tcPr>
            <w:tcW w:w="2160" w:type="dxa"/>
            <w:tcBorders>
              <w:top w:val="single" w:color="auto" w:sz="4" w:space="0"/>
              <w:left w:val="single" w:color="auto" w:sz="4" w:space="0"/>
              <w:bottom w:val="single" w:color="auto" w:sz="4" w:space="0"/>
            </w:tcBorders>
            <w:shd w:val="clear" w:color="auto" w:fill="FFFFFF"/>
            <w:noWrap w:val="0"/>
            <w:vAlign w:val="top"/>
          </w:tcPr>
          <w:p w14:paraId="1B035BE8">
            <w:pPr>
              <w:framePr w:w="14112" w:h="6013" w:hRule="exact" w:wrap="notBeside" w:vAnchor="text" w:hAnchor="text" w:xAlign="center" w:y="6"/>
              <w:rPr>
                <w:rFonts w:hint="eastAsia" w:ascii="宋体" w:hAnsi="宋体" w:cs="宋体"/>
                <w:sz w:val="10"/>
                <w:szCs w:val="10"/>
              </w:rPr>
            </w:pPr>
          </w:p>
        </w:tc>
        <w:tc>
          <w:tcPr>
            <w:tcW w:w="2146" w:type="dxa"/>
            <w:tcBorders>
              <w:top w:val="single" w:color="auto" w:sz="4" w:space="0"/>
              <w:left w:val="single" w:color="auto" w:sz="4" w:space="0"/>
              <w:bottom w:val="single" w:color="auto" w:sz="4" w:space="0"/>
            </w:tcBorders>
            <w:shd w:val="clear" w:color="auto" w:fill="FFFFFF"/>
            <w:noWrap w:val="0"/>
            <w:vAlign w:val="top"/>
          </w:tcPr>
          <w:p w14:paraId="65CE182D">
            <w:pPr>
              <w:framePr w:w="14112" w:h="6013" w:hRule="exact" w:wrap="notBeside" w:vAnchor="text" w:hAnchor="text" w:xAlign="center" w:y="6"/>
              <w:rPr>
                <w:rFonts w:hint="eastAsia" w:ascii="宋体" w:hAnsi="宋体" w:cs="宋体"/>
                <w:sz w:val="10"/>
                <w:szCs w:val="10"/>
              </w:rPr>
            </w:pPr>
          </w:p>
        </w:tc>
        <w:tc>
          <w:tcPr>
            <w:tcW w:w="248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341D30DE">
            <w:pPr>
              <w:framePr w:w="14112" w:h="6013" w:hRule="exact" w:wrap="notBeside" w:vAnchor="text" w:hAnchor="text" w:xAlign="center" w:y="6"/>
              <w:rPr>
                <w:rFonts w:hint="eastAsia" w:ascii="宋体" w:hAnsi="宋体" w:cs="宋体"/>
                <w:sz w:val="10"/>
                <w:szCs w:val="10"/>
              </w:rPr>
            </w:pPr>
          </w:p>
        </w:tc>
      </w:tr>
    </w:tbl>
    <w:p w14:paraId="00A9D6A7">
      <w:pPr>
        <w:pStyle w:val="52"/>
        <w:framePr w:w="14112" w:h="6013" w:hRule="exact" w:wrap="notBeside" w:vAnchor="text" w:hAnchor="text" w:xAlign="center" w:y="6"/>
        <w:shd w:val="clear" w:color="auto" w:fill="auto"/>
        <w:spacing w:line="360" w:lineRule="auto"/>
        <w:jc w:val="left"/>
        <w:rPr>
          <w:rFonts w:ascii="宋体" w:hAnsi="宋体" w:eastAsia="宋体" w:cs="宋体"/>
        </w:rPr>
      </w:pPr>
      <w:r>
        <w:rPr>
          <w:rStyle w:val="53"/>
          <w:rFonts w:hint="eastAsia" w:ascii="宋体" w:hAnsi="宋体" w:eastAsia="宋体" w:cs="宋体"/>
          <w:color w:val="auto"/>
        </w:rPr>
        <w:t>注：</w:t>
      </w:r>
      <w:r>
        <w:rPr>
          <w:rStyle w:val="53"/>
          <w:rFonts w:hint="eastAsia" w:ascii="宋体" w:hAnsi="宋体" w:eastAsia="宋体" w:cs="宋体"/>
          <w:color w:val="auto"/>
          <w:lang w:val="en-US"/>
        </w:rPr>
        <w:t>1.</w:t>
      </w:r>
      <w:r>
        <w:rPr>
          <w:rStyle w:val="53"/>
          <w:rFonts w:hint="eastAsia" w:ascii="宋体" w:hAnsi="宋体" w:eastAsia="宋体" w:cs="宋体"/>
          <w:color w:val="auto"/>
        </w:rPr>
        <w:t>互通立交、分离立交的匝道、匝道涵洞、通道、桥梁分别归入表中相关的项目内。</w:t>
      </w:r>
      <w:r>
        <w:rPr>
          <w:rStyle w:val="53"/>
          <w:rFonts w:hint="eastAsia" w:ascii="宋体" w:hAnsi="宋体" w:eastAsia="宋体" w:cs="宋体"/>
          <w:color w:val="auto"/>
          <w:lang w:val="en-US"/>
        </w:rPr>
        <w:t>2.本表可根据项目情况自行调整</w:t>
      </w:r>
    </w:p>
    <w:p w14:paraId="25C2C8EE">
      <w:pPr>
        <w:numPr>
          <w:ilvl w:val="1"/>
          <w:numId w:val="0"/>
        </w:numPr>
        <w:tabs>
          <w:tab w:val="left" w:pos="1548"/>
        </w:tabs>
        <w:jc w:val="center"/>
        <w:rPr>
          <w:rFonts w:hint="eastAsia" w:ascii="宋体" w:hAnsi="宋体" w:cs="宋体"/>
          <w:b/>
          <w:bCs/>
          <w:sz w:val="24"/>
          <w:szCs w:val="21"/>
        </w:rPr>
      </w:pPr>
    </w:p>
    <w:p w14:paraId="2A11499C">
      <w:pPr>
        <w:pStyle w:val="43"/>
        <w:shd w:val="clear" w:color="auto" w:fill="auto"/>
        <w:spacing w:after="402" w:line="280" w:lineRule="exact"/>
        <w:jc w:val="left"/>
        <w:rPr>
          <w:rStyle w:val="54"/>
          <w:rFonts w:hint="eastAsia" w:ascii="宋体" w:hAnsi="宋体" w:eastAsia="宋体" w:cs="宋体"/>
          <w:color w:val="auto"/>
          <w:sz w:val="28"/>
          <w:szCs w:val="28"/>
          <w:lang w:eastAsia="zh-TW"/>
        </w:rPr>
        <w:sectPr>
          <w:pgSz w:w="16838" w:h="11909" w:orient="landscape"/>
          <w:pgMar w:top="1418" w:right="1418" w:bottom="1418" w:left="1418" w:header="851" w:footer="964" w:gutter="0"/>
          <w:pgNumType w:fmt="decimal"/>
          <w:cols w:space="720" w:num="1"/>
          <w:docGrid w:linePitch="360" w:charSpace="0"/>
        </w:sectPr>
      </w:pPr>
      <w:bookmarkStart w:id="613" w:name="bookmark569"/>
      <w:bookmarkStart w:id="614" w:name="bookmark570"/>
    </w:p>
    <w:p w14:paraId="485DCB55">
      <w:pPr>
        <w:pStyle w:val="43"/>
        <w:shd w:val="clear" w:color="auto" w:fill="auto"/>
        <w:spacing w:after="402" w:line="280" w:lineRule="exact"/>
        <w:jc w:val="left"/>
        <w:outlineLvl w:val="9"/>
        <w:rPr>
          <w:rStyle w:val="54"/>
          <w:rFonts w:hint="eastAsia" w:ascii="宋体" w:hAnsi="宋体" w:eastAsia="宋体" w:cs="宋体"/>
          <w:color w:val="auto"/>
          <w:sz w:val="28"/>
          <w:szCs w:val="28"/>
        </w:rPr>
      </w:pPr>
      <w:bookmarkStart w:id="615" w:name="_Toc28865"/>
      <w:bookmarkStart w:id="616" w:name="_Toc5622"/>
      <w:r>
        <w:rPr>
          <w:rStyle w:val="54"/>
          <w:rFonts w:hint="eastAsia" w:ascii="宋体" w:hAnsi="宋体" w:eastAsia="宋体" w:cs="宋体"/>
          <w:color w:val="auto"/>
          <w:sz w:val="28"/>
          <w:szCs w:val="28"/>
        </w:rPr>
        <w:t>附表五  施工总平面图</w:t>
      </w:r>
      <w:bookmarkEnd w:id="613"/>
      <w:bookmarkEnd w:id="614"/>
      <w:bookmarkEnd w:id="615"/>
      <w:bookmarkEnd w:id="616"/>
    </w:p>
    <w:p w14:paraId="0F37D35F">
      <w:pPr>
        <w:spacing w:line="360" w:lineRule="auto"/>
        <w:ind w:firstLine="420" w:firstLineChars="200"/>
        <w:rPr>
          <w:rFonts w:hint="eastAsia" w:ascii="宋体" w:hAnsi="宋体" w:cs="宋体"/>
          <w:szCs w:val="21"/>
        </w:rPr>
      </w:pPr>
      <w:r>
        <w:rPr>
          <w:rStyle w:val="54"/>
          <w:rFonts w:hint="eastAsia" w:ascii="宋体" w:hAnsi="宋体" w:eastAsia="宋体" w:cs="宋体"/>
          <w:color w:val="auto"/>
          <w:sz w:val="21"/>
          <w:szCs w:val="21"/>
        </w:rPr>
        <w:t>投标人应递交一份施工总平面图，绘出现场临时设施布置图表并附文字说明，说明施工营地、料场、临时设施、加工车间、现场办公、设备及仓储、供电、供水、卫生、生活、道路、消防等设施的情况和布置。</w:t>
      </w:r>
    </w:p>
    <w:p w14:paraId="7BE9289B">
      <w:pPr>
        <w:numPr>
          <w:ilvl w:val="1"/>
          <w:numId w:val="0"/>
        </w:numPr>
        <w:tabs>
          <w:tab w:val="left" w:pos="1548"/>
        </w:tabs>
        <w:jc w:val="center"/>
        <w:rPr>
          <w:rFonts w:hint="eastAsia" w:ascii="宋体" w:hAnsi="宋体" w:cs="宋体"/>
          <w:b/>
          <w:bCs/>
          <w:sz w:val="24"/>
          <w:szCs w:val="21"/>
        </w:rPr>
      </w:pPr>
    </w:p>
    <w:p w14:paraId="31E400CB">
      <w:pPr>
        <w:numPr>
          <w:ilvl w:val="1"/>
          <w:numId w:val="0"/>
        </w:numPr>
        <w:tabs>
          <w:tab w:val="left" w:pos="1548"/>
        </w:tabs>
        <w:jc w:val="center"/>
        <w:rPr>
          <w:rFonts w:hint="eastAsia" w:ascii="宋体" w:hAnsi="宋体" w:cs="宋体"/>
          <w:b/>
          <w:bCs/>
          <w:sz w:val="24"/>
          <w:szCs w:val="21"/>
        </w:rPr>
      </w:pPr>
    </w:p>
    <w:p w14:paraId="11F8F3DB">
      <w:pPr>
        <w:numPr>
          <w:ilvl w:val="1"/>
          <w:numId w:val="0"/>
        </w:numPr>
        <w:tabs>
          <w:tab w:val="left" w:pos="1548"/>
        </w:tabs>
        <w:jc w:val="center"/>
        <w:rPr>
          <w:rFonts w:hint="eastAsia" w:ascii="宋体" w:hAnsi="宋体" w:cs="宋体"/>
          <w:b/>
          <w:bCs/>
          <w:sz w:val="24"/>
          <w:szCs w:val="21"/>
        </w:rPr>
      </w:pPr>
    </w:p>
    <w:p w14:paraId="79BF71BC">
      <w:pPr>
        <w:pStyle w:val="43"/>
        <w:shd w:val="clear" w:color="auto" w:fill="auto"/>
        <w:spacing w:after="124" w:line="280" w:lineRule="exact"/>
        <w:ind w:left="140"/>
        <w:jc w:val="left"/>
        <w:rPr>
          <w:rFonts w:hint="eastAsia" w:ascii="宋体" w:hAnsi="宋体" w:eastAsia="宋体" w:cs="宋体"/>
          <w:b/>
          <w:bCs/>
          <w:sz w:val="24"/>
          <w:szCs w:val="21"/>
        </w:rPr>
      </w:pPr>
    </w:p>
    <w:p w14:paraId="46FCAAD2">
      <w:pPr>
        <w:rPr>
          <w:rFonts w:hint="eastAsia" w:ascii="宋体" w:hAnsi="宋体" w:cs="宋体"/>
          <w:b/>
          <w:bCs/>
          <w:sz w:val="24"/>
          <w:szCs w:val="21"/>
        </w:rPr>
      </w:pPr>
    </w:p>
    <w:p w14:paraId="41B104F3">
      <w:pPr>
        <w:rPr>
          <w:rFonts w:hint="eastAsia" w:ascii="宋体" w:hAnsi="宋体" w:cs="宋体"/>
          <w:b/>
          <w:bCs/>
          <w:sz w:val="24"/>
          <w:szCs w:val="21"/>
        </w:rPr>
      </w:pPr>
    </w:p>
    <w:p w14:paraId="7F56D505">
      <w:pPr>
        <w:rPr>
          <w:rFonts w:hint="eastAsia" w:ascii="宋体" w:hAnsi="宋体" w:cs="宋体"/>
          <w:b/>
          <w:bCs/>
          <w:sz w:val="24"/>
          <w:szCs w:val="21"/>
        </w:rPr>
      </w:pPr>
    </w:p>
    <w:p w14:paraId="37DEAE5C">
      <w:pPr>
        <w:rPr>
          <w:rFonts w:hint="eastAsia" w:ascii="宋体" w:hAnsi="宋体" w:cs="宋体"/>
          <w:b/>
          <w:bCs/>
          <w:sz w:val="24"/>
          <w:szCs w:val="21"/>
        </w:rPr>
      </w:pPr>
    </w:p>
    <w:p w14:paraId="33EBA136">
      <w:pPr>
        <w:rPr>
          <w:rFonts w:hint="eastAsia" w:ascii="宋体" w:hAnsi="宋体" w:cs="宋体"/>
          <w:b/>
          <w:bCs/>
          <w:sz w:val="24"/>
          <w:szCs w:val="21"/>
        </w:rPr>
      </w:pPr>
    </w:p>
    <w:p w14:paraId="659BE98A">
      <w:pPr>
        <w:rPr>
          <w:rFonts w:hint="eastAsia" w:ascii="宋体" w:hAnsi="宋体" w:cs="宋体"/>
          <w:b/>
          <w:bCs/>
          <w:sz w:val="24"/>
          <w:szCs w:val="21"/>
        </w:rPr>
      </w:pPr>
    </w:p>
    <w:p w14:paraId="46ADBBD0">
      <w:pPr>
        <w:rPr>
          <w:rFonts w:hint="eastAsia" w:ascii="宋体" w:hAnsi="宋体" w:cs="宋体"/>
          <w:b/>
          <w:bCs/>
          <w:sz w:val="24"/>
          <w:szCs w:val="21"/>
        </w:rPr>
      </w:pPr>
    </w:p>
    <w:p w14:paraId="4185268D">
      <w:pPr>
        <w:rPr>
          <w:rFonts w:hint="eastAsia" w:ascii="宋体" w:hAnsi="宋体" w:cs="宋体"/>
          <w:b/>
          <w:bCs/>
          <w:sz w:val="24"/>
          <w:szCs w:val="21"/>
        </w:rPr>
      </w:pPr>
    </w:p>
    <w:p w14:paraId="40A963A9">
      <w:pPr>
        <w:rPr>
          <w:rFonts w:hint="eastAsia" w:ascii="宋体" w:hAnsi="宋体" w:cs="宋体"/>
          <w:b/>
          <w:bCs/>
          <w:sz w:val="24"/>
          <w:szCs w:val="21"/>
        </w:rPr>
      </w:pPr>
    </w:p>
    <w:p w14:paraId="55ED8741">
      <w:pPr>
        <w:rPr>
          <w:rFonts w:hint="eastAsia" w:ascii="宋体" w:hAnsi="宋体" w:cs="宋体"/>
          <w:b/>
          <w:bCs/>
          <w:sz w:val="24"/>
          <w:szCs w:val="21"/>
        </w:rPr>
      </w:pPr>
    </w:p>
    <w:p w14:paraId="0D01F1C3">
      <w:pPr>
        <w:rPr>
          <w:rFonts w:hint="eastAsia" w:ascii="宋体" w:hAnsi="宋体" w:cs="宋体"/>
          <w:b/>
          <w:bCs/>
          <w:sz w:val="24"/>
          <w:szCs w:val="21"/>
        </w:rPr>
      </w:pPr>
    </w:p>
    <w:p w14:paraId="220FBDAB">
      <w:pPr>
        <w:rPr>
          <w:rFonts w:hint="eastAsia" w:ascii="宋体" w:hAnsi="宋体" w:cs="宋体"/>
          <w:b/>
          <w:bCs/>
          <w:sz w:val="24"/>
          <w:szCs w:val="21"/>
        </w:rPr>
      </w:pPr>
    </w:p>
    <w:p w14:paraId="1671560A">
      <w:pPr>
        <w:rPr>
          <w:rFonts w:hint="eastAsia" w:ascii="宋体" w:hAnsi="宋体" w:cs="宋体"/>
          <w:b/>
          <w:bCs/>
          <w:sz w:val="24"/>
          <w:szCs w:val="21"/>
        </w:rPr>
      </w:pPr>
    </w:p>
    <w:p w14:paraId="6D1232B7">
      <w:pPr>
        <w:rPr>
          <w:rFonts w:hint="eastAsia" w:ascii="宋体" w:hAnsi="宋体" w:cs="宋体"/>
          <w:b/>
          <w:bCs/>
          <w:sz w:val="24"/>
          <w:szCs w:val="21"/>
        </w:rPr>
      </w:pPr>
    </w:p>
    <w:p w14:paraId="2867B9EB">
      <w:pPr>
        <w:rPr>
          <w:rFonts w:hint="eastAsia" w:ascii="宋体" w:hAnsi="宋体" w:cs="宋体"/>
          <w:b/>
          <w:bCs/>
          <w:sz w:val="24"/>
          <w:szCs w:val="21"/>
        </w:rPr>
      </w:pPr>
    </w:p>
    <w:p w14:paraId="6B8103EF">
      <w:pPr>
        <w:rPr>
          <w:rFonts w:hint="eastAsia" w:ascii="宋体" w:hAnsi="宋体" w:cs="宋体"/>
          <w:b/>
          <w:bCs/>
          <w:sz w:val="24"/>
          <w:szCs w:val="21"/>
        </w:rPr>
      </w:pPr>
    </w:p>
    <w:p w14:paraId="70C71CAA">
      <w:pPr>
        <w:rPr>
          <w:rFonts w:hint="eastAsia" w:ascii="宋体" w:hAnsi="宋体" w:cs="宋体"/>
          <w:b/>
          <w:bCs/>
          <w:sz w:val="24"/>
          <w:szCs w:val="21"/>
        </w:rPr>
      </w:pPr>
    </w:p>
    <w:p w14:paraId="709A606E">
      <w:pPr>
        <w:rPr>
          <w:rFonts w:hint="eastAsia" w:ascii="宋体" w:hAnsi="宋体" w:cs="宋体"/>
          <w:b/>
          <w:bCs/>
          <w:sz w:val="24"/>
          <w:szCs w:val="21"/>
        </w:rPr>
      </w:pPr>
    </w:p>
    <w:p w14:paraId="1F884E17">
      <w:pPr>
        <w:rPr>
          <w:rFonts w:hint="eastAsia" w:ascii="宋体" w:hAnsi="宋体" w:cs="宋体"/>
          <w:b/>
          <w:bCs/>
          <w:sz w:val="24"/>
          <w:szCs w:val="21"/>
        </w:rPr>
      </w:pPr>
    </w:p>
    <w:p w14:paraId="4935BBB3">
      <w:pPr>
        <w:rPr>
          <w:rFonts w:hint="eastAsia" w:ascii="宋体" w:hAnsi="宋体" w:cs="宋体"/>
          <w:b/>
          <w:bCs/>
          <w:sz w:val="24"/>
          <w:szCs w:val="21"/>
        </w:rPr>
      </w:pPr>
    </w:p>
    <w:p w14:paraId="44F7183B">
      <w:pPr>
        <w:pStyle w:val="43"/>
        <w:shd w:val="clear" w:color="auto" w:fill="auto"/>
        <w:spacing w:after="364" w:line="280" w:lineRule="exact"/>
        <w:ind w:left="60" w:leftChars="0"/>
        <w:jc w:val="left"/>
        <w:outlineLvl w:val="9"/>
        <w:rPr>
          <w:rStyle w:val="54"/>
          <w:rFonts w:hint="eastAsia" w:ascii="宋体" w:hAnsi="宋体" w:eastAsia="宋体" w:cs="宋体"/>
          <w:color w:val="auto"/>
          <w:sz w:val="28"/>
          <w:szCs w:val="28"/>
        </w:rPr>
      </w:pPr>
      <w:r>
        <w:rPr>
          <w:rFonts w:hint="eastAsia" w:ascii="宋体" w:hAnsi="宋体" w:eastAsia="宋体" w:cs="宋体"/>
          <w:b/>
          <w:bCs/>
          <w:sz w:val="24"/>
          <w:szCs w:val="21"/>
        </w:rPr>
        <w:br w:type="page"/>
      </w:r>
      <w:bookmarkStart w:id="617" w:name="bookmark571"/>
      <w:bookmarkStart w:id="618" w:name="_Toc4171"/>
      <w:bookmarkStart w:id="619" w:name="bookmark572"/>
      <w:bookmarkStart w:id="620" w:name="_Toc5608"/>
      <w:r>
        <w:rPr>
          <w:rStyle w:val="54"/>
          <w:rFonts w:hint="eastAsia" w:ascii="宋体" w:hAnsi="宋体" w:eastAsia="宋体" w:cs="宋体"/>
          <w:color w:val="auto"/>
          <w:sz w:val="28"/>
          <w:szCs w:val="28"/>
        </w:rPr>
        <w:t>附表六  劳动力计划表</w:t>
      </w:r>
      <w:bookmarkEnd w:id="617"/>
      <w:bookmarkEnd w:id="618"/>
      <w:bookmarkEnd w:id="619"/>
      <w:bookmarkEnd w:id="620"/>
    </w:p>
    <w:p w14:paraId="385AE829">
      <w:pPr>
        <w:pStyle w:val="55"/>
        <w:shd w:val="clear" w:color="auto" w:fill="auto"/>
        <w:spacing w:line="200" w:lineRule="exact"/>
        <w:jc w:val="right"/>
        <w:rPr>
          <w:rFonts w:hint="eastAsia" w:ascii="宋体" w:hAnsi="宋体" w:eastAsia="宋体" w:cs="宋体"/>
        </w:rPr>
      </w:pPr>
    </w:p>
    <w:p w14:paraId="34B5E1EF">
      <w:pPr>
        <w:pStyle w:val="55"/>
        <w:shd w:val="clear" w:color="auto" w:fill="auto"/>
        <w:spacing w:line="200" w:lineRule="exact"/>
        <w:jc w:val="right"/>
        <w:rPr>
          <w:rFonts w:hint="eastAsia" w:ascii="宋体" w:hAnsi="宋体" w:eastAsia="宋体" w:cs="宋体"/>
        </w:rPr>
      </w:pPr>
      <w:r>
        <w:rPr>
          <w:rFonts w:hint="eastAsia" w:ascii="宋体" w:hAnsi="宋体" w:eastAsia="宋体" w:cs="宋体"/>
        </w:rPr>
        <w:t>单位：人</w:t>
      </w:r>
    </w:p>
    <w:p w14:paraId="1913596C">
      <w:pPr>
        <w:rPr>
          <w:rFonts w:hint="eastAsia" w:ascii="宋体" w:hAnsi="宋体" w:cs="宋体"/>
          <w:sz w:val="2"/>
          <w:szCs w:val="2"/>
        </w:rPr>
      </w:pPr>
    </w:p>
    <w:tbl>
      <w:tblPr>
        <w:tblStyle w:val="29"/>
        <w:tblW w:w="0" w:type="auto"/>
        <w:jc w:val="center"/>
        <w:tblLayout w:type="fixed"/>
        <w:tblCellMar>
          <w:top w:w="0" w:type="dxa"/>
          <w:left w:w="10" w:type="dxa"/>
          <w:bottom w:w="0" w:type="dxa"/>
          <w:right w:w="10" w:type="dxa"/>
        </w:tblCellMar>
      </w:tblPr>
      <w:tblGrid>
        <w:gridCol w:w="869"/>
        <w:gridCol w:w="1363"/>
        <w:gridCol w:w="1109"/>
        <w:gridCol w:w="1109"/>
        <w:gridCol w:w="1114"/>
        <w:gridCol w:w="1109"/>
        <w:gridCol w:w="1114"/>
        <w:gridCol w:w="1118"/>
      </w:tblGrid>
      <w:tr w14:paraId="2504766C">
        <w:tblPrEx>
          <w:tblCellMar>
            <w:top w:w="0" w:type="dxa"/>
            <w:left w:w="10" w:type="dxa"/>
            <w:bottom w:w="0" w:type="dxa"/>
            <w:right w:w="10" w:type="dxa"/>
          </w:tblCellMar>
        </w:tblPrEx>
        <w:trPr>
          <w:trHeight w:val="456" w:hRule="exact"/>
          <w:jc w:val="center"/>
        </w:trPr>
        <w:tc>
          <w:tcPr>
            <w:tcW w:w="869" w:type="dxa"/>
            <w:tcBorders>
              <w:top w:val="single" w:color="auto" w:sz="4" w:space="0"/>
              <w:left w:val="single" w:color="auto" w:sz="4" w:space="0"/>
            </w:tcBorders>
            <w:shd w:val="clear" w:color="auto" w:fill="FFFFFF"/>
            <w:noWrap w:val="0"/>
            <w:vAlign w:val="center"/>
          </w:tcPr>
          <w:p w14:paraId="6C364AFF">
            <w:pPr>
              <w:pStyle w:val="32"/>
              <w:shd w:val="clear" w:color="auto" w:fill="auto"/>
              <w:spacing w:before="0" w:line="240" w:lineRule="auto"/>
              <w:ind w:left="240" w:firstLine="0"/>
              <w:jc w:val="both"/>
              <w:rPr>
                <w:rFonts w:hint="eastAsia" w:ascii="宋体" w:hAnsi="宋体" w:eastAsia="宋体" w:cs="宋体"/>
              </w:rPr>
            </w:pPr>
            <w:bookmarkStart w:id="621" w:name="bookmark574"/>
            <w:bookmarkStart w:id="622" w:name="bookmark573"/>
            <w:r>
              <w:rPr>
                <w:rStyle w:val="56"/>
                <w:rFonts w:hint="eastAsia" w:ascii="宋体" w:hAnsi="宋体" w:eastAsia="宋体" w:cs="宋体"/>
                <w:color w:val="auto"/>
              </w:rPr>
              <w:t>工种</w:t>
            </w:r>
          </w:p>
        </w:tc>
        <w:tc>
          <w:tcPr>
            <w:tcW w:w="8036" w:type="dxa"/>
            <w:gridSpan w:val="7"/>
            <w:tcBorders>
              <w:top w:val="single" w:color="auto" w:sz="4" w:space="0"/>
              <w:left w:val="single" w:color="auto" w:sz="4" w:space="0"/>
              <w:right w:val="single" w:color="auto" w:sz="4" w:space="0"/>
            </w:tcBorders>
            <w:shd w:val="clear" w:color="auto" w:fill="FFFFFF"/>
            <w:noWrap w:val="0"/>
            <w:vAlign w:val="center"/>
          </w:tcPr>
          <w:p w14:paraId="41C4444D">
            <w:pPr>
              <w:pStyle w:val="32"/>
              <w:shd w:val="clear" w:color="auto" w:fill="auto"/>
              <w:spacing w:before="0" w:line="240" w:lineRule="auto"/>
              <w:ind w:firstLine="0"/>
              <w:jc w:val="center"/>
              <w:rPr>
                <w:rFonts w:hint="eastAsia" w:ascii="宋体" w:hAnsi="宋体" w:eastAsia="宋体" w:cs="宋体"/>
              </w:rPr>
            </w:pPr>
            <w:r>
              <w:rPr>
                <w:rStyle w:val="56"/>
                <w:rFonts w:hint="eastAsia" w:ascii="宋体" w:hAnsi="宋体" w:eastAsia="宋体" w:cs="宋体"/>
                <w:color w:val="auto"/>
              </w:rPr>
              <w:t>按工程施工阶段投入劳动力情况</w:t>
            </w:r>
          </w:p>
        </w:tc>
      </w:tr>
      <w:tr w14:paraId="214A2C6C">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58DCF83B">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1EA197EC">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1F02080">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7537D14">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28C42DDA">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5BA8CED">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15CAD87C">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3B58C873">
            <w:pPr>
              <w:rPr>
                <w:rFonts w:hint="eastAsia" w:ascii="宋体" w:hAnsi="宋体" w:cs="宋体"/>
                <w:sz w:val="10"/>
                <w:szCs w:val="10"/>
              </w:rPr>
            </w:pPr>
          </w:p>
        </w:tc>
      </w:tr>
      <w:tr w14:paraId="01E4FDA8">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135A9710">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77EE235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1B23AF6D">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6B567938">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65F06D71">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FAA9CF5">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18804CEC">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0030DEC9">
            <w:pPr>
              <w:rPr>
                <w:rFonts w:hint="eastAsia" w:ascii="宋体" w:hAnsi="宋体" w:cs="宋体"/>
                <w:sz w:val="10"/>
                <w:szCs w:val="10"/>
              </w:rPr>
            </w:pPr>
          </w:p>
        </w:tc>
      </w:tr>
      <w:tr w14:paraId="564158FC">
        <w:tblPrEx>
          <w:tblCellMar>
            <w:top w:w="0" w:type="dxa"/>
            <w:left w:w="10" w:type="dxa"/>
            <w:bottom w:w="0" w:type="dxa"/>
            <w:right w:w="10" w:type="dxa"/>
          </w:tblCellMar>
        </w:tblPrEx>
        <w:trPr>
          <w:trHeight w:val="446" w:hRule="exact"/>
          <w:jc w:val="center"/>
        </w:trPr>
        <w:tc>
          <w:tcPr>
            <w:tcW w:w="869" w:type="dxa"/>
            <w:tcBorders>
              <w:top w:val="single" w:color="auto" w:sz="4" w:space="0"/>
              <w:left w:val="single" w:color="auto" w:sz="4" w:space="0"/>
            </w:tcBorders>
            <w:shd w:val="clear" w:color="auto" w:fill="FFFFFF"/>
            <w:noWrap w:val="0"/>
            <w:vAlign w:val="top"/>
          </w:tcPr>
          <w:p w14:paraId="7641FF1C">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090ED12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543DDA6F">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17D318CE">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1E1E1267">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50872414">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0CF2FFDB">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69D2669D">
            <w:pPr>
              <w:rPr>
                <w:rFonts w:hint="eastAsia" w:ascii="宋体" w:hAnsi="宋体" w:cs="宋体"/>
                <w:sz w:val="10"/>
                <w:szCs w:val="10"/>
              </w:rPr>
            </w:pPr>
          </w:p>
        </w:tc>
      </w:tr>
      <w:tr w14:paraId="0E8538F3">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48C9B3FF">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787B19E2">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18164CF4">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9D1EDB2">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7AF4B675">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07811F9">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5D519408">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7E413F33">
            <w:pPr>
              <w:rPr>
                <w:rFonts w:hint="eastAsia" w:ascii="宋体" w:hAnsi="宋体" w:cs="宋体"/>
                <w:sz w:val="10"/>
                <w:szCs w:val="10"/>
              </w:rPr>
            </w:pPr>
          </w:p>
        </w:tc>
      </w:tr>
      <w:tr w14:paraId="7DE55EBA">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2C1FDA7D">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112CAA70">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42736B3">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5805898C">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7649B295">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3DDD9D5">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6564BAE6">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5ED2BD10">
            <w:pPr>
              <w:rPr>
                <w:rFonts w:hint="eastAsia" w:ascii="宋体" w:hAnsi="宋体" w:cs="宋体"/>
                <w:sz w:val="10"/>
                <w:szCs w:val="10"/>
              </w:rPr>
            </w:pPr>
          </w:p>
        </w:tc>
      </w:tr>
      <w:tr w14:paraId="282C4EE0">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15AA832F">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6161F9BF">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68724C10">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EBF9B4D">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6B806A7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CCBF66E">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2E0B1A23">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7F4A0B58">
            <w:pPr>
              <w:rPr>
                <w:rFonts w:hint="eastAsia" w:ascii="宋体" w:hAnsi="宋体" w:cs="宋体"/>
                <w:sz w:val="10"/>
                <w:szCs w:val="10"/>
              </w:rPr>
            </w:pPr>
          </w:p>
        </w:tc>
      </w:tr>
      <w:tr w14:paraId="01864CB9">
        <w:tblPrEx>
          <w:tblCellMar>
            <w:top w:w="0" w:type="dxa"/>
            <w:left w:w="10" w:type="dxa"/>
            <w:bottom w:w="0" w:type="dxa"/>
            <w:right w:w="10" w:type="dxa"/>
          </w:tblCellMar>
        </w:tblPrEx>
        <w:trPr>
          <w:trHeight w:val="446" w:hRule="exact"/>
          <w:jc w:val="center"/>
        </w:trPr>
        <w:tc>
          <w:tcPr>
            <w:tcW w:w="869" w:type="dxa"/>
            <w:tcBorders>
              <w:top w:val="single" w:color="auto" w:sz="4" w:space="0"/>
              <w:left w:val="single" w:color="auto" w:sz="4" w:space="0"/>
            </w:tcBorders>
            <w:shd w:val="clear" w:color="auto" w:fill="FFFFFF"/>
            <w:noWrap w:val="0"/>
            <w:vAlign w:val="top"/>
          </w:tcPr>
          <w:p w14:paraId="1DAC83FF">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28761567">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30C9477">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E81E0F8">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54FBFE35">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0B34FEDF">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11200776">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16E482AE">
            <w:pPr>
              <w:rPr>
                <w:rFonts w:hint="eastAsia" w:ascii="宋体" w:hAnsi="宋体" w:cs="宋体"/>
                <w:sz w:val="10"/>
                <w:szCs w:val="10"/>
              </w:rPr>
            </w:pPr>
          </w:p>
        </w:tc>
      </w:tr>
      <w:tr w14:paraId="479393B5">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14CCFF7A">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53450AD0">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1AA748B3">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96ECFA5">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2FB759B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3E69105">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02728A2C">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4A372803">
            <w:pPr>
              <w:rPr>
                <w:rFonts w:hint="eastAsia" w:ascii="宋体" w:hAnsi="宋体" w:cs="宋体"/>
                <w:sz w:val="10"/>
                <w:szCs w:val="10"/>
              </w:rPr>
            </w:pPr>
          </w:p>
        </w:tc>
      </w:tr>
      <w:tr w14:paraId="42B04F00">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7C5DD926">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760EF0BC">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1F29FC5A">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5BAA16F3">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4CDDBAC9">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5451DBE9">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6C1D55D7">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0090E35D">
            <w:pPr>
              <w:rPr>
                <w:rFonts w:hint="eastAsia" w:ascii="宋体" w:hAnsi="宋体" w:cs="宋体"/>
                <w:sz w:val="10"/>
                <w:szCs w:val="10"/>
              </w:rPr>
            </w:pPr>
          </w:p>
        </w:tc>
      </w:tr>
      <w:tr w14:paraId="5422B9C4">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5AE49C88">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17999493">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F183C8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6F306FE">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328735DE">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57F77BEE">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32B76BA2">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327DEA75">
            <w:pPr>
              <w:rPr>
                <w:rFonts w:hint="eastAsia" w:ascii="宋体" w:hAnsi="宋体" w:cs="宋体"/>
                <w:sz w:val="10"/>
                <w:szCs w:val="10"/>
              </w:rPr>
            </w:pPr>
          </w:p>
        </w:tc>
      </w:tr>
      <w:tr w14:paraId="35553D8C">
        <w:tblPrEx>
          <w:tblCellMar>
            <w:top w:w="0" w:type="dxa"/>
            <w:left w:w="10" w:type="dxa"/>
            <w:bottom w:w="0" w:type="dxa"/>
            <w:right w:w="10" w:type="dxa"/>
          </w:tblCellMar>
        </w:tblPrEx>
        <w:trPr>
          <w:trHeight w:val="446" w:hRule="exact"/>
          <w:jc w:val="center"/>
        </w:trPr>
        <w:tc>
          <w:tcPr>
            <w:tcW w:w="869" w:type="dxa"/>
            <w:tcBorders>
              <w:top w:val="single" w:color="auto" w:sz="4" w:space="0"/>
              <w:left w:val="single" w:color="auto" w:sz="4" w:space="0"/>
            </w:tcBorders>
            <w:shd w:val="clear" w:color="auto" w:fill="FFFFFF"/>
            <w:noWrap w:val="0"/>
            <w:vAlign w:val="top"/>
          </w:tcPr>
          <w:p w14:paraId="04784D50">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37744834">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17FE35B0">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E506334">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22EA672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B399B3D">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0EA38C78">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0EC594F0">
            <w:pPr>
              <w:rPr>
                <w:rFonts w:hint="eastAsia" w:ascii="宋体" w:hAnsi="宋体" w:cs="宋体"/>
                <w:sz w:val="10"/>
                <w:szCs w:val="10"/>
              </w:rPr>
            </w:pPr>
          </w:p>
        </w:tc>
      </w:tr>
      <w:tr w14:paraId="5545CB11">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75379724">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2A913823">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537AC04">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B762934">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52DAD69B">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58E3989">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38F96D57">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735FE52E">
            <w:pPr>
              <w:rPr>
                <w:rFonts w:hint="eastAsia" w:ascii="宋体" w:hAnsi="宋体" w:cs="宋体"/>
                <w:sz w:val="10"/>
                <w:szCs w:val="10"/>
              </w:rPr>
            </w:pPr>
          </w:p>
        </w:tc>
      </w:tr>
      <w:tr w14:paraId="56DE68E2">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3B405BE6">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605F6257">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04D5A07">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66286DA7">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52B5712F">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6AEFB5F4">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6BB5CCDB">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66AFD2B4">
            <w:pPr>
              <w:rPr>
                <w:rFonts w:hint="eastAsia" w:ascii="宋体" w:hAnsi="宋体" w:cs="宋体"/>
                <w:sz w:val="10"/>
                <w:szCs w:val="10"/>
              </w:rPr>
            </w:pPr>
          </w:p>
        </w:tc>
      </w:tr>
      <w:tr w14:paraId="4CA2160F">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40377D4D">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4AB6439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C25812F">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6EAF1711">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5A29D0A0">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08887919">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1BF609A0">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495E5DC9">
            <w:pPr>
              <w:rPr>
                <w:rFonts w:hint="eastAsia" w:ascii="宋体" w:hAnsi="宋体" w:cs="宋体"/>
                <w:sz w:val="10"/>
                <w:szCs w:val="10"/>
              </w:rPr>
            </w:pPr>
          </w:p>
        </w:tc>
      </w:tr>
      <w:tr w14:paraId="5A591B77">
        <w:tblPrEx>
          <w:tblCellMar>
            <w:top w:w="0" w:type="dxa"/>
            <w:left w:w="10" w:type="dxa"/>
            <w:bottom w:w="0" w:type="dxa"/>
            <w:right w:w="10" w:type="dxa"/>
          </w:tblCellMar>
        </w:tblPrEx>
        <w:trPr>
          <w:trHeight w:val="446" w:hRule="exact"/>
          <w:jc w:val="center"/>
        </w:trPr>
        <w:tc>
          <w:tcPr>
            <w:tcW w:w="869" w:type="dxa"/>
            <w:tcBorders>
              <w:top w:val="single" w:color="auto" w:sz="4" w:space="0"/>
              <w:left w:val="single" w:color="auto" w:sz="4" w:space="0"/>
            </w:tcBorders>
            <w:shd w:val="clear" w:color="auto" w:fill="FFFFFF"/>
            <w:noWrap w:val="0"/>
            <w:vAlign w:val="top"/>
          </w:tcPr>
          <w:p w14:paraId="21D9BF87">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1706C43A">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050BB3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5A9AFA5">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448AB21F">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50EEA1B">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3AC57E02">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2237A8E4">
            <w:pPr>
              <w:rPr>
                <w:rFonts w:hint="eastAsia" w:ascii="宋体" w:hAnsi="宋体" w:cs="宋体"/>
                <w:sz w:val="10"/>
                <w:szCs w:val="10"/>
              </w:rPr>
            </w:pPr>
          </w:p>
        </w:tc>
      </w:tr>
      <w:tr w14:paraId="2504BBFC">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52E3F29A">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7572B4BF">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9BA57F1">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4B140A0A">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7903C05C">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D07C57A">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1D7DF37A">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49B7C915">
            <w:pPr>
              <w:rPr>
                <w:rFonts w:hint="eastAsia" w:ascii="宋体" w:hAnsi="宋体" w:cs="宋体"/>
                <w:sz w:val="10"/>
                <w:szCs w:val="10"/>
              </w:rPr>
            </w:pPr>
          </w:p>
        </w:tc>
      </w:tr>
      <w:tr w14:paraId="25F5DED5">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4DD96C78">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3D81965F">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5272E212">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0E2BB62A">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0DFD56B5">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B614BB5">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2F869D3A">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6C2100B7">
            <w:pPr>
              <w:rPr>
                <w:rFonts w:hint="eastAsia" w:ascii="宋体" w:hAnsi="宋体" w:cs="宋体"/>
                <w:sz w:val="10"/>
                <w:szCs w:val="10"/>
              </w:rPr>
            </w:pPr>
          </w:p>
        </w:tc>
      </w:tr>
      <w:tr w14:paraId="353DB355">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3C9C965A">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0537BED0">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138B1A1B">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0D4F8360">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5E7AE465">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D18EE9E">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462306B1">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54218923">
            <w:pPr>
              <w:rPr>
                <w:rFonts w:hint="eastAsia" w:ascii="宋体" w:hAnsi="宋体" w:cs="宋体"/>
                <w:sz w:val="10"/>
                <w:szCs w:val="10"/>
              </w:rPr>
            </w:pPr>
          </w:p>
        </w:tc>
      </w:tr>
      <w:tr w14:paraId="4D69C602">
        <w:tblPrEx>
          <w:tblCellMar>
            <w:top w:w="0" w:type="dxa"/>
            <w:left w:w="10" w:type="dxa"/>
            <w:bottom w:w="0" w:type="dxa"/>
            <w:right w:w="10" w:type="dxa"/>
          </w:tblCellMar>
        </w:tblPrEx>
        <w:trPr>
          <w:trHeight w:val="446" w:hRule="exact"/>
          <w:jc w:val="center"/>
        </w:trPr>
        <w:tc>
          <w:tcPr>
            <w:tcW w:w="869" w:type="dxa"/>
            <w:tcBorders>
              <w:top w:val="single" w:color="auto" w:sz="4" w:space="0"/>
              <w:left w:val="single" w:color="auto" w:sz="4" w:space="0"/>
            </w:tcBorders>
            <w:shd w:val="clear" w:color="auto" w:fill="FFFFFF"/>
            <w:noWrap w:val="0"/>
            <w:vAlign w:val="top"/>
          </w:tcPr>
          <w:p w14:paraId="06D6890E">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1FDC4ADC">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2286773">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3E415DA6">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5734681D">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21DCE542">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173AC36B">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19D4D3D3">
            <w:pPr>
              <w:rPr>
                <w:rFonts w:hint="eastAsia" w:ascii="宋体" w:hAnsi="宋体" w:cs="宋体"/>
                <w:sz w:val="10"/>
                <w:szCs w:val="10"/>
              </w:rPr>
            </w:pPr>
          </w:p>
        </w:tc>
      </w:tr>
      <w:tr w14:paraId="193D7AB4">
        <w:tblPrEx>
          <w:tblCellMar>
            <w:top w:w="0" w:type="dxa"/>
            <w:left w:w="10" w:type="dxa"/>
            <w:bottom w:w="0" w:type="dxa"/>
            <w:right w:w="10" w:type="dxa"/>
          </w:tblCellMar>
        </w:tblPrEx>
        <w:trPr>
          <w:trHeight w:val="451" w:hRule="exact"/>
          <w:jc w:val="center"/>
        </w:trPr>
        <w:tc>
          <w:tcPr>
            <w:tcW w:w="869" w:type="dxa"/>
            <w:tcBorders>
              <w:top w:val="single" w:color="auto" w:sz="4" w:space="0"/>
              <w:left w:val="single" w:color="auto" w:sz="4" w:space="0"/>
            </w:tcBorders>
            <w:shd w:val="clear" w:color="auto" w:fill="FFFFFF"/>
            <w:noWrap w:val="0"/>
            <w:vAlign w:val="top"/>
          </w:tcPr>
          <w:p w14:paraId="588F2D2D">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75747F4B">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6AC62C2B">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00DCFD4C">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143D53B8">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730C416">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73C9B8F7">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044452F1">
            <w:pPr>
              <w:rPr>
                <w:rFonts w:hint="eastAsia" w:ascii="宋体" w:hAnsi="宋体" w:cs="宋体"/>
                <w:sz w:val="10"/>
                <w:szCs w:val="10"/>
              </w:rPr>
            </w:pPr>
          </w:p>
        </w:tc>
      </w:tr>
      <w:tr w14:paraId="4B4E4428">
        <w:tblPrEx>
          <w:tblCellMar>
            <w:top w:w="0" w:type="dxa"/>
            <w:left w:w="10" w:type="dxa"/>
            <w:bottom w:w="0" w:type="dxa"/>
            <w:right w:w="10" w:type="dxa"/>
          </w:tblCellMar>
        </w:tblPrEx>
        <w:trPr>
          <w:trHeight w:val="446" w:hRule="exact"/>
          <w:jc w:val="center"/>
        </w:trPr>
        <w:tc>
          <w:tcPr>
            <w:tcW w:w="869" w:type="dxa"/>
            <w:tcBorders>
              <w:top w:val="single" w:color="auto" w:sz="4" w:space="0"/>
              <w:left w:val="single" w:color="auto" w:sz="4" w:space="0"/>
            </w:tcBorders>
            <w:shd w:val="clear" w:color="auto" w:fill="FFFFFF"/>
            <w:noWrap w:val="0"/>
            <w:vAlign w:val="top"/>
          </w:tcPr>
          <w:p w14:paraId="5ABB719C">
            <w:pPr>
              <w:rPr>
                <w:rFonts w:hint="eastAsia" w:ascii="宋体" w:hAnsi="宋体" w:cs="宋体"/>
                <w:sz w:val="10"/>
                <w:szCs w:val="10"/>
              </w:rPr>
            </w:pPr>
          </w:p>
        </w:tc>
        <w:tc>
          <w:tcPr>
            <w:tcW w:w="1363" w:type="dxa"/>
            <w:tcBorders>
              <w:top w:val="single" w:color="auto" w:sz="4" w:space="0"/>
              <w:left w:val="single" w:color="auto" w:sz="4" w:space="0"/>
            </w:tcBorders>
            <w:shd w:val="clear" w:color="auto" w:fill="FFFFFF"/>
            <w:noWrap w:val="0"/>
            <w:vAlign w:val="top"/>
          </w:tcPr>
          <w:p w14:paraId="5F9D45F1">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33B57FD">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721D0698">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32E65770">
            <w:pPr>
              <w:rPr>
                <w:rFonts w:hint="eastAsia" w:ascii="宋体" w:hAnsi="宋体" w:cs="宋体"/>
                <w:sz w:val="10"/>
                <w:szCs w:val="10"/>
              </w:rPr>
            </w:pPr>
          </w:p>
        </w:tc>
        <w:tc>
          <w:tcPr>
            <w:tcW w:w="1109" w:type="dxa"/>
            <w:tcBorders>
              <w:top w:val="single" w:color="auto" w:sz="4" w:space="0"/>
              <w:left w:val="single" w:color="auto" w:sz="4" w:space="0"/>
            </w:tcBorders>
            <w:shd w:val="clear" w:color="auto" w:fill="FFFFFF"/>
            <w:noWrap w:val="0"/>
            <w:vAlign w:val="top"/>
          </w:tcPr>
          <w:p w14:paraId="530CF360">
            <w:pPr>
              <w:rPr>
                <w:rFonts w:hint="eastAsia" w:ascii="宋体" w:hAnsi="宋体" w:cs="宋体"/>
                <w:sz w:val="10"/>
                <w:szCs w:val="10"/>
              </w:rPr>
            </w:pPr>
          </w:p>
        </w:tc>
        <w:tc>
          <w:tcPr>
            <w:tcW w:w="1114" w:type="dxa"/>
            <w:tcBorders>
              <w:top w:val="single" w:color="auto" w:sz="4" w:space="0"/>
              <w:left w:val="single" w:color="auto" w:sz="4" w:space="0"/>
            </w:tcBorders>
            <w:shd w:val="clear" w:color="auto" w:fill="FFFFFF"/>
            <w:noWrap w:val="0"/>
            <w:vAlign w:val="top"/>
          </w:tcPr>
          <w:p w14:paraId="289FAD9A">
            <w:pPr>
              <w:rPr>
                <w:rFonts w:hint="eastAsia" w:ascii="宋体" w:hAnsi="宋体" w:cs="宋体"/>
                <w:sz w:val="10"/>
                <w:szCs w:val="10"/>
              </w:rPr>
            </w:pPr>
          </w:p>
        </w:tc>
        <w:tc>
          <w:tcPr>
            <w:tcW w:w="1118" w:type="dxa"/>
            <w:tcBorders>
              <w:top w:val="single" w:color="auto" w:sz="4" w:space="0"/>
              <w:left w:val="single" w:color="auto" w:sz="4" w:space="0"/>
              <w:right w:val="single" w:color="auto" w:sz="4" w:space="0"/>
            </w:tcBorders>
            <w:shd w:val="clear" w:color="auto" w:fill="FFFFFF"/>
            <w:noWrap w:val="0"/>
            <w:vAlign w:val="top"/>
          </w:tcPr>
          <w:p w14:paraId="1184EB92">
            <w:pPr>
              <w:rPr>
                <w:rFonts w:hint="eastAsia" w:ascii="宋体" w:hAnsi="宋体" w:cs="宋体"/>
                <w:sz w:val="10"/>
                <w:szCs w:val="10"/>
              </w:rPr>
            </w:pPr>
          </w:p>
        </w:tc>
      </w:tr>
      <w:tr w14:paraId="6229E31E">
        <w:tblPrEx>
          <w:tblCellMar>
            <w:top w:w="0" w:type="dxa"/>
            <w:left w:w="10" w:type="dxa"/>
            <w:bottom w:w="0" w:type="dxa"/>
            <w:right w:w="10" w:type="dxa"/>
          </w:tblCellMar>
        </w:tblPrEx>
        <w:trPr>
          <w:trHeight w:val="461" w:hRule="exact"/>
          <w:jc w:val="center"/>
        </w:trPr>
        <w:tc>
          <w:tcPr>
            <w:tcW w:w="869" w:type="dxa"/>
            <w:tcBorders>
              <w:top w:val="single" w:color="auto" w:sz="4" w:space="0"/>
              <w:left w:val="single" w:color="auto" w:sz="4" w:space="0"/>
              <w:bottom w:val="single" w:color="auto" w:sz="4" w:space="0"/>
            </w:tcBorders>
            <w:shd w:val="clear" w:color="auto" w:fill="FFFFFF"/>
            <w:noWrap w:val="0"/>
            <w:vAlign w:val="top"/>
          </w:tcPr>
          <w:p w14:paraId="79A6864B">
            <w:pPr>
              <w:rPr>
                <w:rFonts w:hint="eastAsia" w:ascii="宋体" w:hAnsi="宋体" w:cs="宋体"/>
                <w:sz w:val="10"/>
                <w:szCs w:val="10"/>
              </w:rPr>
            </w:pPr>
          </w:p>
        </w:tc>
        <w:tc>
          <w:tcPr>
            <w:tcW w:w="1363" w:type="dxa"/>
            <w:tcBorders>
              <w:top w:val="single" w:color="auto" w:sz="4" w:space="0"/>
              <w:left w:val="single" w:color="auto" w:sz="4" w:space="0"/>
              <w:bottom w:val="single" w:color="auto" w:sz="4" w:space="0"/>
            </w:tcBorders>
            <w:shd w:val="clear" w:color="auto" w:fill="FFFFFF"/>
            <w:noWrap w:val="0"/>
            <w:vAlign w:val="top"/>
          </w:tcPr>
          <w:p w14:paraId="40AF75CA">
            <w:pPr>
              <w:rPr>
                <w:rFonts w:hint="eastAsia" w:ascii="宋体" w:hAnsi="宋体" w:cs="宋体"/>
                <w:sz w:val="10"/>
                <w:szCs w:val="10"/>
              </w:rPr>
            </w:pPr>
          </w:p>
        </w:tc>
        <w:tc>
          <w:tcPr>
            <w:tcW w:w="1109" w:type="dxa"/>
            <w:tcBorders>
              <w:top w:val="single" w:color="auto" w:sz="4" w:space="0"/>
              <w:left w:val="single" w:color="auto" w:sz="4" w:space="0"/>
              <w:bottom w:val="single" w:color="auto" w:sz="4" w:space="0"/>
            </w:tcBorders>
            <w:shd w:val="clear" w:color="auto" w:fill="FFFFFF"/>
            <w:noWrap w:val="0"/>
            <w:vAlign w:val="top"/>
          </w:tcPr>
          <w:p w14:paraId="15AD8D5A">
            <w:pPr>
              <w:rPr>
                <w:rFonts w:hint="eastAsia" w:ascii="宋体" w:hAnsi="宋体" w:cs="宋体"/>
                <w:sz w:val="10"/>
                <w:szCs w:val="10"/>
              </w:rPr>
            </w:pPr>
          </w:p>
        </w:tc>
        <w:tc>
          <w:tcPr>
            <w:tcW w:w="1109" w:type="dxa"/>
            <w:tcBorders>
              <w:top w:val="single" w:color="auto" w:sz="4" w:space="0"/>
              <w:left w:val="single" w:color="auto" w:sz="4" w:space="0"/>
              <w:bottom w:val="single" w:color="auto" w:sz="4" w:space="0"/>
            </w:tcBorders>
            <w:shd w:val="clear" w:color="auto" w:fill="FFFFFF"/>
            <w:noWrap w:val="0"/>
            <w:vAlign w:val="top"/>
          </w:tcPr>
          <w:p w14:paraId="04CF07A6">
            <w:pPr>
              <w:rPr>
                <w:rFonts w:hint="eastAsia" w:ascii="宋体" w:hAnsi="宋体" w:cs="宋体"/>
                <w:sz w:val="10"/>
                <w:szCs w:val="10"/>
              </w:rPr>
            </w:pPr>
          </w:p>
        </w:tc>
        <w:tc>
          <w:tcPr>
            <w:tcW w:w="1114" w:type="dxa"/>
            <w:tcBorders>
              <w:top w:val="single" w:color="auto" w:sz="4" w:space="0"/>
              <w:left w:val="single" w:color="auto" w:sz="4" w:space="0"/>
              <w:bottom w:val="single" w:color="auto" w:sz="4" w:space="0"/>
            </w:tcBorders>
            <w:shd w:val="clear" w:color="auto" w:fill="FFFFFF"/>
            <w:noWrap w:val="0"/>
            <w:vAlign w:val="top"/>
          </w:tcPr>
          <w:p w14:paraId="03E1FFE4">
            <w:pPr>
              <w:rPr>
                <w:rFonts w:hint="eastAsia" w:ascii="宋体" w:hAnsi="宋体" w:cs="宋体"/>
                <w:sz w:val="10"/>
                <w:szCs w:val="10"/>
              </w:rPr>
            </w:pPr>
          </w:p>
        </w:tc>
        <w:tc>
          <w:tcPr>
            <w:tcW w:w="1109" w:type="dxa"/>
            <w:tcBorders>
              <w:top w:val="single" w:color="auto" w:sz="4" w:space="0"/>
              <w:left w:val="single" w:color="auto" w:sz="4" w:space="0"/>
              <w:bottom w:val="single" w:color="auto" w:sz="4" w:space="0"/>
            </w:tcBorders>
            <w:shd w:val="clear" w:color="auto" w:fill="FFFFFF"/>
            <w:noWrap w:val="0"/>
            <w:vAlign w:val="top"/>
          </w:tcPr>
          <w:p w14:paraId="4E5CEB6A">
            <w:pPr>
              <w:rPr>
                <w:rFonts w:hint="eastAsia" w:ascii="宋体" w:hAnsi="宋体" w:cs="宋体"/>
                <w:sz w:val="10"/>
                <w:szCs w:val="10"/>
              </w:rPr>
            </w:pPr>
          </w:p>
        </w:tc>
        <w:tc>
          <w:tcPr>
            <w:tcW w:w="1114" w:type="dxa"/>
            <w:tcBorders>
              <w:top w:val="single" w:color="auto" w:sz="4" w:space="0"/>
              <w:left w:val="single" w:color="auto" w:sz="4" w:space="0"/>
              <w:bottom w:val="single" w:color="auto" w:sz="4" w:space="0"/>
            </w:tcBorders>
            <w:shd w:val="clear" w:color="auto" w:fill="FFFFFF"/>
            <w:noWrap w:val="0"/>
            <w:vAlign w:val="top"/>
          </w:tcPr>
          <w:p w14:paraId="5B41672F">
            <w:pPr>
              <w:rPr>
                <w:rFonts w:hint="eastAsia" w:ascii="宋体" w:hAnsi="宋体" w:cs="宋体"/>
                <w:sz w:val="10"/>
                <w:szCs w:val="10"/>
              </w:rPr>
            </w:pPr>
          </w:p>
        </w:tc>
        <w:tc>
          <w:tcPr>
            <w:tcW w:w="1118"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5529050D">
            <w:pPr>
              <w:rPr>
                <w:rFonts w:hint="eastAsia" w:ascii="宋体" w:hAnsi="宋体" w:cs="宋体"/>
                <w:sz w:val="10"/>
                <w:szCs w:val="10"/>
              </w:rPr>
            </w:pPr>
          </w:p>
        </w:tc>
      </w:tr>
    </w:tbl>
    <w:p w14:paraId="282A88DA">
      <w:pPr>
        <w:pStyle w:val="43"/>
        <w:shd w:val="clear" w:color="auto" w:fill="auto"/>
        <w:spacing w:after="364" w:line="280" w:lineRule="exact"/>
        <w:jc w:val="left"/>
        <w:rPr>
          <w:rFonts w:hint="eastAsia" w:ascii="宋体" w:hAnsi="宋体" w:eastAsia="宋体" w:cs="宋体"/>
        </w:rPr>
      </w:pPr>
    </w:p>
    <w:p w14:paraId="4657258A">
      <w:pPr>
        <w:pStyle w:val="43"/>
        <w:shd w:val="clear" w:color="auto" w:fill="auto"/>
        <w:spacing w:after="364" w:line="280" w:lineRule="exact"/>
        <w:ind w:left="60" w:leftChars="0"/>
        <w:jc w:val="left"/>
        <w:outlineLvl w:val="9"/>
        <w:rPr>
          <w:rStyle w:val="54"/>
          <w:rFonts w:hint="eastAsia" w:ascii="宋体" w:hAnsi="宋体" w:eastAsia="宋体" w:cs="宋体"/>
          <w:color w:val="auto"/>
          <w:sz w:val="28"/>
          <w:szCs w:val="28"/>
        </w:rPr>
      </w:pPr>
      <w:r>
        <w:rPr>
          <w:rStyle w:val="54"/>
          <w:rFonts w:hint="eastAsia" w:ascii="宋体" w:hAnsi="宋体" w:eastAsia="宋体" w:cs="宋体"/>
          <w:color w:val="auto"/>
          <w:sz w:val="28"/>
          <w:szCs w:val="28"/>
        </w:rPr>
        <w:br w:type="page"/>
      </w:r>
      <w:bookmarkStart w:id="623" w:name="_Toc16908"/>
      <w:bookmarkStart w:id="624" w:name="_Toc31501"/>
      <w:r>
        <w:rPr>
          <w:rStyle w:val="54"/>
          <w:rFonts w:hint="eastAsia" w:ascii="宋体" w:hAnsi="宋体" w:eastAsia="宋体" w:cs="宋体"/>
          <w:color w:val="auto"/>
          <w:sz w:val="28"/>
          <w:szCs w:val="28"/>
        </w:rPr>
        <w:t>附表七  临时占地计划表</w:t>
      </w:r>
      <w:bookmarkEnd w:id="621"/>
      <w:bookmarkEnd w:id="622"/>
      <w:bookmarkEnd w:id="623"/>
      <w:bookmarkEnd w:id="624"/>
    </w:p>
    <w:tbl>
      <w:tblPr>
        <w:tblStyle w:val="29"/>
        <w:tblW w:w="8856" w:type="dxa"/>
        <w:jc w:val="center"/>
        <w:tblLayout w:type="fixed"/>
        <w:tblCellMar>
          <w:top w:w="0" w:type="dxa"/>
          <w:left w:w="10" w:type="dxa"/>
          <w:bottom w:w="0" w:type="dxa"/>
          <w:right w:w="10" w:type="dxa"/>
        </w:tblCellMar>
      </w:tblPr>
      <w:tblGrid>
        <w:gridCol w:w="2846"/>
        <w:gridCol w:w="394"/>
        <w:gridCol w:w="398"/>
        <w:gridCol w:w="600"/>
        <w:gridCol w:w="600"/>
        <w:gridCol w:w="600"/>
        <w:gridCol w:w="1560"/>
        <w:gridCol w:w="600"/>
        <w:gridCol w:w="624"/>
        <w:gridCol w:w="634"/>
      </w:tblGrid>
      <w:tr w14:paraId="66507745">
        <w:tblPrEx>
          <w:tblCellMar>
            <w:top w:w="0" w:type="dxa"/>
            <w:left w:w="10" w:type="dxa"/>
            <w:bottom w:w="0" w:type="dxa"/>
            <w:right w:w="10" w:type="dxa"/>
          </w:tblCellMar>
        </w:tblPrEx>
        <w:trPr>
          <w:trHeight w:val="427" w:hRule="exact"/>
          <w:jc w:val="center"/>
        </w:trPr>
        <w:tc>
          <w:tcPr>
            <w:tcW w:w="2846" w:type="dxa"/>
            <w:vMerge w:val="restart"/>
            <w:tcBorders>
              <w:top w:val="single" w:color="auto" w:sz="4" w:space="0"/>
              <w:left w:val="single" w:color="auto" w:sz="4" w:space="0"/>
            </w:tcBorders>
            <w:shd w:val="clear" w:color="auto" w:fill="FFFFFF"/>
            <w:noWrap w:val="0"/>
            <w:vAlign w:val="center"/>
          </w:tcPr>
          <w:p w14:paraId="34ED73A0">
            <w:pPr>
              <w:pStyle w:val="32"/>
              <w:framePr w:w="8856" w:wrap="notBeside" w:vAnchor="text" w:hAnchor="text" w:xAlign="center" w:y="1"/>
              <w:shd w:val="clear" w:color="auto" w:fill="auto"/>
              <w:spacing w:before="0" w:line="240" w:lineRule="auto"/>
              <w:ind w:firstLine="0"/>
              <w:jc w:val="center"/>
              <w:rPr>
                <w:rFonts w:hint="eastAsia" w:ascii="宋体" w:hAnsi="宋体" w:eastAsia="宋体" w:cs="宋体"/>
              </w:rPr>
            </w:pPr>
            <w:r>
              <w:rPr>
                <w:rStyle w:val="56"/>
                <w:rFonts w:hint="eastAsia" w:ascii="宋体" w:hAnsi="宋体" w:eastAsia="宋体" w:cs="宋体"/>
                <w:color w:val="auto"/>
              </w:rPr>
              <w:t>用</w:t>
            </w:r>
            <w:r>
              <w:rPr>
                <w:rStyle w:val="57"/>
                <w:rFonts w:hint="eastAsia" w:ascii="宋体" w:hAnsi="宋体" w:eastAsia="宋体" w:cs="宋体"/>
                <w:color w:val="auto"/>
                <w:lang w:val="zh-TW"/>
              </w:rPr>
              <w:t xml:space="preserve"> </w:t>
            </w:r>
            <w:r>
              <w:rPr>
                <w:rStyle w:val="56"/>
                <w:rFonts w:hint="eastAsia" w:ascii="宋体" w:hAnsi="宋体" w:eastAsia="宋体" w:cs="宋体"/>
                <w:color w:val="auto"/>
              </w:rPr>
              <w:t>途</w:t>
            </w:r>
          </w:p>
        </w:tc>
        <w:tc>
          <w:tcPr>
            <w:tcW w:w="2592" w:type="dxa"/>
            <w:gridSpan w:val="5"/>
            <w:tcBorders>
              <w:top w:val="single" w:color="auto" w:sz="4" w:space="0"/>
              <w:left w:val="single" w:color="auto" w:sz="4" w:space="0"/>
            </w:tcBorders>
            <w:shd w:val="clear" w:color="auto" w:fill="FFFFFF"/>
            <w:noWrap w:val="0"/>
            <w:vAlign w:val="center"/>
          </w:tcPr>
          <w:p w14:paraId="46E6CC00">
            <w:pPr>
              <w:pStyle w:val="32"/>
              <w:framePr w:w="8856" w:wrap="notBeside" w:vAnchor="text" w:hAnchor="text" w:xAlign="center" w:y="1"/>
              <w:shd w:val="clear" w:color="auto" w:fill="auto"/>
              <w:spacing w:before="0" w:line="240" w:lineRule="auto"/>
              <w:ind w:firstLine="0"/>
              <w:jc w:val="center"/>
              <w:rPr>
                <w:rFonts w:hint="eastAsia" w:ascii="宋体" w:hAnsi="宋体" w:eastAsia="宋体" w:cs="宋体"/>
              </w:rPr>
            </w:pPr>
            <w:r>
              <w:rPr>
                <w:rStyle w:val="56"/>
                <w:rFonts w:hint="eastAsia" w:ascii="宋体" w:hAnsi="宋体" w:eastAsia="宋体" w:cs="宋体"/>
                <w:color w:val="auto"/>
              </w:rPr>
              <w:t>面</w:t>
            </w:r>
            <w:r>
              <w:rPr>
                <w:rStyle w:val="57"/>
                <w:rFonts w:hint="eastAsia" w:ascii="宋体" w:hAnsi="宋体" w:eastAsia="宋体" w:cs="宋体"/>
                <w:color w:val="auto"/>
                <w:lang w:val="zh-TW"/>
              </w:rPr>
              <w:t xml:space="preserve"> </w:t>
            </w:r>
            <w:r>
              <w:rPr>
                <w:rStyle w:val="56"/>
                <w:rFonts w:hint="eastAsia" w:ascii="宋体" w:hAnsi="宋体" w:eastAsia="宋体" w:cs="宋体"/>
                <w:color w:val="auto"/>
              </w:rPr>
              <w:t>积</w:t>
            </w:r>
            <w:r>
              <w:rPr>
                <w:rStyle w:val="57"/>
                <w:rFonts w:hint="eastAsia" w:ascii="宋体" w:hAnsi="宋体" w:eastAsia="宋体" w:cs="宋体"/>
                <w:color w:val="auto"/>
                <w:lang w:val="zh-TW"/>
              </w:rPr>
              <w:t xml:space="preserve"> </w:t>
            </w:r>
            <w:r>
              <w:rPr>
                <w:rStyle w:val="56"/>
                <w:rFonts w:hint="eastAsia" w:ascii="宋体" w:hAnsi="宋体" w:eastAsia="宋体" w:cs="宋体"/>
                <w:color w:val="auto"/>
                <w:lang w:val="en-US"/>
              </w:rPr>
              <w:t>（</w:t>
            </w:r>
            <w:r>
              <w:rPr>
                <w:rStyle w:val="57"/>
                <w:rFonts w:hint="eastAsia" w:ascii="宋体" w:hAnsi="宋体" w:eastAsia="宋体" w:cs="宋体"/>
                <w:color w:val="auto"/>
              </w:rPr>
              <w:t>m</w:t>
            </w:r>
            <w:r>
              <w:rPr>
                <w:rStyle w:val="57"/>
                <w:rFonts w:hint="eastAsia" w:ascii="宋体" w:hAnsi="宋体" w:eastAsia="宋体" w:cs="宋体"/>
                <w:color w:val="auto"/>
                <w:vertAlign w:val="superscript"/>
              </w:rPr>
              <w:t>2</w:t>
            </w:r>
            <w:r>
              <w:rPr>
                <w:rStyle w:val="57"/>
                <w:rFonts w:hint="eastAsia" w:ascii="宋体" w:hAnsi="宋体" w:eastAsia="宋体" w:cs="宋体"/>
                <w:color w:val="auto"/>
              </w:rPr>
              <w:t>)</w:t>
            </w:r>
          </w:p>
        </w:tc>
        <w:tc>
          <w:tcPr>
            <w:tcW w:w="1560" w:type="dxa"/>
            <w:vMerge w:val="restart"/>
            <w:tcBorders>
              <w:top w:val="single" w:color="auto" w:sz="4" w:space="0"/>
              <w:left w:val="single" w:color="auto" w:sz="4" w:space="0"/>
            </w:tcBorders>
            <w:shd w:val="clear" w:color="auto" w:fill="FFFFFF"/>
            <w:noWrap w:val="0"/>
            <w:vAlign w:val="center"/>
          </w:tcPr>
          <w:p w14:paraId="214A2ED9">
            <w:pPr>
              <w:pStyle w:val="32"/>
              <w:framePr w:w="8856" w:wrap="notBeside" w:vAnchor="text" w:hAnchor="text" w:xAlign="center" w:y="1"/>
              <w:shd w:val="clear" w:color="auto" w:fill="auto"/>
              <w:spacing w:before="0" w:line="240" w:lineRule="auto"/>
              <w:ind w:firstLine="0"/>
              <w:jc w:val="center"/>
              <w:rPr>
                <w:rStyle w:val="56"/>
                <w:rFonts w:hint="eastAsia" w:ascii="宋体" w:hAnsi="宋体" w:eastAsia="宋体" w:cs="宋体"/>
                <w:color w:val="auto"/>
              </w:rPr>
            </w:pPr>
            <w:r>
              <w:rPr>
                <w:rStyle w:val="56"/>
                <w:rFonts w:hint="eastAsia" w:ascii="宋体" w:hAnsi="宋体" w:eastAsia="宋体" w:cs="宋体"/>
                <w:color w:val="auto"/>
              </w:rPr>
              <w:t xml:space="preserve">需用时间 </w:t>
            </w:r>
          </w:p>
          <w:p w14:paraId="29167A34">
            <w:pPr>
              <w:pStyle w:val="32"/>
              <w:framePr w:w="8856" w:wrap="notBeside" w:vAnchor="text" w:hAnchor="text" w:xAlign="center" w:y="1"/>
              <w:shd w:val="clear" w:color="auto" w:fill="auto"/>
              <w:spacing w:before="0" w:line="240" w:lineRule="auto"/>
              <w:ind w:firstLine="0"/>
              <w:jc w:val="center"/>
              <w:rPr>
                <w:rStyle w:val="56"/>
                <w:rFonts w:hint="eastAsia" w:ascii="宋体" w:hAnsi="宋体" w:eastAsia="宋体" w:cs="宋体"/>
                <w:color w:val="auto"/>
              </w:rPr>
            </w:pPr>
            <w:r>
              <w:rPr>
                <w:rStyle w:val="56"/>
                <w:rFonts w:hint="eastAsia" w:ascii="宋体" w:hAnsi="宋体" w:eastAsia="宋体" w:cs="宋体"/>
                <w:color w:val="auto"/>
                <w:u w:val="single"/>
                <w:lang w:val="en-US"/>
              </w:rPr>
              <w:t xml:space="preserve">  </w:t>
            </w:r>
            <w:r>
              <w:rPr>
                <w:rStyle w:val="56"/>
                <w:rFonts w:hint="eastAsia" w:ascii="宋体" w:hAnsi="宋体" w:eastAsia="宋体" w:cs="宋体"/>
                <w:color w:val="auto"/>
              </w:rPr>
              <w:t>年</w:t>
            </w:r>
            <w:r>
              <w:rPr>
                <w:rStyle w:val="56"/>
                <w:rFonts w:hint="eastAsia" w:ascii="宋体" w:hAnsi="宋体" w:eastAsia="宋体" w:cs="宋体"/>
                <w:color w:val="auto"/>
                <w:u w:val="single"/>
                <w:lang w:val="en-US"/>
              </w:rPr>
              <w:t xml:space="preserve">  </w:t>
            </w:r>
            <w:r>
              <w:rPr>
                <w:rStyle w:val="56"/>
                <w:rFonts w:hint="eastAsia" w:ascii="宋体" w:hAnsi="宋体" w:eastAsia="宋体" w:cs="宋体"/>
                <w:color w:val="auto"/>
              </w:rPr>
              <w:t xml:space="preserve">月至 </w:t>
            </w:r>
          </w:p>
          <w:p w14:paraId="2208C63C">
            <w:pPr>
              <w:pStyle w:val="32"/>
              <w:framePr w:w="8856" w:wrap="notBeside" w:vAnchor="text" w:hAnchor="text" w:xAlign="center" w:y="1"/>
              <w:shd w:val="clear" w:color="auto" w:fill="auto"/>
              <w:spacing w:before="0" w:line="240" w:lineRule="auto"/>
              <w:ind w:firstLine="0"/>
              <w:jc w:val="center"/>
              <w:rPr>
                <w:rFonts w:hint="eastAsia" w:ascii="宋体" w:hAnsi="宋体" w:eastAsia="宋体" w:cs="宋体"/>
              </w:rPr>
            </w:pPr>
            <w:r>
              <w:rPr>
                <w:rStyle w:val="56"/>
                <w:rFonts w:hint="eastAsia" w:ascii="宋体" w:hAnsi="宋体" w:eastAsia="宋体" w:cs="宋体"/>
                <w:color w:val="auto"/>
                <w:u w:val="single"/>
                <w:lang w:val="en-US"/>
              </w:rPr>
              <w:t xml:space="preserve">  </w:t>
            </w:r>
            <w:r>
              <w:rPr>
                <w:rStyle w:val="56"/>
                <w:rFonts w:hint="eastAsia" w:ascii="宋体" w:hAnsi="宋体" w:eastAsia="宋体" w:cs="宋体"/>
                <w:color w:val="auto"/>
              </w:rPr>
              <w:t>年</w:t>
            </w:r>
            <w:r>
              <w:rPr>
                <w:rStyle w:val="56"/>
                <w:rFonts w:hint="eastAsia" w:ascii="宋体" w:hAnsi="宋体" w:eastAsia="宋体" w:cs="宋体"/>
                <w:color w:val="auto"/>
                <w:u w:val="single"/>
                <w:lang w:val="en-US"/>
              </w:rPr>
              <w:t xml:space="preserve">  </w:t>
            </w:r>
            <w:r>
              <w:rPr>
                <w:rStyle w:val="56"/>
                <w:rFonts w:hint="eastAsia" w:ascii="宋体" w:hAnsi="宋体" w:eastAsia="宋体" w:cs="宋体"/>
                <w:color w:val="auto"/>
              </w:rPr>
              <w:t>月</w:t>
            </w:r>
          </w:p>
        </w:tc>
        <w:tc>
          <w:tcPr>
            <w:tcW w:w="1858" w:type="dxa"/>
            <w:gridSpan w:val="3"/>
            <w:tcBorders>
              <w:top w:val="single" w:color="auto" w:sz="4" w:space="0"/>
              <w:left w:val="single" w:color="auto" w:sz="4" w:space="0"/>
              <w:right w:val="single" w:color="auto" w:sz="4" w:space="0"/>
            </w:tcBorders>
            <w:shd w:val="clear" w:color="auto" w:fill="FFFFFF"/>
            <w:noWrap w:val="0"/>
            <w:vAlign w:val="center"/>
          </w:tcPr>
          <w:p w14:paraId="36110EB3">
            <w:pPr>
              <w:pStyle w:val="32"/>
              <w:framePr w:w="8856" w:wrap="notBeside" w:vAnchor="text" w:hAnchor="text" w:xAlign="center" w:y="1"/>
              <w:shd w:val="clear" w:color="auto" w:fill="auto"/>
              <w:spacing w:before="0" w:line="240" w:lineRule="auto"/>
              <w:ind w:firstLine="0"/>
              <w:jc w:val="center"/>
              <w:rPr>
                <w:rFonts w:hint="eastAsia" w:ascii="宋体" w:hAnsi="宋体" w:eastAsia="宋体" w:cs="宋体"/>
              </w:rPr>
            </w:pPr>
            <w:r>
              <w:rPr>
                <w:rStyle w:val="56"/>
                <w:rFonts w:hint="eastAsia" w:ascii="宋体" w:hAnsi="宋体" w:eastAsia="宋体" w:cs="宋体"/>
                <w:color w:val="auto"/>
              </w:rPr>
              <w:t>用地位置</w:t>
            </w:r>
          </w:p>
        </w:tc>
      </w:tr>
      <w:tr w14:paraId="00717466">
        <w:tblPrEx>
          <w:tblCellMar>
            <w:top w:w="0" w:type="dxa"/>
            <w:left w:w="10" w:type="dxa"/>
            <w:bottom w:w="0" w:type="dxa"/>
            <w:right w:w="10" w:type="dxa"/>
          </w:tblCellMar>
        </w:tblPrEx>
        <w:trPr>
          <w:trHeight w:val="816" w:hRule="exact"/>
          <w:jc w:val="center"/>
        </w:trPr>
        <w:tc>
          <w:tcPr>
            <w:tcW w:w="2846" w:type="dxa"/>
            <w:vMerge w:val="continue"/>
            <w:tcBorders>
              <w:left w:val="single" w:color="auto" w:sz="4" w:space="0"/>
            </w:tcBorders>
            <w:shd w:val="clear" w:color="auto" w:fill="FFFFFF"/>
            <w:noWrap w:val="0"/>
            <w:vAlign w:val="center"/>
          </w:tcPr>
          <w:p w14:paraId="12FF0106">
            <w:pPr>
              <w:framePr w:w="8856" w:wrap="notBeside" w:vAnchor="text" w:hAnchor="text" w:xAlign="center" w:y="1"/>
              <w:jc w:val="center"/>
              <w:rPr>
                <w:rFonts w:hint="eastAsia" w:ascii="宋体" w:hAnsi="宋体" w:cs="宋体"/>
              </w:rPr>
            </w:pPr>
          </w:p>
        </w:tc>
        <w:tc>
          <w:tcPr>
            <w:tcW w:w="394" w:type="dxa"/>
            <w:tcBorders>
              <w:top w:val="single" w:color="auto" w:sz="4" w:space="0"/>
              <w:left w:val="single" w:color="auto" w:sz="4" w:space="0"/>
            </w:tcBorders>
            <w:shd w:val="clear" w:color="auto" w:fill="FFFFFF"/>
            <w:noWrap w:val="0"/>
            <w:vAlign w:val="center"/>
          </w:tcPr>
          <w:p w14:paraId="48A36A70">
            <w:pPr>
              <w:pStyle w:val="32"/>
              <w:framePr w:w="8856" w:wrap="notBeside" w:vAnchor="text" w:hAnchor="text" w:xAlign="center" w:y="1"/>
              <w:shd w:val="clear" w:color="auto" w:fill="auto"/>
              <w:spacing w:before="0" w:after="180" w:line="240" w:lineRule="auto"/>
              <w:ind w:left="100" w:firstLine="0"/>
              <w:jc w:val="center"/>
              <w:rPr>
                <w:rFonts w:hint="eastAsia" w:ascii="宋体" w:hAnsi="宋体" w:eastAsia="宋体" w:cs="宋体"/>
              </w:rPr>
            </w:pPr>
            <w:r>
              <w:rPr>
                <w:rStyle w:val="56"/>
                <w:rFonts w:hint="eastAsia" w:ascii="宋体" w:hAnsi="宋体" w:eastAsia="宋体" w:cs="宋体"/>
                <w:color w:val="auto"/>
              </w:rPr>
              <w:t>菜</w:t>
            </w:r>
          </w:p>
          <w:p w14:paraId="63D4F864">
            <w:pPr>
              <w:pStyle w:val="32"/>
              <w:framePr w:w="8856" w:wrap="notBeside" w:vAnchor="text" w:hAnchor="text" w:xAlign="center" w:y="1"/>
              <w:shd w:val="clear" w:color="auto" w:fill="auto"/>
              <w:spacing w:before="180" w:line="240" w:lineRule="auto"/>
              <w:ind w:left="100" w:firstLine="0"/>
              <w:jc w:val="center"/>
              <w:rPr>
                <w:rFonts w:hint="eastAsia" w:ascii="宋体" w:hAnsi="宋体" w:eastAsia="宋体" w:cs="宋体"/>
              </w:rPr>
            </w:pPr>
            <w:r>
              <w:rPr>
                <w:rStyle w:val="56"/>
                <w:rFonts w:hint="eastAsia" w:ascii="宋体" w:hAnsi="宋体" w:eastAsia="宋体" w:cs="宋体"/>
                <w:color w:val="auto"/>
              </w:rPr>
              <w:t>地</w:t>
            </w:r>
          </w:p>
        </w:tc>
        <w:tc>
          <w:tcPr>
            <w:tcW w:w="398" w:type="dxa"/>
            <w:tcBorders>
              <w:top w:val="single" w:color="auto" w:sz="4" w:space="0"/>
              <w:left w:val="single" w:color="auto" w:sz="4" w:space="0"/>
            </w:tcBorders>
            <w:shd w:val="clear" w:color="auto" w:fill="FFFFFF"/>
            <w:noWrap w:val="0"/>
            <w:vAlign w:val="center"/>
          </w:tcPr>
          <w:p w14:paraId="14B71B45">
            <w:pPr>
              <w:pStyle w:val="32"/>
              <w:framePr w:w="8856" w:wrap="notBeside" w:vAnchor="text" w:hAnchor="text" w:xAlign="center" w:y="1"/>
              <w:shd w:val="clear" w:color="auto" w:fill="auto"/>
              <w:spacing w:before="0" w:after="180" w:line="240" w:lineRule="auto"/>
              <w:ind w:left="120" w:firstLine="0"/>
              <w:jc w:val="center"/>
              <w:rPr>
                <w:rFonts w:hint="eastAsia" w:ascii="宋体" w:hAnsi="宋体" w:eastAsia="宋体" w:cs="宋体"/>
              </w:rPr>
            </w:pPr>
            <w:r>
              <w:rPr>
                <w:rStyle w:val="56"/>
                <w:rFonts w:hint="eastAsia" w:ascii="宋体" w:hAnsi="宋体" w:eastAsia="宋体" w:cs="宋体"/>
                <w:color w:val="auto"/>
              </w:rPr>
              <w:t>水</w:t>
            </w:r>
          </w:p>
          <w:p w14:paraId="0B6CD94C">
            <w:pPr>
              <w:pStyle w:val="32"/>
              <w:framePr w:w="8856" w:wrap="notBeside" w:vAnchor="text" w:hAnchor="text" w:xAlign="center" w:y="1"/>
              <w:shd w:val="clear" w:color="auto" w:fill="auto"/>
              <w:spacing w:before="180" w:line="240" w:lineRule="auto"/>
              <w:ind w:left="120" w:firstLine="0"/>
              <w:jc w:val="center"/>
              <w:rPr>
                <w:rFonts w:hint="eastAsia" w:ascii="宋体" w:hAnsi="宋体" w:eastAsia="宋体" w:cs="宋体"/>
              </w:rPr>
            </w:pPr>
            <w:r>
              <w:rPr>
                <w:rStyle w:val="56"/>
                <w:rFonts w:hint="eastAsia" w:ascii="宋体" w:hAnsi="宋体" w:eastAsia="宋体" w:cs="宋体"/>
                <w:color w:val="auto"/>
              </w:rPr>
              <w:t>田</w:t>
            </w:r>
          </w:p>
        </w:tc>
        <w:tc>
          <w:tcPr>
            <w:tcW w:w="600" w:type="dxa"/>
            <w:tcBorders>
              <w:top w:val="single" w:color="auto" w:sz="4" w:space="0"/>
              <w:left w:val="single" w:color="auto" w:sz="4" w:space="0"/>
            </w:tcBorders>
            <w:shd w:val="clear" w:color="auto" w:fill="FFFFFF"/>
            <w:noWrap w:val="0"/>
            <w:vAlign w:val="center"/>
          </w:tcPr>
          <w:p w14:paraId="1A10838D">
            <w:pPr>
              <w:pStyle w:val="32"/>
              <w:framePr w:w="8856" w:wrap="notBeside" w:vAnchor="text" w:hAnchor="text" w:xAlign="center" w:y="1"/>
              <w:shd w:val="clear" w:color="auto" w:fill="auto"/>
              <w:spacing w:before="0" w:line="240" w:lineRule="auto"/>
              <w:ind w:left="100" w:firstLine="0"/>
              <w:jc w:val="center"/>
              <w:rPr>
                <w:rFonts w:hint="eastAsia" w:ascii="宋体" w:hAnsi="宋体" w:eastAsia="宋体" w:cs="宋体"/>
              </w:rPr>
            </w:pPr>
            <w:r>
              <w:rPr>
                <w:rStyle w:val="56"/>
                <w:rFonts w:hint="eastAsia" w:ascii="宋体" w:hAnsi="宋体" w:eastAsia="宋体" w:cs="宋体"/>
                <w:color w:val="auto"/>
              </w:rPr>
              <w:t>旱地</w:t>
            </w:r>
          </w:p>
        </w:tc>
        <w:tc>
          <w:tcPr>
            <w:tcW w:w="600" w:type="dxa"/>
            <w:tcBorders>
              <w:top w:val="single" w:color="auto" w:sz="4" w:space="0"/>
              <w:left w:val="single" w:color="auto" w:sz="4" w:space="0"/>
            </w:tcBorders>
            <w:shd w:val="clear" w:color="auto" w:fill="FFFFFF"/>
            <w:noWrap w:val="0"/>
            <w:vAlign w:val="center"/>
          </w:tcPr>
          <w:p w14:paraId="3C7BFE6F">
            <w:pPr>
              <w:pStyle w:val="32"/>
              <w:framePr w:w="8856" w:wrap="notBeside" w:vAnchor="text" w:hAnchor="text" w:xAlign="center" w:y="1"/>
              <w:shd w:val="clear" w:color="auto" w:fill="auto"/>
              <w:spacing w:before="0" w:line="240" w:lineRule="auto"/>
              <w:ind w:left="100" w:firstLine="0"/>
              <w:jc w:val="center"/>
              <w:rPr>
                <w:rFonts w:hint="eastAsia" w:ascii="宋体" w:hAnsi="宋体" w:eastAsia="宋体" w:cs="宋体"/>
              </w:rPr>
            </w:pPr>
            <w:r>
              <w:rPr>
                <w:rStyle w:val="56"/>
                <w:rFonts w:hint="eastAsia" w:ascii="宋体" w:hAnsi="宋体" w:eastAsia="宋体" w:cs="宋体"/>
                <w:color w:val="auto"/>
              </w:rPr>
              <w:t>果园</w:t>
            </w:r>
          </w:p>
        </w:tc>
        <w:tc>
          <w:tcPr>
            <w:tcW w:w="600" w:type="dxa"/>
            <w:tcBorders>
              <w:top w:val="single" w:color="auto" w:sz="4" w:space="0"/>
              <w:left w:val="single" w:color="auto" w:sz="4" w:space="0"/>
            </w:tcBorders>
            <w:shd w:val="clear" w:color="auto" w:fill="FFFFFF"/>
            <w:noWrap w:val="0"/>
            <w:vAlign w:val="center"/>
          </w:tcPr>
          <w:p w14:paraId="144F4F62">
            <w:pPr>
              <w:pStyle w:val="32"/>
              <w:framePr w:w="8856" w:wrap="notBeside" w:vAnchor="text" w:hAnchor="text" w:xAlign="center" w:y="1"/>
              <w:shd w:val="clear" w:color="auto" w:fill="auto"/>
              <w:spacing w:before="0" w:line="240" w:lineRule="auto"/>
              <w:ind w:left="100" w:firstLine="0"/>
              <w:jc w:val="center"/>
              <w:rPr>
                <w:rFonts w:hint="eastAsia" w:ascii="宋体" w:hAnsi="宋体" w:eastAsia="宋体" w:cs="宋体"/>
              </w:rPr>
            </w:pPr>
            <w:r>
              <w:rPr>
                <w:rStyle w:val="56"/>
                <w:rFonts w:hint="eastAsia" w:ascii="宋体" w:hAnsi="宋体" w:eastAsia="宋体" w:cs="宋体"/>
                <w:color w:val="auto"/>
              </w:rPr>
              <w:t>荒地</w:t>
            </w:r>
          </w:p>
        </w:tc>
        <w:tc>
          <w:tcPr>
            <w:tcW w:w="1560" w:type="dxa"/>
            <w:vMerge w:val="continue"/>
            <w:tcBorders>
              <w:left w:val="single" w:color="auto" w:sz="4" w:space="0"/>
            </w:tcBorders>
            <w:shd w:val="clear" w:color="auto" w:fill="FFFFFF"/>
            <w:noWrap w:val="0"/>
            <w:vAlign w:val="center"/>
          </w:tcPr>
          <w:p w14:paraId="1FE35EEF">
            <w:pPr>
              <w:framePr w:w="8856" w:wrap="notBeside" w:vAnchor="text" w:hAnchor="text" w:xAlign="center" w:y="1"/>
              <w:jc w:val="center"/>
              <w:rPr>
                <w:rFonts w:hint="eastAsia" w:ascii="宋体" w:hAnsi="宋体" w:cs="宋体"/>
              </w:rPr>
            </w:pPr>
          </w:p>
        </w:tc>
        <w:tc>
          <w:tcPr>
            <w:tcW w:w="600" w:type="dxa"/>
            <w:tcBorders>
              <w:top w:val="single" w:color="auto" w:sz="4" w:space="0"/>
              <w:left w:val="single" w:color="auto" w:sz="4" w:space="0"/>
            </w:tcBorders>
            <w:shd w:val="clear" w:color="auto" w:fill="FFFFFF"/>
            <w:noWrap w:val="0"/>
            <w:vAlign w:val="center"/>
          </w:tcPr>
          <w:p w14:paraId="25CA37CD">
            <w:pPr>
              <w:pStyle w:val="32"/>
              <w:framePr w:w="8856" w:wrap="notBeside" w:vAnchor="text" w:hAnchor="text" w:xAlign="center" w:y="1"/>
              <w:shd w:val="clear" w:color="auto" w:fill="auto"/>
              <w:spacing w:before="0" w:line="240" w:lineRule="auto"/>
              <w:ind w:right="60" w:firstLine="0"/>
              <w:jc w:val="center"/>
              <w:rPr>
                <w:rFonts w:hint="eastAsia" w:ascii="宋体" w:hAnsi="宋体" w:eastAsia="宋体" w:cs="宋体"/>
              </w:rPr>
            </w:pPr>
            <w:r>
              <w:rPr>
                <w:rStyle w:val="56"/>
                <w:rFonts w:hint="eastAsia" w:ascii="宋体" w:hAnsi="宋体" w:eastAsia="宋体" w:cs="宋体"/>
                <w:color w:val="auto"/>
              </w:rPr>
              <w:t>桩号</w:t>
            </w:r>
          </w:p>
        </w:tc>
        <w:tc>
          <w:tcPr>
            <w:tcW w:w="624" w:type="dxa"/>
            <w:tcBorders>
              <w:top w:val="single" w:color="auto" w:sz="4" w:space="0"/>
              <w:left w:val="single" w:color="auto" w:sz="4" w:space="0"/>
            </w:tcBorders>
            <w:shd w:val="clear" w:color="auto" w:fill="FFFFFF"/>
            <w:noWrap w:val="0"/>
            <w:vAlign w:val="center"/>
          </w:tcPr>
          <w:p w14:paraId="3F75868A">
            <w:pPr>
              <w:pStyle w:val="32"/>
              <w:framePr w:w="8856" w:wrap="notBeside" w:vAnchor="text" w:hAnchor="text" w:xAlign="center" w:y="1"/>
              <w:shd w:val="clear" w:color="auto" w:fill="auto"/>
              <w:spacing w:before="0" w:after="180" w:line="240" w:lineRule="auto"/>
              <w:ind w:left="140" w:firstLine="0"/>
              <w:jc w:val="center"/>
              <w:rPr>
                <w:rFonts w:hint="eastAsia" w:ascii="宋体" w:hAnsi="宋体" w:eastAsia="宋体" w:cs="宋体"/>
              </w:rPr>
            </w:pPr>
            <w:r>
              <w:rPr>
                <w:rStyle w:val="56"/>
                <w:rFonts w:hint="eastAsia" w:ascii="宋体" w:hAnsi="宋体" w:eastAsia="宋体" w:cs="宋体"/>
                <w:color w:val="auto"/>
              </w:rPr>
              <w:t>左侧</w:t>
            </w:r>
          </w:p>
          <w:p w14:paraId="13CF0B09">
            <w:pPr>
              <w:pStyle w:val="32"/>
              <w:framePr w:w="8856" w:wrap="notBeside" w:vAnchor="text" w:hAnchor="text" w:xAlign="center" w:y="1"/>
              <w:shd w:val="clear" w:color="auto" w:fill="auto"/>
              <w:spacing w:before="180" w:line="240" w:lineRule="auto"/>
              <w:ind w:left="140" w:firstLine="0"/>
              <w:jc w:val="center"/>
              <w:rPr>
                <w:rFonts w:hint="eastAsia" w:ascii="宋体" w:hAnsi="宋体" w:eastAsia="宋体" w:cs="宋体"/>
              </w:rPr>
            </w:pPr>
            <w:r>
              <w:rPr>
                <w:rStyle w:val="57"/>
                <w:rFonts w:hint="eastAsia" w:ascii="宋体" w:hAnsi="宋体" w:eastAsia="宋体" w:cs="宋体"/>
                <w:color w:val="auto"/>
              </w:rPr>
              <w:t>(m)</w:t>
            </w:r>
          </w:p>
        </w:tc>
        <w:tc>
          <w:tcPr>
            <w:tcW w:w="634" w:type="dxa"/>
            <w:tcBorders>
              <w:top w:val="single" w:color="auto" w:sz="4" w:space="0"/>
              <w:left w:val="single" w:color="auto" w:sz="4" w:space="0"/>
              <w:right w:val="single" w:color="auto" w:sz="4" w:space="0"/>
            </w:tcBorders>
            <w:shd w:val="clear" w:color="auto" w:fill="FFFFFF"/>
            <w:noWrap w:val="0"/>
            <w:vAlign w:val="center"/>
          </w:tcPr>
          <w:p w14:paraId="5BF47ECA">
            <w:pPr>
              <w:pStyle w:val="32"/>
              <w:framePr w:w="8856" w:wrap="notBeside" w:vAnchor="text" w:hAnchor="text" w:xAlign="center" w:y="1"/>
              <w:shd w:val="clear" w:color="auto" w:fill="auto"/>
              <w:spacing w:before="0" w:after="180" w:line="240" w:lineRule="auto"/>
              <w:ind w:left="140" w:firstLine="0"/>
              <w:jc w:val="center"/>
              <w:rPr>
                <w:rFonts w:hint="eastAsia" w:ascii="宋体" w:hAnsi="宋体" w:eastAsia="宋体" w:cs="宋体"/>
              </w:rPr>
            </w:pPr>
            <w:r>
              <w:rPr>
                <w:rStyle w:val="56"/>
                <w:rFonts w:hint="eastAsia" w:ascii="宋体" w:hAnsi="宋体" w:eastAsia="宋体" w:cs="宋体"/>
                <w:color w:val="auto"/>
              </w:rPr>
              <w:t>右侧</w:t>
            </w:r>
          </w:p>
          <w:p w14:paraId="1735DC3C">
            <w:pPr>
              <w:pStyle w:val="32"/>
              <w:framePr w:w="8856" w:wrap="notBeside" w:vAnchor="text" w:hAnchor="text" w:xAlign="center" w:y="1"/>
              <w:shd w:val="clear" w:color="auto" w:fill="auto"/>
              <w:spacing w:before="180" w:line="240" w:lineRule="auto"/>
              <w:ind w:left="140" w:firstLine="0"/>
              <w:jc w:val="center"/>
              <w:rPr>
                <w:rFonts w:hint="eastAsia" w:ascii="宋体" w:hAnsi="宋体" w:eastAsia="宋体" w:cs="宋体"/>
              </w:rPr>
            </w:pPr>
            <w:r>
              <w:rPr>
                <w:rStyle w:val="57"/>
                <w:rFonts w:hint="eastAsia" w:ascii="宋体" w:hAnsi="宋体" w:eastAsia="宋体" w:cs="宋体"/>
                <w:color w:val="auto"/>
              </w:rPr>
              <w:t>(m)</w:t>
            </w:r>
          </w:p>
        </w:tc>
      </w:tr>
      <w:tr w14:paraId="26AAA63D">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center"/>
          </w:tcPr>
          <w:p w14:paraId="643EF2A0">
            <w:pPr>
              <w:pStyle w:val="32"/>
              <w:framePr w:w="8856" w:wrap="notBeside" w:vAnchor="text" w:hAnchor="text" w:xAlign="center" w:y="1"/>
              <w:shd w:val="clear" w:color="auto" w:fill="auto"/>
              <w:spacing w:before="0" w:line="190" w:lineRule="exact"/>
              <w:ind w:left="60" w:firstLine="0"/>
              <w:jc w:val="both"/>
              <w:rPr>
                <w:rFonts w:hint="eastAsia" w:ascii="宋体" w:hAnsi="宋体" w:eastAsia="宋体" w:cs="宋体"/>
                <w:sz w:val="18"/>
                <w:szCs w:val="18"/>
              </w:rPr>
            </w:pPr>
            <w:r>
              <w:rPr>
                <w:rStyle w:val="56"/>
                <w:rFonts w:hint="eastAsia" w:ascii="宋体" w:hAnsi="宋体" w:eastAsia="宋体" w:cs="宋体"/>
                <w:color w:val="auto"/>
                <w:sz w:val="18"/>
                <w:szCs w:val="18"/>
              </w:rPr>
              <w:t>一、临时工程</w:t>
            </w:r>
          </w:p>
        </w:tc>
        <w:tc>
          <w:tcPr>
            <w:tcW w:w="394" w:type="dxa"/>
            <w:tcBorders>
              <w:top w:val="single" w:color="auto" w:sz="4" w:space="0"/>
              <w:left w:val="single" w:color="auto" w:sz="4" w:space="0"/>
            </w:tcBorders>
            <w:shd w:val="clear" w:color="auto" w:fill="FFFFFF"/>
            <w:noWrap w:val="0"/>
            <w:vAlign w:val="top"/>
          </w:tcPr>
          <w:p w14:paraId="2D1D73AB">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679D4DC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7D40228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217A3A4">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DC5463E">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598253A6">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9F74F11">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3D1885A6">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150F6328">
            <w:pPr>
              <w:framePr w:w="8856" w:wrap="notBeside" w:vAnchor="text" w:hAnchor="text" w:xAlign="center" w:y="1"/>
              <w:rPr>
                <w:rFonts w:hint="eastAsia" w:ascii="宋体" w:hAnsi="宋体" w:cs="宋体"/>
                <w:sz w:val="10"/>
                <w:szCs w:val="10"/>
              </w:rPr>
            </w:pPr>
          </w:p>
        </w:tc>
      </w:tr>
      <w:tr w14:paraId="28AF5BE3">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center"/>
          </w:tcPr>
          <w:p w14:paraId="330BC9B4">
            <w:pPr>
              <w:pStyle w:val="32"/>
              <w:framePr w:w="8856" w:wrap="notBeside" w:vAnchor="text" w:hAnchor="text" w:xAlign="center" w:y="1"/>
              <w:shd w:val="clear" w:color="auto" w:fill="auto"/>
              <w:spacing w:before="0" w:line="190" w:lineRule="exact"/>
              <w:ind w:left="260" w:firstLine="0"/>
              <w:jc w:val="both"/>
              <w:rPr>
                <w:rFonts w:hint="eastAsia" w:ascii="宋体" w:hAnsi="宋体" w:eastAsia="宋体" w:cs="宋体"/>
                <w:sz w:val="18"/>
                <w:szCs w:val="18"/>
              </w:rPr>
            </w:pPr>
            <w:r>
              <w:rPr>
                <w:rStyle w:val="58"/>
                <w:rFonts w:hint="eastAsia" w:ascii="宋体" w:hAnsi="宋体" w:eastAsia="宋体" w:cs="宋体"/>
                <w:color w:val="auto"/>
                <w:sz w:val="18"/>
                <w:szCs w:val="18"/>
              </w:rPr>
              <w:t>1</w:t>
            </w:r>
            <w:r>
              <w:rPr>
                <w:rStyle w:val="56"/>
                <w:rFonts w:hint="eastAsia" w:ascii="宋体" w:hAnsi="宋体" w:eastAsia="宋体" w:cs="宋体"/>
                <w:color w:val="auto"/>
                <w:sz w:val="18"/>
                <w:szCs w:val="18"/>
                <w:lang w:val="en-US"/>
              </w:rPr>
              <w:t>.</w:t>
            </w:r>
            <w:r>
              <w:rPr>
                <w:rStyle w:val="56"/>
                <w:rFonts w:hint="eastAsia" w:ascii="宋体" w:hAnsi="宋体" w:eastAsia="宋体" w:cs="宋体"/>
                <w:color w:val="auto"/>
                <w:sz w:val="18"/>
                <w:szCs w:val="18"/>
              </w:rPr>
              <w:t>便道</w:t>
            </w:r>
          </w:p>
        </w:tc>
        <w:tc>
          <w:tcPr>
            <w:tcW w:w="394" w:type="dxa"/>
            <w:tcBorders>
              <w:top w:val="single" w:color="auto" w:sz="4" w:space="0"/>
              <w:left w:val="single" w:color="auto" w:sz="4" w:space="0"/>
            </w:tcBorders>
            <w:shd w:val="clear" w:color="auto" w:fill="FFFFFF"/>
            <w:noWrap w:val="0"/>
            <w:vAlign w:val="top"/>
          </w:tcPr>
          <w:p w14:paraId="200059DB">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745B9B6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AC9F494">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07E6C6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8509D59">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41A999F0">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8888FC0">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187E2D2D">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317DFA7F">
            <w:pPr>
              <w:framePr w:w="8856" w:wrap="notBeside" w:vAnchor="text" w:hAnchor="text" w:xAlign="center" w:y="1"/>
              <w:rPr>
                <w:rFonts w:hint="eastAsia" w:ascii="宋体" w:hAnsi="宋体" w:cs="宋体"/>
                <w:sz w:val="10"/>
                <w:szCs w:val="10"/>
              </w:rPr>
            </w:pPr>
          </w:p>
        </w:tc>
      </w:tr>
      <w:tr w14:paraId="1AF44171">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center"/>
          </w:tcPr>
          <w:p w14:paraId="5059246B">
            <w:pPr>
              <w:pStyle w:val="32"/>
              <w:framePr w:w="8856" w:wrap="notBeside" w:vAnchor="text" w:hAnchor="text" w:xAlign="center" w:y="1"/>
              <w:shd w:val="clear" w:color="auto" w:fill="auto"/>
              <w:spacing w:before="0" w:line="190" w:lineRule="exact"/>
              <w:ind w:left="260" w:firstLine="0"/>
              <w:jc w:val="both"/>
              <w:rPr>
                <w:rFonts w:hint="eastAsia" w:ascii="宋体" w:hAnsi="宋体" w:eastAsia="宋体" w:cs="宋体"/>
                <w:sz w:val="18"/>
                <w:szCs w:val="18"/>
              </w:rPr>
            </w:pPr>
            <w:r>
              <w:rPr>
                <w:rStyle w:val="58"/>
                <w:rFonts w:hint="eastAsia" w:ascii="宋体" w:hAnsi="宋体" w:eastAsia="宋体" w:cs="宋体"/>
                <w:color w:val="auto"/>
                <w:sz w:val="18"/>
                <w:szCs w:val="18"/>
              </w:rPr>
              <w:t>2</w:t>
            </w:r>
            <w:r>
              <w:rPr>
                <w:rStyle w:val="56"/>
                <w:rFonts w:hint="eastAsia" w:ascii="宋体" w:hAnsi="宋体" w:eastAsia="宋体" w:cs="宋体"/>
                <w:color w:val="auto"/>
                <w:sz w:val="18"/>
                <w:szCs w:val="18"/>
                <w:lang w:val="en-US"/>
              </w:rPr>
              <w:t>.</w:t>
            </w:r>
            <w:r>
              <w:rPr>
                <w:rStyle w:val="56"/>
                <w:rFonts w:hint="eastAsia" w:ascii="宋体" w:hAnsi="宋体" w:eastAsia="宋体" w:cs="宋体"/>
                <w:color w:val="auto"/>
                <w:sz w:val="18"/>
                <w:szCs w:val="18"/>
              </w:rPr>
              <w:t>便桥</w:t>
            </w:r>
          </w:p>
        </w:tc>
        <w:tc>
          <w:tcPr>
            <w:tcW w:w="394" w:type="dxa"/>
            <w:tcBorders>
              <w:top w:val="single" w:color="auto" w:sz="4" w:space="0"/>
              <w:left w:val="single" w:color="auto" w:sz="4" w:space="0"/>
            </w:tcBorders>
            <w:shd w:val="clear" w:color="auto" w:fill="FFFFFF"/>
            <w:noWrap w:val="0"/>
            <w:vAlign w:val="top"/>
          </w:tcPr>
          <w:p w14:paraId="6996023A">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15D328E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0B0463E">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8D4C3D5">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9EE3B56">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5BEE7830">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20102B3">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5031ED95">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2C08C152">
            <w:pPr>
              <w:framePr w:w="8856" w:wrap="notBeside" w:vAnchor="text" w:hAnchor="text" w:xAlign="center" w:y="1"/>
              <w:rPr>
                <w:rFonts w:hint="eastAsia" w:ascii="宋体" w:hAnsi="宋体" w:cs="宋体"/>
                <w:sz w:val="10"/>
                <w:szCs w:val="10"/>
              </w:rPr>
            </w:pPr>
          </w:p>
        </w:tc>
      </w:tr>
      <w:tr w14:paraId="3C983526">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center"/>
          </w:tcPr>
          <w:p w14:paraId="535D5633">
            <w:pPr>
              <w:pStyle w:val="32"/>
              <w:framePr w:w="8856" w:wrap="notBeside" w:vAnchor="text" w:hAnchor="text" w:xAlign="center" w:y="1"/>
              <w:shd w:val="clear" w:color="auto" w:fill="auto"/>
              <w:tabs>
                <w:tab w:val="left" w:leader="dot" w:pos="798"/>
              </w:tabs>
              <w:spacing w:before="0" w:line="190" w:lineRule="exact"/>
              <w:ind w:left="260" w:firstLine="0"/>
              <w:jc w:val="both"/>
              <w:rPr>
                <w:rFonts w:hint="eastAsia" w:ascii="宋体" w:hAnsi="宋体" w:eastAsia="宋体" w:cs="宋体"/>
                <w:sz w:val="18"/>
                <w:szCs w:val="18"/>
              </w:rPr>
            </w:pPr>
            <w:r>
              <w:rPr>
                <w:rStyle w:val="57"/>
                <w:rFonts w:hint="eastAsia" w:ascii="宋体" w:hAnsi="宋体" w:eastAsia="宋体" w:cs="宋体"/>
                <w:color w:val="auto"/>
                <w:sz w:val="18"/>
                <w:szCs w:val="18"/>
                <w:lang w:val="zh-TW"/>
              </w:rPr>
              <w:t>3</w:t>
            </w:r>
            <w:r>
              <w:rPr>
                <w:rStyle w:val="57"/>
                <w:rFonts w:hint="eastAsia" w:ascii="宋体" w:hAnsi="宋体" w:eastAsia="宋体" w:cs="宋体"/>
                <w:color w:val="auto"/>
                <w:sz w:val="18"/>
                <w:szCs w:val="18"/>
              </w:rPr>
              <w:tab/>
            </w:r>
          </w:p>
        </w:tc>
        <w:tc>
          <w:tcPr>
            <w:tcW w:w="394" w:type="dxa"/>
            <w:tcBorders>
              <w:top w:val="single" w:color="auto" w:sz="4" w:space="0"/>
              <w:left w:val="single" w:color="auto" w:sz="4" w:space="0"/>
            </w:tcBorders>
            <w:shd w:val="clear" w:color="auto" w:fill="FFFFFF"/>
            <w:noWrap w:val="0"/>
            <w:vAlign w:val="top"/>
          </w:tcPr>
          <w:p w14:paraId="78C03CBB">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026A6314">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52C55A5">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1B4BF8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40AB21E">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2414E3FE">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8B849F7">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20A2B253">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08963CD7">
            <w:pPr>
              <w:framePr w:w="8856" w:wrap="notBeside" w:vAnchor="text" w:hAnchor="text" w:xAlign="center" w:y="1"/>
              <w:rPr>
                <w:rFonts w:hint="eastAsia" w:ascii="宋体" w:hAnsi="宋体" w:cs="宋体"/>
                <w:sz w:val="10"/>
                <w:szCs w:val="10"/>
              </w:rPr>
            </w:pPr>
          </w:p>
        </w:tc>
      </w:tr>
      <w:tr w14:paraId="4C5562B4">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center"/>
          </w:tcPr>
          <w:p w14:paraId="0A860110">
            <w:pPr>
              <w:pStyle w:val="32"/>
              <w:framePr w:w="8856" w:wrap="notBeside" w:vAnchor="text" w:hAnchor="text" w:xAlign="center" w:y="1"/>
              <w:shd w:val="clear" w:color="auto" w:fill="auto"/>
              <w:tabs>
                <w:tab w:val="left" w:leader="dot" w:pos="798"/>
              </w:tabs>
              <w:spacing w:before="0" w:line="190" w:lineRule="exact"/>
              <w:ind w:left="260" w:firstLine="0"/>
              <w:jc w:val="both"/>
              <w:rPr>
                <w:rStyle w:val="57"/>
                <w:rFonts w:hint="eastAsia" w:ascii="宋体" w:hAnsi="宋体" w:eastAsia="宋体" w:cs="宋体"/>
                <w:color w:val="auto"/>
                <w:sz w:val="18"/>
                <w:szCs w:val="18"/>
                <w:lang w:val="zh-TW"/>
              </w:rPr>
            </w:pPr>
            <w:r>
              <w:rPr>
                <w:rStyle w:val="57"/>
                <w:rFonts w:hint="eastAsia" w:ascii="宋体" w:hAnsi="宋体" w:eastAsia="宋体" w:cs="宋体"/>
                <w:b/>
                <w:bCs/>
                <w:color w:val="auto"/>
                <w:sz w:val="18"/>
                <w:szCs w:val="18"/>
                <w:lang w:val="zh-TW"/>
              </w:rPr>
              <w:t>......</w:t>
            </w:r>
          </w:p>
        </w:tc>
        <w:tc>
          <w:tcPr>
            <w:tcW w:w="394" w:type="dxa"/>
            <w:tcBorders>
              <w:top w:val="single" w:color="auto" w:sz="4" w:space="0"/>
              <w:left w:val="single" w:color="auto" w:sz="4" w:space="0"/>
            </w:tcBorders>
            <w:shd w:val="clear" w:color="auto" w:fill="FFFFFF"/>
            <w:noWrap w:val="0"/>
            <w:vAlign w:val="top"/>
          </w:tcPr>
          <w:p w14:paraId="1686AB9F">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3D5CE92D">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2BE9789">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57A06C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7C086BF4">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73E1F443">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AE3EAB9">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03427B1D">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07211E77">
            <w:pPr>
              <w:framePr w:w="8856" w:wrap="notBeside" w:vAnchor="text" w:hAnchor="text" w:xAlign="center" w:y="1"/>
              <w:rPr>
                <w:rFonts w:hint="eastAsia" w:ascii="宋体" w:hAnsi="宋体" w:cs="宋体"/>
                <w:sz w:val="10"/>
                <w:szCs w:val="10"/>
              </w:rPr>
            </w:pPr>
          </w:p>
        </w:tc>
      </w:tr>
      <w:tr w14:paraId="48E5C614">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center"/>
          </w:tcPr>
          <w:p w14:paraId="536B4F00">
            <w:pPr>
              <w:pStyle w:val="32"/>
              <w:framePr w:w="8856" w:wrap="notBeside" w:vAnchor="text" w:hAnchor="text" w:xAlign="center" w:y="1"/>
              <w:shd w:val="clear" w:color="auto" w:fill="auto"/>
              <w:spacing w:before="0" w:line="190" w:lineRule="exact"/>
              <w:ind w:left="60" w:firstLine="0"/>
              <w:jc w:val="both"/>
              <w:rPr>
                <w:rFonts w:hint="eastAsia" w:ascii="宋体" w:hAnsi="宋体" w:eastAsia="宋体" w:cs="宋体"/>
                <w:sz w:val="18"/>
                <w:szCs w:val="18"/>
              </w:rPr>
            </w:pPr>
            <w:r>
              <w:rPr>
                <w:rStyle w:val="56"/>
                <w:rFonts w:hint="eastAsia" w:ascii="宋体" w:hAnsi="宋体" w:eastAsia="宋体" w:cs="宋体"/>
                <w:color w:val="auto"/>
                <w:sz w:val="18"/>
                <w:szCs w:val="18"/>
              </w:rPr>
              <w:t>二、生产及生活临时设施</w:t>
            </w:r>
          </w:p>
        </w:tc>
        <w:tc>
          <w:tcPr>
            <w:tcW w:w="394" w:type="dxa"/>
            <w:tcBorders>
              <w:top w:val="single" w:color="auto" w:sz="4" w:space="0"/>
              <w:left w:val="single" w:color="auto" w:sz="4" w:space="0"/>
            </w:tcBorders>
            <w:shd w:val="clear" w:color="auto" w:fill="FFFFFF"/>
            <w:noWrap w:val="0"/>
            <w:vAlign w:val="top"/>
          </w:tcPr>
          <w:p w14:paraId="67C94116">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36A60286">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88A7B9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05A5049">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D5D0F0F">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5A47267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62E4FEA">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1378A956">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5769A86C">
            <w:pPr>
              <w:framePr w:w="8856" w:wrap="notBeside" w:vAnchor="text" w:hAnchor="text" w:xAlign="center" w:y="1"/>
              <w:rPr>
                <w:rFonts w:hint="eastAsia" w:ascii="宋体" w:hAnsi="宋体" w:cs="宋体"/>
                <w:sz w:val="10"/>
                <w:szCs w:val="10"/>
              </w:rPr>
            </w:pPr>
          </w:p>
        </w:tc>
      </w:tr>
      <w:tr w14:paraId="2A6A1C7C">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center"/>
          </w:tcPr>
          <w:p w14:paraId="09D6D878">
            <w:pPr>
              <w:pStyle w:val="32"/>
              <w:framePr w:w="8856" w:wrap="notBeside" w:vAnchor="text" w:hAnchor="text" w:xAlign="center" w:y="1"/>
              <w:shd w:val="clear" w:color="auto" w:fill="auto"/>
              <w:spacing w:before="0" w:line="240" w:lineRule="auto"/>
              <w:ind w:left="260" w:firstLine="0"/>
              <w:jc w:val="both"/>
              <w:rPr>
                <w:rFonts w:hint="eastAsia" w:ascii="宋体" w:hAnsi="宋体" w:eastAsia="宋体" w:cs="宋体"/>
                <w:sz w:val="18"/>
                <w:szCs w:val="18"/>
              </w:rPr>
            </w:pPr>
            <w:r>
              <w:rPr>
                <w:rStyle w:val="58"/>
                <w:rFonts w:hint="eastAsia" w:ascii="宋体" w:hAnsi="宋体" w:eastAsia="宋体" w:cs="宋体"/>
                <w:color w:val="auto"/>
                <w:sz w:val="18"/>
                <w:szCs w:val="18"/>
              </w:rPr>
              <w:t>1</w:t>
            </w:r>
            <w:r>
              <w:rPr>
                <w:rStyle w:val="56"/>
                <w:rFonts w:hint="eastAsia" w:ascii="宋体" w:hAnsi="宋体" w:eastAsia="宋体" w:cs="宋体"/>
                <w:color w:val="auto"/>
                <w:sz w:val="18"/>
                <w:szCs w:val="18"/>
                <w:lang w:val="en-US"/>
              </w:rPr>
              <w:t>.</w:t>
            </w:r>
            <w:r>
              <w:rPr>
                <w:rStyle w:val="56"/>
                <w:rFonts w:hint="eastAsia" w:ascii="宋体" w:hAnsi="宋体" w:eastAsia="宋体" w:cs="宋体"/>
                <w:color w:val="auto"/>
                <w:sz w:val="18"/>
                <w:szCs w:val="18"/>
              </w:rPr>
              <w:t>临时住房</w:t>
            </w:r>
          </w:p>
        </w:tc>
        <w:tc>
          <w:tcPr>
            <w:tcW w:w="394" w:type="dxa"/>
            <w:tcBorders>
              <w:top w:val="single" w:color="auto" w:sz="4" w:space="0"/>
              <w:left w:val="single" w:color="auto" w:sz="4" w:space="0"/>
            </w:tcBorders>
            <w:shd w:val="clear" w:color="auto" w:fill="FFFFFF"/>
            <w:noWrap w:val="0"/>
            <w:vAlign w:val="top"/>
          </w:tcPr>
          <w:p w14:paraId="13844745">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4C5FC07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7104E4D">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70DB3FE9">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40BE52D">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0F3C057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77C5604">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7E629112">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672B6F5D">
            <w:pPr>
              <w:framePr w:w="8856" w:wrap="notBeside" w:vAnchor="text" w:hAnchor="text" w:xAlign="center" w:y="1"/>
              <w:rPr>
                <w:rFonts w:hint="eastAsia" w:ascii="宋体" w:hAnsi="宋体" w:cs="宋体"/>
                <w:sz w:val="10"/>
                <w:szCs w:val="10"/>
              </w:rPr>
            </w:pPr>
          </w:p>
        </w:tc>
      </w:tr>
      <w:tr w14:paraId="454CA673">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center"/>
          </w:tcPr>
          <w:p w14:paraId="76245B72">
            <w:pPr>
              <w:pStyle w:val="32"/>
              <w:framePr w:w="8856" w:wrap="notBeside" w:vAnchor="text" w:hAnchor="text" w:xAlign="center" w:y="1"/>
              <w:shd w:val="clear" w:color="auto" w:fill="auto"/>
              <w:spacing w:before="0" w:line="240" w:lineRule="auto"/>
              <w:ind w:left="260" w:firstLine="0"/>
              <w:jc w:val="both"/>
              <w:rPr>
                <w:rFonts w:hint="eastAsia" w:ascii="宋体" w:hAnsi="宋体" w:eastAsia="宋体" w:cs="宋体"/>
                <w:sz w:val="18"/>
                <w:szCs w:val="18"/>
              </w:rPr>
            </w:pPr>
            <w:r>
              <w:rPr>
                <w:rStyle w:val="58"/>
                <w:rFonts w:hint="eastAsia" w:ascii="宋体" w:hAnsi="宋体" w:eastAsia="宋体" w:cs="宋体"/>
                <w:color w:val="auto"/>
                <w:sz w:val="18"/>
                <w:szCs w:val="18"/>
              </w:rPr>
              <w:t>2</w:t>
            </w:r>
            <w:r>
              <w:rPr>
                <w:rStyle w:val="56"/>
                <w:rFonts w:hint="eastAsia" w:ascii="宋体" w:hAnsi="宋体" w:eastAsia="宋体" w:cs="宋体"/>
                <w:color w:val="auto"/>
                <w:sz w:val="18"/>
                <w:szCs w:val="18"/>
                <w:lang w:val="en-US"/>
              </w:rPr>
              <w:t>.</w:t>
            </w:r>
            <w:r>
              <w:rPr>
                <w:rStyle w:val="56"/>
                <w:rFonts w:hint="eastAsia" w:ascii="宋体" w:hAnsi="宋体" w:eastAsia="宋体" w:cs="宋体"/>
                <w:color w:val="auto"/>
                <w:sz w:val="18"/>
                <w:szCs w:val="18"/>
              </w:rPr>
              <w:t>办公等公用房屋</w:t>
            </w:r>
          </w:p>
        </w:tc>
        <w:tc>
          <w:tcPr>
            <w:tcW w:w="394" w:type="dxa"/>
            <w:tcBorders>
              <w:top w:val="single" w:color="auto" w:sz="4" w:space="0"/>
              <w:left w:val="single" w:color="auto" w:sz="4" w:space="0"/>
            </w:tcBorders>
            <w:shd w:val="clear" w:color="auto" w:fill="FFFFFF"/>
            <w:noWrap w:val="0"/>
            <w:vAlign w:val="top"/>
          </w:tcPr>
          <w:p w14:paraId="7C4DEAB0">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370F2B59">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CEC941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A937F7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7CC91B4">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41E2E7C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46E55EC">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127AFDFD">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653A87C6">
            <w:pPr>
              <w:framePr w:w="8856" w:wrap="notBeside" w:vAnchor="text" w:hAnchor="text" w:xAlign="center" w:y="1"/>
              <w:rPr>
                <w:rFonts w:hint="eastAsia" w:ascii="宋体" w:hAnsi="宋体" w:cs="宋体"/>
                <w:sz w:val="10"/>
                <w:szCs w:val="10"/>
              </w:rPr>
            </w:pPr>
          </w:p>
        </w:tc>
      </w:tr>
      <w:tr w14:paraId="069D8723">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center"/>
          </w:tcPr>
          <w:p w14:paraId="3626CDA9">
            <w:pPr>
              <w:pStyle w:val="32"/>
              <w:framePr w:w="8856" w:wrap="notBeside" w:vAnchor="text" w:hAnchor="text" w:xAlign="center" w:y="1"/>
              <w:shd w:val="clear" w:color="auto" w:fill="auto"/>
              <w:spacing w:before="0" w:line="240" w:lineRule="auto"/>
              <w:ind w:left="260" w:firstLine="0"/>
              <w:jc w:val="both"/>
              <w:rPr>
                <w:rFonts w:hint="eastAsia" w:ascii="宋体" w:hAnsi="宋体" w:eastAsia="宋体" w:cs="宋体"/>
                <w:sz w:val="18"/>
                <w:szCs w:val="18"/>
              </w:rPr>
            </w:pPr>
            <w:r>
              <w:rPr>
                <w:rStyle w:val="57"/>
                <w:rFonts w:hint="eastAsia" w:ascii="宋体" w:hAnsi="宋体" w:eastAsia="宋体" w:cs="宋体"/>
                <w:color w:val="auto"/>
                <w:sz w:val="18"/>
                <w:szCs w:val="18"/>
              </w:rPr>
              <w:t>3</w:t>
            </w:r>
            <w:r>
              <w:rPr>
                <w:rStyle w:val="56"/>
                <w:rFonts w:hint="eastAsia" w:ascii="宋体" w:hAnsi="宋体" w:eastAsia="宋体" w:cs="宋体"/>
                <w:color w:val="auto"/>
                <w:sz w:val="18"/>
                <w:szCs w:val="18"/>
                <w:lang w:val="en-US"/>
              </w:rPr>
              <w:t>.</w:t>
            </w:r>
            <w:r>
              <w:rPr>
                <w:rStyle w:val="56"/>
                <w:rFonts w:hint="eastAsia" w:ascii="宋体" w:hAnsi="宋体" w:eastAsia="宋体" w:cs="宋体"/>
                <w:color w:val="auto"/>
                <w:sz w:val="18"/>
                <w:szCs w:val="18"/>
              </w:rPr>
              <w:t>料库</w:t>
            </w:r>
          </w:p>
        </w:tc>
        <w:tc>
          <w:tcPr>
            <w:tcW w:w="394" w:type="dxa"/>
            <w:tcBorders>
              <w:top w:val="single" w:color="auto" w:sz="4" w:space="0"/>
              <w:left w:val="single" w:color="auto" w:sz="4" w:space="0"/>
            </w:tcBorders>
            <w:shd w:val="clear" w:color="auto" w:fill="FFFFFF"/>
            <w:noWrap w:val="0"/>
            <w:vAlign w:val="top"/>
          </w:tcPr>
          <w:p w14:paraId="1326245B">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78590421">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81FB8A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9B3CFC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C842A75">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6F3EF9A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4603832">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13AEC0CD">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2397E7E0">
            <w:pPr>
              <w:framePr w:w="8856" w:wrap="notBeside" w:vAnchor="text" w:hAnchor="text" w:xAlign="center" w:y="1"/>
              <w:rPr>
                <w:rFonts w:hint="eastAsia" w:ascii="宋体" w:hAnsi="宋体" w:cs="宋体"/>
                <w:sz w:val="10"/>
                <w:szCs w:val="10"/>
              </w:rPr>
            </w:pPr>
          </w:p>
        </w:tc>
      </w:tr>
      <w:tr w14:paraId="01CA15C8">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center"/>
          </w:tcPr>
          <w:p w14:paraId="4EEC6280">
            <w:pPr>
              <w:pStyle w:val="32"/>
              <w:framePr w:w="8856" w:wrap="notBeside" w:vAnchor="text" w:hAnchor="text" w:xAlign="center" w:y="1"/>
              <w:shd w:val="clear" w:color="auto" w:fill="auto"/>
              <w:spacing w:before="0" w:line="240" w:lineRule="auto"/>
              <w:ind w:left="260" w:firstLine="0"/>
              <w:jc w:val="both"/>
              <w:rPr>
                <w:rFonts w:hint="eastAsia" w:ascii="宋体" w:hAnsi="宋体" w:eastAsia="宋体" w:cs="宋体"/>
                <w:sz w:val="18"/>
                <w:szCs w:val="18"/>
              </w:rPr>
            </w:pPr>
            <w:r>
              <w:rPr>
                <w:rStyle w:val="57"/>
                <w:rFonts w:hint="eastAsia" w:ascii="宋体" w:hAnsi="宋体" w:eastAsia="宋体" w:cs="宋体"/>
                <w:color w:val="auto"/>
                <w:sz w:val="18"/>
                <w:szCs w:val="18"/>
              </w:rPr>
              <w:t>4</w:t>
            </w:r>
            <w:r>
              <w:rPr>
                <w:rStyle w:val="56"/>
                <w:rFonts w:hint="eastAsia" w:ascii="宋体" w:hAnsi="宋体" w:eastAsia="宋体" w:cs="宋体"/>
                <w:color w:val="auto"/>
                <w:sz w:val="18"/>
                <w:szCs w:val="18"/>
                <w:lang w:val="en-US"/>
              </w:rPr>
              <w:t>.</w:t>
            </w:r>
            <w:r>
              <w:rPr>
                <w:rStyle w:val="56"/>
                <w:rFonts w:hint="eastAsia" w:ascii="宋体" w:hAnsi="宋体" w:eastAsia="宋体" w:cs="宋体"/>
                <w:color w:val="auto"/>
                <w:sz w:val="18"/>
                <w:szCs w:val="18"/>
              </w:rPr>
              <w:t>预制场</w:t>
            </w:r>
          </w:p>
        </w:tc>
        <w:tc>
          <w:tcPr>
            <w:tcW w:w="394" w:type="dxa"/>
            <w:tcBorders>
              <w:top w:val="single" w:color="auto" w:sz="4" w:space="0"/>
              <w:left w:val="single" w:color="auto" w:sz="4" w:space="0"/>
            </w:tcBorders>
            <w:shd w:val="clear" w:color="auto" w:fill="FFFFFF"/>
            <w:noWrap w:val="0"/>
            <w:vAlign w:val="top"/>
          </w:tcPr>
          <w:p w14:paraId="090B9263">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2633BF2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996BD9E">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3D2ECD0">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8BDFE2C">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357972F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70226085">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198DAE4F">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638F96EB">
            <w:pPr>
              <w:framePr w:w="8856" w:wrap="notBeside" w:vAnchor="text" w:hAnchor="text" w:xAlign="center" w:y="1"/>
              <w:rPr>
                <w:rFonts w:hint="eastAsia" w:ascii="宋体" w:hAnsi="宋体" w:cs="宋体"/>
                <w:sz w:val="10"/>
                <w:szCs w:val="10"/>
              </w:rPr>
            </w:pPr>
          </w:p>
        </w:tc>
      </w:tr>
      <w:tr w14:paraId="703BBA3B">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top"/>
          </w:tcPr>
          <w:p w14:paraId="5306CB43">
            <w:pPr>
              <w:framePr w:w="8856" w:wrap="notBeside" w:vAnchor="text" w:hAnchor="text" w:xAlign="center" w:y="1"/>
              <w:ind w:firstLine="201" w:firstLineChars="100"/>
              <w:rPr>
                <w:rStyle w:val="56"/>
                <w:rFonts w:ascii="宋体" w:hAnsi="宋体" w:eastAsia="宋体" w:cs="宋体"/>
                <w:color w:val="auto"/>
                <w:sz w:val="18"/>
                <w:szCs w:val="18"/>
                <w:lang w:val="en-US"/>
              </w:rPr>
            </w:pPr>
            <w:r>
              <w:rPr>
                <w:rStyle w:val="56"/>
                <w:rFonts w:hint="eastAsia" w:ascii="宋体" w:hAnsi="宋体" w:eastAsia="宋体" w:cs="宋体"/>
                <w:b/>
                <w:bCs/>
                <w:color w:val="auto"/>
                <w:sz w:val="18"/>
                <w:szCs w:val="18"/>
                <w:lang w:val="en-US"/>
              </w:rPr>
              <w:t>......</w:t>
            </w:r>
          </w:p>
        </w:tc>
        <w:tc>
          <w:tcPr>
            <w:tcW w:w="394" w:type="dxa"/>
            <w:tcBorders>
              <w:top w:val="single" w:color="auto" w:sz="4" w:space="0"/>
              <w:left w:val="single" w:color="auto" w:sz="4" w:space="0"/>
            </w:tcBorders>
            <w:shd w:val="clear" w:color="auto" w:fill="FFFFFF"/>
            <w:noWrap w:val="0"/>
            <w:vAlign w:val="top"/>
          </w:tcPr>
          <w:p w14:paraId="3FF84D8F">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06073813">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84DABF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7E83061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8698917">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53048149">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9E11BAB">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7E32F435">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2992C426">
            <w:pPr>
              <w:framePr w:w="8856" w:wrap="notBeside" w:vAnchor="text" w:hAnchor="text" w:xAlign="center" w:y="1"/>
              <w:rPr>
                <w:rFonts w:hint="eastAsia" w:ascii="宋体" w:hAnsi="宋体" w:cs="宋体"/>
                <w:sz w:val="10"/>
                <w:szCs w:val="10"/>
              </w:rPr>
            </w:pPr>
          </w:p>
        </w:tc>
      </w:tr>
      <w:tr w14:paraId="78439307">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top"/>
          </w:tcPr>
          <w:p w14:paraId="340ED851">
            <w:pPr>
              <w:framePr w:w="8856" w:wrap="notBeside" w:vAnchor="text" w:hAnchor="text" w:xAlign="center" w:y="1"/>
              <w:rPr>
                <w:rStyle w:val="56"/>
                <w:rFonts w:hint="eastAsia" w:ascii="宋体" w:hAnsi="宋体" w:eastAsia="宋体" w:cs="宋体"/>
                <w:color w:val="auto"/>
                <w:sz w:val="18"/>
                <w:szCs w:val="18"/>
              </w:rPr>
            </w:pPr>
          </w:p>
        </w:tc>
        <w:tc>
          <w:tcPr>
            <w:tcW w:w="394" w:type="dxa"/>
            <w:tcBorders>
              <w:top w:val="single" w:color="auto" w:sz="4" w:space="0"/>
              <w:left w:val="single" w:color="auto" w:sz="4" w:space="0"/>
            </w:tcBorders>
            <w:shd w:val="clear" w:color="auto" w:fill="FFFFFF"/>
            <w:noWrap w:val="0"/>
            <w:vAlign w:val="top"/>
          </w:tcPr>
          <w:p w14:paraId="27B64C64">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37F09468">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9F0CE2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019BC8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5BEA1B0">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18A0E87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0808EED">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12E44DE6">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376B7992">
            <w:pPr>
              <w:framePr w:w="8856" w:wrap="notBeside" w:vAnchor="text" w:hAnchor="text" w:xAlign="center" w:y="1"/>
              <w:rPr>
                <w:rFonts w:hint="eastAsia" w:ascii="宋体" w:hAnsi="宋体" w:cs="宋体"/>
                <w:sz w:val="10"/>
                <w:szCs w:val="10"/>
              </w:rPr>
            </w:pPr>
          </w:p>
        </w:tc>
      </w:tr>
      <w:tr w14:paraId="10BCC3AF">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top"/>
          </w:tcPr>
          <w:p w14:paraId="46C53733">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17B15B3E">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0918F40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E4DCB40">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1551E5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7A5A8D1">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05B5DA86">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04C4FE0">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618D843E">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0F52B05D">
            <w:pPr>
              <w:framePr w:w="8856" w:wrap="notBeside" w:vAnchor="text" w:hAnchor="text" w:xAlign="center" w:y="1"/>
              <w:rPr>
                <w:rFonts w:hint="eastAsia" w:ascii="宋体" w:hAnsi="宋体" w:cs="宋体"/>
                <w:sz w:val="10"/>
                <w:szCs w:val="10"/>
              </w:rPr>
            </w:pPr>
          </w:p>
        </w:tc>
      </w:tr>
      <w:tr w14:paraId="7F8D78CB">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top"/>
          </w:tcPr>
          <w:p w14:paraId="73FA0C0E">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3108FD24">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01142B39">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BE43A60">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0823F5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D587710">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355B79C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36FAC48">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2D918401">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540DE039">
            <w:pPr>
              <w:framePr w:w="8856" w:wrap="notBeside" w:vAnchor="text" w:hAnchor="text" w:xAlign="center" w:y="1"/>
              <w:rPr>
                <w:rFonts w:hint="eastAsia" w:ascii="宋体" w:hAnsi="宋体" w:cs="宋体"/>
                <w:sz w:val="10"/>
                <w:szCs w:val="10"/>
              </w:rPr>
            </w:pPr>
          </w:p>
        </w:tc>
      </w:tr>
      <w:tr w14:paraId="5D77A069">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top"/>
          </w:tcPr>
          <w:p w14:paraId="796886F0">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1E792AB8">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7F56E376">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ECD6D0E">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4C25FB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ED487F5">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68DDB944">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0D1C4A8">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4D837CBA">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492DB3FB">
            <w:pPr>
              <w:framePr w:w="8856" w:wrap="notBeside" w:vAnchor="text" w:hAnchor="text" w:xAlign="center" w:y="1"/>
              <w:rPr>
                <w:rFonts w:hint="eastAsia" w:ascii="宋体" w:hAnsi="宋体" w:cs="宋体"/>
                <w:sz w:val="10"/>
                <w:szCs w:val="10"/>
              </w:rPr>
            </w:pPr>
          </w:p>
        </w:tc>
      </w:tr>
      <w:tr w14:paraId="599639D1">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top"/>
          </w:tcPr>
          <w:p w14:paraId="512AE46C">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03FDC05A">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236CF726">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D4CF4B8">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29E116D">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15FCCFC">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32A0889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2771CDB">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2C3EC425">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5C99CBA1">
            <w:pPr>
              <w:framePr w:w="8856" w:wrap="notBeside" w:vAnchor="text" w:hAnchor="text" w:xAlign="center" w:y="1"/>
              <w:rPr>
                <w:rFonts w:hint="eastAsia" w:ascii="宋体" w:hAnsi="宋体" w:cs="宋体"/>
                <w:sz w:val="10"/>
                <w:szCs w:val="10"/>
              </w:rPr>
            </w:pPr>
          </w:p>
        </w:tc>
      </w:tr>
      <w:tr w14:paraId="10F62A3F">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top"/>
          </w:tcPr>
          <w:p w14:paraId="055E1523">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52ED12E2">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25765186">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35AF0D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624285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55CAE67">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056707B3">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097B7C4">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3B5780DD">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60D7178D">
            <w:pPr>
              <w:framePr w:w="8856" w:wrap="notBeside" w:vAnchor="text" w:hAnchor="text" w:xAlign="center" w:y="1"/>
              <w:rPr>
                <w:rFonts w:hint="eastAsia" w:ascii="宋体" w:hAnsi="宋体" w:cs="宋体"/>
                <w:sz w:val="10"/>
                <w:szCs w:val="10"/>
              </w:rPr>
            </w:pPr>
          </w:p>
        </w:tc>
      </w:tr>
      <w:tr w14:paraId="54D2E9DF">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top"/>
          </w:tcPr>
          <w:p w14:paraId="144D0764">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40FEB65E">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419B526C">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9846E45">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888096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1AF6271">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3CD135A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B1A66DB">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561A400E">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3B01B833">
            <w:pPr>
              <w:framePr w:w="8856" w:wrap="notBeside" w:vAnchor="text" w:hAnchor="text" w:xAlign="center" w:y="1"/>
              <w:rPr>
                <w:rFonts w:hint="eastAsia" w:ascii="宋体" w:hAnsi="宋体" w:cs="宋体"/>
                <w:sz w:val="10"/>
                <w:szCs w:val="10"/>
              </w:rPr>
            </w:pPr>
          </w:p>
        </w:tc>
      </w:tr>
      <w:tr w14:paraId="5D5E4F50">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top"/>
          </w:tcPr>
          <w:p w14:paraId="114C89AC">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215F1E70">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251062F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F4B0E6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0005F59">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9D21633">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142FA05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72519A09">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40535A4E">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0840451C">
            <w:pPr>
              <w:framePr w:w="8856" w:wrap="notBeside" w:vAnchor="text" w:hAnchor="text" w:xAlign="center" w:y="1"/>
              <w:rPr>
                <w:rFonts w:hint="eastAsia" w:ascii="宋体" w:hAnsi="宋体" w:cs="宋体"/>
                <w:sz w:val="10"/>
                <w:szCs w:val="10"/>
              </w:rPr>
            </w:pPr>
          </w:p>
        </w:tc>
      </w:tr>
      <w:tr w14:paraId="55ECB572">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top"/>
          </w:tcPr>
          <w:p w14:paraId="45B5956E">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1581F7BB">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6E48AAB1">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46549A7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4A9279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9DD4CD0">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3D7C42D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5EA07BB">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3565B8D7">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434E7CBE">
            <w:pPr>
              <w:framePr w:w="8856" w:wrap="notBeside" w:vAnchor="text" w:hAnchor="text" w:xAlign="center" w:y="1"/>
              <w:rPr>
                <w:rFonts w:hint="eastAsia" w:ascii="宋体" w:hAnsi="宋体" w:cs="宋体"/>
                <w:sz w:val="10"/>
                <w:szCs w:val="10"/>
              </w:rPr>
            </w:pPr>
          </w:p>
        </w:tc>
      </w:tr>
      <w:tr w14:paraId="4C4B0C2D">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top"/>
          </w:tcPr>
          <w:p w14:paraId="61EA21DD">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2FBF9538">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1D399CB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507116A">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15E559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4565E87">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1367D34B">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79A6068">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60B82CD7">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45C34AD1">
            <w:pPr>
              <w:framePr w:w="8856" w:wrap="notBeside" w:vAnchor="text" w:hAnchor="text" w:xAlign="center" w:y="1"/>
              <w:rPr>
                <w:rFonts w:hint="eastAsia" w:ascii="宋体" w:hAnsi="宋体" w:cs="宋体"/>
                <w:sz w:val="10"/>
                <w:szCs w:val="10"/>
              </w:rPr>
            </w:pPr>
          </w:p>
        </w:tc>
      </w:tr>
      <w:tr w14:paraId="7E4498D9">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top"/>
          </w:tcPr>
          <w:p w14:paraId="102D7BA1">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1EB84348">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31E7C7DE">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8B69BC9">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C925D4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29262E7">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3CCEA31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2EF5B566">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74D7174F">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0714B438">
            <w:pPr>
              <w:framePr w:w="8856" w:wrap="notBeside" w:vAnchor="text" w:hAnchor="text" w:xAlign="center" w:y="1"/>
              <w:rPr>
                <w:rFonts w:hint="eastAsia" w:ascii="宋体" w:hAnsi="宋体" w:cs="宋体"/>
                <w:sz w:val="10"/>
                <w:szCs w:val="10"/>
              </w:rPr>
            </w:pPr>
          </w:p>
        </w:tc>
      </w:tr>
      <w:tr w14:paraId="28599A22">
        <w:tblPrEx>
          <w:tblCellMar>
            <w:top w:w="0" w:type="dxa"/>
            <w:left w:w="10" w:type="dxa"/>
            <w:bottom w:w="0" w:type="dxa"/>
            <w:right w:w="10" w:type="dxa"/>
          </w:tblCellMar>
        </w:tblPrEx>
        <w:trPr>
          <w:trHeight w:val="413" w:hRule="exact"/>
          <w:jc w:val="center"/>
        </w:trPr>
        <w:tc>
          <w:tcPr>
            <w:tcW w:w="2846" w:type="dxa"/>
            <w:tcBorders>
              <w:top w:val="single" w:color="auto" w:sz="4" w:space="0"/>
              <w:left w:val="single" w:color="auto" w:sz="4" w:space="0"/>
            </w:tcBorders>
            <w:shd w:val="clear" w:color="auto" w:fill="FFFFFF"/>
            <w:noWrap w:val="0"/>
            <w:vAlign w:val="top"/>
          </w:tcPr>
          <w:p w14:paraId="38425201">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4452C08A">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675330D8">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3BEAD398">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D840A2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84EC340">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46C6E527">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093E020E">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2BC087F8">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0457BCA4">
            <w:pPr>
              <w:framePr w:w="8856" w:wrap="notBeside" w:vAnchor="text" w:hAnchor="text" w:xAlign="center" w:y="1"/>
              <w:rPr>
                <w:rFonts w:hint="eastAsia" w:ascii="宋体" w:hAnsi="宋体" w:cs="宋体"/>
                <w:sz w:val="10"/>
                <w:szCs w:val="10"/>
              </w:rPr>
            </w:pPr>
          </w:p>
        </w:tc>
      </w:tr>
      <w:tr w14:paraId="11D9F9E1">
        <w:tblPrEx>
          <w:tblCellMar>
            <w:top w:w="0" w:type="dxa"/>
            <w:left w:w="10" w:type="dxa"/>
            <w:bottom w:w="0" w:type="dxa"/>
            <w:right w:w="10" w:type="dxa"/>
          </w:tblCellMar>
        </w:tblPrEx>
        <w:trPr>
          <w:trHeight w:val="418" w:hRule="exact"/>
          <w:jc w:val="center"/>
        </w:trPr>
        <w:tc>
          <w:tcPr>
            <w:tcW w:w="2846" w:type="dxa"/>
            <w:tcBorders>
              <w:top w:val="single" w:color="auto" w:sz="4" w:space="0"/>
              <w:left w:val="single" w:color="auto" w:sz="4" w:space="0"/>
            </w:tcBorders>
            <w:shd w:val="clear" w:color="auto" w:fill="FFFFFF"/>
            <w:noWrap w:val="0"/>
            <w:vAlign w:val="top"/>
          </w:tcPr>
          <w:p w14:paraId="76473D40">
            <w:pPr>
              <w:framePr w:w="8856" w:wrap="notBeside" w:vAnchor="text" w:hAnchor="text" w:xAlign="center" w:y="1"/>
              <w:rPr>
                <w:rFonts w:hint="eastAsia" w:ascii="宋体" w:hAnsi="宋体" w:cs="宋体"/>
                <w:sz w:val="10"/>
                <w:szCs w:val="10"/>
              </w:rPr>
            </w:pPr>
          </w:p>
        </w:tc>
        <w:tc>
          <w:tcPr>
            <w:tcW w:w="394" w:type="dxa"/>
            <w:tcBorders>
              <w:top w:val="single" w:color="auto" w:sz="4" w:space="0"/>
              <w:left w:val="single" w:color="auto" w:sz="4" w:space="0"/>
            </w:tcBorders>
            <w:shd w:val="clear" w:color="auto" w:fill="FFFFFF"/>
            <w:noWrap w:val="0"/>
            <w:vAlign w:val="top"/>
          </w:tcPr>
          <w:p w14:paraId="0593DD48">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tcBorders>
            <w:shd w:val="clear" w:color="auto" w:fill="FFFFFF"/>
            <w:noWrap w:val="0"/>
            <w:vAlign w:val="top"/>
          </w:tcPr>
          <w:p w14:paraId="7FE9CAFF">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7523D3CD">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627BBC18">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51C45D45">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tcBorders>
            <w:shd w:val="clear" w:color="auto" w:fill="FFFFFF"/>
            <w:noWrap w:val="0"/>
            <w:vAlign w:val="top"/>
          </w:tcPr>
          <w:p w14:paraId="7963CB84">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tcBorders>
            <w:shd w:val="clear" w:color="auto" w:fill="FFFFFF"/>
            <w:noWrap w:val="0"/>
            <w:vAlign w:val="top"/>
          </w:tcPr>
          <w:p w14:paraId="107B4D09">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tcBorders>
            <w:shd w:val="clear" w:color="auto" w:fill="FFFFFF"/>
            <w:noWrap w:val="0"/>
            <w:vAlign w:val="top"/>
          </w:tcPr>
          <w:p w14:paraId="4ED50BC6">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right w:val="single" w:color="auto" w:sz="4" w:space="0"/>
            </w:tcBorders>
            <w:shd w:val="clear" w:color="auto" w:fill="FFFFFF"/>
            <w:noWrap w:val="0"/>
            <w:vAlign w:val="top"/>
          </w:tcPr>
          <w:p w14:paraId="527144B6">
            <w:pPr>
              <w:framePr w:w="8856" w:wrap="notBeside" w:vAnchor="text" w:hAnchor="text" w:xAlign="center" w:y="1"/>
              <w:rPr>
                <w:rFonts w:hint="eastAsia" w:ascii="宋体" w:hAnsi="宋体" w:cs="宋体"/>
                <w:sz w:val="10"/>
                <w:szCs w:val="10"/>
              </w:rPr>
            </w:pPr>
          </w:p>
        </w:tc>
      </w:tr>
      <w:tr w14:paraId="68EA9803">
        <w:tblPrEx>
          <w:tblCellMar>
            <w:top w:w="0" w:type="dxa"/>
            <w:left w:w="10" w:type="dxa"/>
            <w:bottom w:w="0" w:type="dxa"/>
            <w:right w:w="10" w:type="dxa"/>
          </w:tblCellMar>
        </w:tblPrEx>
        <w:trPr>
          <w:trHeight w:val="422" w:hRule="exact"/>
          <w:jc w:val="center"/>
        </w:trPr>
        <w:tc>
          <w:tcPr>
            <w:tcW w:w="2846" w:type="dxa"/>
            <w:tcBorders>
              <w:top w:val="single" w:color="auto" w:sz="4" w:space="0"/>
              <w:left w:val="single" w:color="auto" w:sz="4" w:space="0"/>
              <w:bottom w:val="single" w:color="auto" w:sz="4" w:space="0"/>
            </w:tcBorders>
            <w:shd w:val="clear" w:color="auto" w:fill="FFFFFF"/>
            <w:noWrap w:val="0"/>
            <w:vAlign w:val="center"/>
          </w:tcPr>
          <w:p w14:paraId="2EECC4AF">
            <w:pPr>
              <w:pStyle w:val="32"/>
              <w:framePr w:w="8856" w:wrap="notBeside" w:vAnchor="text" w:hAnchor="text" w:xAlign="center" w:y="1"/>
              <w:shd w:val="clear" w:color="auto" w:fill="auto"/>
              <w:spacing w:before="0" w:line="240" w:lineRule="auto"/>
              <w:ind w:left="60" w:firstLine="0"/>
              <w:jc w:val="both"/>
              <w:rPr>
                <w:rFonts w:hint="eastAsia" w:ascii="宋体" w:hAnsi="宋体" w:eastAsia="宋体" w:cs="宋体"/>
              </w:rPr>
            </w:pPr>
            <w:r>
              <w:rPr>
                <w:rStyle w:val="56"/>
                <w:rFonts w:hint="eastAsia" w:ascii="宋体" w:hAnsi="宋体" w:eastAsia="宋体" w:cs="宋体"/>
                <w:color w:val="auto"/>
              </w:rPr>
              <w:t>租用面积合计</w:t>
            </w:r>
          </w:p>
        </w:tc>
        <w:tc>
          <w:tcPr>
            <w:tcW w:w="394" w:type="dxa"/>
            <w:tcBorders>
              <w:top w:val="single" w:color="auto" w:sz="4" w:space="0"/>
              <w:left w:val="single" w:color="auto" w:sz="4" w:space="0"/>
              <w:bottom w:val="single" w:color="auto" w:sz="4" w:space="0"/>
            </w:tcBorders>
            <w:shd w:val="clear" w:color="auto" w:fill="FFFFFF"/>
            <w:noWrap w:val="0"/>
            <w:vAlign w:val="top"/>
          </w:tcPr>
          <w:p w14:paraId="4F0342E0">
            <w:pPr>
              <w:framePr w:w="8856" w:wrap="notBeside" w:vAnchor="text" w:hAnchor="text" w:xAlign="center" w:y="1"/>
              <w:rPr>
                <w:rFonts w:hint="eastAsia" w:ascii="宋体" w:hAnsi="宋体" w:cs="宋体"/>
                <w:sz w:val="10"/>
                <w:szCs w:val="10"/>
              </w:rPr>
            </w:pPr>
          </w:p>
        </w:tc>
        <w:tc>
          <w:tcPr>
            <w:tcW w:w="398" w:type="dxa"/>
            <w:tcBorders>
              <w:top w:val="single" w:color="auto" w:sz="4" w:space="0"/>
              <w:left w:val="single" w:color="auto" w:sz="4" w:space="0"/>
              <w:bottom w:val="single" w:color="auto" w:sz="4" w:space="0"/>
            </w:tcBorders>
            <w:shd w:val="clear" w:color="auto" w:fill="FFFFFF"/>
            <w:noWrap w:val="0"/>
            <w:vAlign w:val="top"/>
          </w:tcPr>
          <w:p w14:paraId="11D60BA1">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bottom w:val="single" w:color="auto" w:sz="4" w:space="0"/>
            </w:tcBorders>
            <w:shd w:val="clear" w:color="auto" w:fill="FFFFFF"/>
            <w:noWrap w:val="0"/>
            <w:vAlign w:val="top"/>
          </w:tcPr>
          <w:p w14:paraId="33187058">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bottom w:val="single" w:color="auto" w:sz="4" w:space="0"/>
            </w:tcBorders>
            <w:shd w:val="clear" w:color="auto" w:fill="FFFFFF"/>
            <w:noWrap w:val="0"/>
            <w:vAlign w:val="top"/>
          </w:tcPr>
          <w:p w14:paraId="0F1B97F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bottom w:val="single" w:color="auto" w:sz="4" w:space="0"/>
            </w:tcBorders>
            <w:shd w:val="clear" w:color="auto" w:fill="FFFFFF"/>
            <w:noWrap w:val="0"/>
            <w:vAlign w:val="top"/>
          </w:tcPr>
          <w:p w14:paraId="754EDCAE">
            <w:pPr>
              <w:framePr w:w="8856" w:wrap="notBeside" w:vAnchor="text" w:hAnchor="text" w:xAlign="center" w:y="1"/>
              <w:rPr>
                <w:rFonts w:hint="eastAsia" w:ascii="宋体" w:hAnsi="宋体" w:cs="宋体"/>
                <w:sz w:val="10"/>
                <w:szCs w:val="10"/>
              </w:rPr>
            </w:pPr>
          </w:p>
        </w:tc>
        <w:tc>
          <w:tcPr>
            <w:tcW w:w="1560" w:type="dxa"/>
            <w:tcBorders>
              <w:top w:val="single" w:color="auto" w:sz="4" w:space="0"/>
              <w:left w:val="single" w:color="auto" w:sz="4" w:space="0"/>
              <w:bottom w:val="single" w:color="auto" w:sz="4" w:space="0"/>
            </w:tcBorders>
            <w:shd w:val="clear" w:color="auto" w:fill="FFFFFF"/>
            <w:noWrap w:val="0"/>
            <w:vAlign w:val="top"/>
          </w:tcPr>
          <w:p w14:paraId="0640B7E2">
            <w:pPr>
              <w:framePr w:w="8856" w:wrap="notBeside" w:vAnchor="text" w:hAnchor="text" w:xAlign="center" w:y="1"/>
              <w:rPr>
                <w:rFonts w:hint="eastAsia" w:ascii="宋体" w:hAnsi="宋体" w:cs="宋体"/>
                <w:sz w:val="10"/>
                <w:szCs w:val="10"/>
              </w:rPr>
            </w:pPr>
          </w:p>
        </w:tc>
        <w:tc>
          <w:tcPr>
            <w:tcW w:w="600" w:type="dxa"/>
            <w:tcBorders>
              <w:top w:val="single" w:color="auto" w:sz="4" w:space="0"/>
              <w:left w:val="single" w:color="auto" w:sz="4" w:space="0"/>
              <w:bottom w:val="single" w:color="auto" w:sz="4" w:space="0"/>
            </w:tcBorders>
            <w:shd w:val="clear" w:color="auto" w:fill="FFFFFF"/>
            <w:noWrap w:val="0"/>
            <w:vAlign w:val="top"/>
          </w:tcPr>
          <w:p w14:paraId="2D9B8349">
            <w:pPr>
              <w:framePr w:w="8856" w:wrap="notBeside" w:vAnchor="text" w:hAnchor="text" w:xAlign="center" w:y="1"/>
              <w:rPr>
                <w:rFonts w:hint="eastAsia" w:ascii="宋体" w:hAnsi="宋体" w:cs="宋体"/>
                <w:sz w:val="10"/>
                <w:szCs w:val="10"/>
              </w:rPr>
            </w:pPr>
          </w:p>
        </w:tc>
        <w:tc>
          <w:tcPr>
            <w:tcW w:w="624" w:type="dxa"/>
            <w:tcBorders>
              <w:top w:val="single" w:color="auto" w:sz="4" w:space="0"/>
              <w:left w:val="single" w:color="auto" w:sz="4" w:space="0"/>
              <w:bottom w:val="single" w:color="auto" w:sz="4" w:space="0"/>
            </w:tcBorders>
            <w:shd w:val="clear" w:color="auto" w:fill="FFFFFF"/>
            <w:noWrap w:val="0"/>
            <w:vAlign w:val="top"/>
          </w:tcPr>
          <w:p w14:paraId="211BD04E">
            <w:pPr>
              <w:framePr w:w="8856" w:wrap="notBeside" w:vAnchor="text" w:hAnchor="text" w:xAlign="center" w:y="1"/>
              <w:rPr>
                <w:rFonts w:hint="eastAsia" w:ascii="宋体" w:hAnsi="宋体" w:cs="宋体"/>
                <w:sz w:val="10"/>
                <w:szCs w:val="10"/>
              </w:rPr>
            </w:pPr>
          </w:p>
        </w:tc>
        <w:tc>
          <w:tcPr>
            <w:tcW w:w="634"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163EB366">
            <w:pPr>
              <w:framePr w:w="8856" w:wrap="notBeside" w:vAnchor="text" w:hAnchor="text" w:xAlign="center" w:y="1"/>
              <w:rPr>
                <w:rFonts w:hint="eastAsia" w:ascii="宋体" w:hAnsi="宋体" w:cs="宋体"/>
                <w:sz w:val="10"/>
                <w:szCs w:val="10"/>
              </w:rPr>
            </w:pPr>
          </w:p>
        </w:tc>
      </w:tr>
    </w:tbl>
    <w:p w14:paraId="6F7C7092">
      <w:pPr>
        <w:rPr>
          <w:rFonts w:hint="eastAsia" w:ascii="宋体" w:hAnsi="宋体" w:cs="宋体"/>
          <w:sz w:val="2"/>
          <w:szCs w:val="2"/>
        </w:rPr>
      </w:pPr>
    </w:p>
    <w:p w14:paraId="09326FD9">
      <w:pPr>
        <w:pStyle w:val="43"/>
        <w:shd w:val="clear" w:color="auto" w:fill="auto"/>
        <w:spacing w:after="364" w:line="280" w:lineRule="exact"/>
        <w:ind w:left="60"/>
        <w:jc w:val="left"/>
        <w:rPr>
          <w:rStyle w:val="54"/>
          <w:rFonts w:hint="eastAsia" w:ascii="宋体" w:hAnsi="宋体" w:eastAsia="宋体" w:cs="宋体"/>
          <w:color w:val="auto"/>
          <w:sz w:val="28"/>
          <w:szCs w:val="28"/>
          <w:lang w:eastAsia="zh-TW"/>
        </w:rPr>
      </w:pPr>
      <w:bookmarkStart w:id="625" w:name="bookmark576"/>
      <w:bookmarkStart w:id="626" w:name="bookmark575"/>
    </w:p>
    <w:p w14:paraId="25943B08">
      <w:pPr>
        <w:pStyle w:val="43"/>
        <w:shd w:val="clear" w:color="auto" w:fill="auto"/>
        <w:spacing w:after="364" w:line="280" w:lineRule="exact"/>
        <w:jc w:val="left"/>
        <w:rPr>
          <w:rStyle w:val="54"/>
          <w:rFonts w:hint="eastAsia" w:ascii="宋体" w:hAnsi="宋体" w:eastAsia="宋体" w:cs="宋体"/>
          <w:color w:val="auto"/>
          <w:sz w:val="28"/>
          <w:szCs w:val="28"/>
          <w:lang w:eastAsia="zh-TW"/>
        </w:rPr>
      </w:pPr>
    </w:p>
    <w:p w14:paraId="7E9CA554">
      <w:pPr>
        <w:pStyle w:val="43"/>
        <w:shd w:val="clear" w:color="auto" w:fill="auto"/>
        <w:spacing w:after="364" w:line="280" w:lineRule="exact"/>
        <w:ind w:left="60" w:leftChars="0"/>
        <w:jc w:val="left"/>
        <w:outlineLvl w:val="9"/>
        <w:rPr>
          <w:rStyle w:val="54"/>
          <w:rFonts w:hint="eastAsia" w:ascii="宋体" w:hAnsi="宋体" w:eastAsia="宋体" w:cs="宋体"/>
          <w:color w:val="auto"/>
          <w:sz w:val="28"/>
          <w:szCs w:val="28"/>
        </w:rPr>
      </w:pPr>
      <w:bookmarkStart w:id="627" w:name="_Toc14238"/>
      <w:bookmarkStart w:id="628" w:name="_Toc29282"/>
      <w:r>
        <w:rPr>
          <w:rStyle w:val="54"/>
          <w:rFonts w:hint="eastAsia" w:ascii="宋体" w:hAnsi="宋体" w:eastAsia="宋体" w:cs="宋体"/>
          <w:color w:val="auto"/>
          <w:sz w:val="28"/>
          <w:szCs w:val="28"/>
        </w:rPr>
        <w:t>附表八  外供电力需求计划表</w:t>
      </w:r>
      <w:bookmarkEnd w:id="625"/>
      <w:bookmarkEnd w:id="626"/>
      <w:bookmarkEnd w:id="627"/>
      <w:bookmarkEnd w:id="628"/>
    </w:p>
    <w:tbl>
      <w:tblPr>
        <w:tblStyle w:val="29"/>
        <w:tblW w:w="0" w:type="auto"/>
        <w:jc w:val="center"/>
        <w:tblLayout w:type="fixed"/>
        <w:tblCellMar>
          <w:top w:w="0" w:type="dxa"/>
          <w:left w:w="10" w:type="dxa"/>
          <w:bottom w:w="0" w:type="dxa"/>
          <w:right w:w="10" w:type="dxa"/>
        </w:tblCellMar>
      </w:tblPr>
      <w:tblGrid>
        <w:gridCol w:w="1051"/>
        <w:gridCol w:w="1501"/>
        <w:gridCol w:w="875"/>
        <w:gridCol w:w="1229"/>
        <w:gridCol w:w="2366"/>
        <w:gridCol w:w="1786"/>
      </w:tblGrid>
      <w:tr w14:paraId="337DD127">
        <w:tblPrEx>
          <w:tblCellMar>
            <w:top w:w="0" w:type="dxa"/>
            <w:left w:w="10" w:type="dxa"/>
            <w:bottom w:w="0" w:type="dxa"/>
            <w:right w:w="10" w:type="dxa"/>
          </w:tblCellMar>
        </w:tblPrEx>
        <w:trPr>
          <w:trHeight w:val="384" w:hRule="exact"/>
          <w:jc w:val="center"/>
        </w:trPr>
        <w:tc>
          <w:tcPr>
            <w:tcW w:w="2552" w:type="dxa"/>
            <w:gridSpan w:val="2"/>
            <w:tcBorders>
              <w:top w:val="single" w:color="auto" w:sz="4" w:space="0"/>
              <w:left w:val="single" w:color="auto" w:sz="4" w:space="0"/>
            </w:tcBorders>
            <w:shd w:val="clear" w:color="auto" w:fill="FFFFFF"/>
            <w:noWrap w:val="0"/>
            <w:vAlign w:val="center"/>
          </w:tcPr>
          <w:p w14:paraId="327A1006">
            <w:pPr>
              <w:pStyle w:val="32"/>
              <w:framePr w:w="8808" w:wrap="notBeside" w:vAnchor="text" w:hAnchor="text" w:xAlign="center" w:y="1"/>
              <w:shd w:val="clear" w:color="auto" w:fill="auto"/>
              <w:spacing w:before="0" w:line="240" w:lineRule="auto"/>
              <w:ind w:firstLine="0"/>
              <w:jc w:val="center"/>
              <w:rPr>
                <w:rFonts w:hint="eastAsia" w:ascii="宋体" w:hAnsi="宋体" w:eastAsia="宋体" w:cs="宋体"/>
              </w:rPr>
            </w:pPr>
            <w:r>
              <w:rPr>
                <w:rStyle w:val="59"/>
                <w:rFonts w:hint="eastAsia" w:ascii="宋体" w:hAnsi="宋体" w:eastAsia="宋体" w:cs="宋体"/>
                <w:color w:val="auto"/>
              </w:rPr>
              <w:t>用电位置</w:t>
            </w:r>
          </w:p>
        </w:tc>
        <w:tc>
          <w:tcPr>
            <w:tcW w:w="875" w:type="dxa"/>
            <w:vMerge w:val="restart"/>
            <w:tcBorders>
              <w:top w:val="single" w:color="auto" w:sz="4" w:space="0"/>
              <w:left w:val="single" w:color="auto" w:sz="4" w:space="0"/>
            </w:tcBorders>
            <w:shd w:val="clear" w:color="auto" w:fill="FFFFFF"/>
            <w:noWrap w:val="0"/>
            <w:vAlign w:val="center"/>
          </w:tcPr>
          <w:p w14:paraId="65BA25E0">
            <w:pPr>
              <w:pStyle w:val="32"/>
              <w:framePr w:w="8808" w:wrap="notBeside" w:vAnchor="text" w:hAnchor="text" w:xAlign="center" w:y="1"/>
              <w:shd w:val="clear" w:color="auto" w:fill="auto"/>
              <w:spacing w:before="0" w:line="240" w:lineRule="auto"/>
              <w:ind w:firstLine="0"/>
              <w:jc w:val="center"/>
              <w:rPr>
                <w:rStyle w:val="56"/>
                <w:rFonts w:hint="eastAsia" w:ascii="宋体" w:hAnsi="宋体" w:eastAsia="宋体" w:cs="宋体"/>
                <w:color w:val="auto"/>
              </w:rPr>
            </w:pPr>
            <w:r>
              <w:rPr>
                <w:rStyle w:val="56"/>
                <w:rFonts w:hint="eastAsia" w:ascii="宋体" w:hAnsi="宋体" w:eastAsia="宋体" w:cs="宋体"/>
                <w:color w:val="auto"/>
              </w:rPr>
              <w:t xml:space="preserve">计划用电 </w:t>
            </w:r>
          </w:p>
          <w:p w14:paraId="33021E15">
            <w:pPr>
              <w:pStyle w:val="32"/>
              <w:framePr w:w="8808" w:wrap="notBeside" w:vAnchor="text" w:hAnchor="text" w:xAlign="center" w:y="1"/>
              <w:shd w:val="clear" w:color="auto" w:fill="auto"/>
              <w:spacing w:before="0" w:line="240" w:lineRule="auto"/>
              <w:ind w:firstLine="0"/>
              <w:jc w:val="center"/>
              <w:rPr>
                <w:rFonts w:hint="eastAsia" w:ascii="宋体" w:hAnsi="宋体" w:eastAsia="宋体" w:cs="宋体"/>
              </w:rPr>
            </w:pPr>
            <w:r>
              <w:rPr>
                <w:rStyle w:val="56"/>
                <w:rFonts w:hint="eastAsia" w:ascii="宋体" w:hAnsi="宋体" w:eastAsia="宋体" w:cs="宋体"/>
                <w:color w:val="auto"/>
              </w:rPr>
              <w:t>数</w:t>
            </w:r>
            <w:r>
              <w:rPr>
                <w:rStyle w:val="57"/>
                <w:rFonts w:hint="eastAsia" w:ascii="宋体" w:hAnsi="宋体" w:eastAsia="宋体" w:cs="宋体"/>
                <w:color w:val="auto"/>
                <w:lang w:val="zh-TW"/>
              </w:rPr>
              <w:t xml:space="preserve"> </w:t>
            </w:r>
            <w:r>
              <w:rPr>
                <w:rStyle w:val="56"/>
                <w:rFonts w:hint="eastAsia" w:ascii="宋体" w:hAnsi="宋体" w:eastAsia="宋体" w:cs="宋体"/>
                <w:color w:val="auto"/>
              </w:rPr>
              <w:t xml:space="preserve">量 </w:t>
            </w:r>
            <w:r>
              <w:rPr>
                <w:rStyle w:val="57"/>
                <w:rFonts w:hint="eastAsia" w:ascii="宋体" w:hAnsi="宋体" w:eastAsia="宋体" w:cs="宋体"/>
                <w:color w:val="auto"/>
              </w:rPr>
              <w:t>(kW.h)</w:t>
            </w:r>
          </w:p>
        </w:tc>
        <w:tc>
          <w:tcPr>
            <w:tcW w:w="1229" w:type="dxa"/>
            <w:vMerge w:val="restart"/>
            <w:tcBorders>
              <w:top w:val="single" w:color="auto" w:sz="4" w:space="0"/>
              <w:left w:val="single" w:color="auto" w:sz="4" w:space="0"/>
            </w:tcBorders>
            <w:shd w:val="clear" w:color="auto" w:fill="FFFFFF"/>
            <w:noWrap w:val="0"/>
            <w:vAlign w:val="center"/>
          </w:tcPr>
          <w:p w14:paraId="780262D1">
            <w:pPr>
              <w:pStyle w:val="32"/>
              <w:framePr w:w="8808" w:wrap="notBeside" w:vAnchor="text" w:hAnchor="text" w:xAlign="center" w:y="1"/>
              <w:shd w:val="clear" w:color="auto" w:fill="auto"/>
              <w:spacing w:before="0" w:line="240" w:lineRule="auto"/>
              <w:ind w:left="320" w:firstLine="0"/>
              <w:jc w:val="both"/>
              <w:rPr>
                <w:rFonts w:hint="eastAsia" w:ascii="宋体" w:hAnsi="宋体" w:eastAsia="宋体" w:cs="宋体"/>
              </w:rPr>
            </w:pPr>
            <w:r>
              <w:rPr>
                <w:rStyle w:val="56"/>
                <w:rFonts w:hint="eastAsia" w:ascii="宋体" w:hAnsi="宋体" w:eastAsia="宋体" w:cs="宋体"/>
                <w:color w:val="auto"/>
              </w:rPr>
              <w:t>用途</w:t>
            </w:r>
          </w:p>
        </w:tc>
        <w:tc>
          <w:tcPr>
            <w:tcW w:w="2366" w:type="dxa"/>
            <w:vMerge w:val="restart"/>
            <w:tcBorders>
              <w:top w:val="single" w:color="auto" w:sz="4" w:space="0"/>
              <w:left w:val="single" w:color="auto" w:sz="4" w:space="0"/>
            </w:tcBorders>
            <w:shd w:val="clear" w:color="auto" w:fill="FFFFFF"/>
            <w:noWrap w:val="0"/>
            <w:vAlign w:val="center"/>
          </w:tcPr>
          <w:p w14:paraId="50256AEA">
            <w:pPr>
              <w:pStyle w:val="32"/>
              <w:framePr w:w="8808" w:wrap="notBeside" w:vAnchor="text" w:hAnchor="text" w:xAlign="center" w:y="1"/>
              <w:shd w:val="clear" w:color="auto" w:fill="auto"/>
              <w:spacing w:before="0" w:line="240" w:lineRule="auto"/>
              <w:ind w:firstLine="0"/>
              <w:jc w:val="center"/>
              <w:rPr>
                <w:rStyle w:val="56"/>
                <w:rFonts w:hint="eastAsia" w:ascii="宋体" w:hAnsi="宋体" w:eastAsia="宋体" w:cs="宋体"/>
                <w:color w:val="auto"/>
              </w:rPr>
            </w:pPr>
            <w:r>
              <w:rPr>
                <w:rStyle w:val="56"/>
                <w:rFonts w:hint="eastAsia" w:ascii="宋体" w:hAnsi="宋体" w:eastAsia="宋体" w:cs="宋体"/>
                <w:color w:val="auto"/>
              </w:rPr>
              <w:t>需用时间</w:t>
            </w:r>
          </w:p>
          <w:p w14:paraId="15B84AEF">
            <w:pPr>
              <w:pStyle w:val="32"/>
              <w:framePr w:w="8808" w:wrap="notBeside" w:vAnchor="text" w:hAnchor="text" w:xAlign="center" w:y="1"/>
              <w:shd w:val="clear" w:color="auto" w:fill="auto"/>
              <w:spacing w:before="0" w:line="240" w:lineRule="auto"/>
              <w:ind w:firstLine="0"/>
              <w:jc w:val="center"/>
              <w:rPr>
                <w:rStyle w:val="56"/>
                <w:rFonts w:hint="eastAsia" w:ascii="宋体" w:hAnsi="宋体" w:eastAsia="宋体" w:cs="宋体"/>
                <w:color w:val="auto"/>
                <w:u w:val="single"/>
              </w:rPr>
            </w:pPr>
            <w:r>
              <w:rPr>
                <w:rStyle w:val="56"/>
                <w:rFonts w:hint="eastAsia" w:ascii="宋体" w:hAnsi="宋体" w:eastAsia="宋体" w:cs="宋体"/>
                <w:color w:val="auto"/>
                <w:u w:val="single"/>
                <w:lang w:val="en-US"/>
              </w:rPr>
              <w:t xml:space="preserve">  </w:t>
            </w:r>
            <w:r>
              <w:rPr>
                <w:rStyle w:val="56"/>
                <w:rFonts w:hint="eastAsia" w:ascii="宋体" w:hAnsi="宋体" w:eastAsia="宋体" w:cs="宋体"/>
                <w:color w:val="auto"/>
              </w:rPr>
              <w:t>年</w:t>
            </w:r>
            <w:r>
              <w:rPr>
                <w:rStyle w:val="56"/>
                <w:rFonts w:hint="eastAsia" w:ascii="宋体" w:hAnsi="宋体" w:eastAsia="宋体" w:cs="宋体"/>
                <w:color w:val="auto"/>
                <w:u w:val="single"/>
                <w:lang w:val="en-US"/>
              </w:rPr>
              <w:t xml:space="preserve">  </w:t>
            </w:r>
            <w:r>
              <w:rPr>
                <w:rStyle w:val="56"/>
                <w:rFonts w:hint="eastAsia" w:ascii="宋体" w:hAnsi="宋体" w:eastAsia="宋体" w:cs="宋体"/>
                <w:color w:val="auto"/>
                <w:u w:val="single"/>
              </w:rPr>
              <w:t>月</w:t>
            </w:r>
            <w:r>
              <w:rPr>
                <w:rStyle w:val="56"/>
                <w:rFonts w:hint="eastAsia" w:ascii="宋体" w:hAnsi="宋体" w:eastAsia="宋体" w:cs="宋体"/>
                <w:color w:val="auto"/>
              </w:rPr>
              <w:t>至</w:t>
            </w:r>
          </w:p>
          <w:p w14:paraId="6C61BDF6">
            <w:pPr>
              <w:pStyle w:val="32"/>
              <w:framePr w:w="8808" w:wrap="notBeside" w:vAnchor="text" w:hAnchor="text" w:xAlign="center" w:y="1"/>
              <w:shd w:val="clear" w:color="auto" w:fill="auto"/>
              <w:spacing w:before="0" w:line="240" w:lineRule="auto"/>
              <w:ind w:firstLine="0"/>
              <w:jc w:val="center"/>
              <w:rPr>
                <w:rFonts w:hint="eastAsia" w:ascii="宋体" w:hAnsi="宋体" w:eastAsia="宋体" w:cs="宋体"/>
                <w:u w:val="single"/>
              </w:rPr>
            </w:pPr>
            <w:r>
              <w:rPr>
                <w:rStyle w:val="56"/>
                <w:rFonts w:hint="eastAsia" w:ascii="宋体" w:hAnsi="宋体" w:eastAsia="宋体" w:cs="宋体"/>
                <w:color w:val="auto"/>
                <w:u w:val="single"/>
                <w:lang w:val="en-US"/>
              </w:rPr>
              <w:t xml:space="preserve">  </w:t>
            </w:r>
            <w:r>
              <w:rPr>
                <w:rStyle w:val="56"/>
                <w:rFonts w:hint="eastAsia" w:ascii="宋体" w:hAnsi="宋体" w:eastAsia="宋体" w:cs="宋体"/>
                <w:color w:val="auto"/>
              </w:rPr>
              <w:t>年</w:t>
            </w:r>
            <w:r>
              <w:rPr>
                <w:rStyle w:val="56"/>
                <w:rFonts w:hint="eastAsia" w:ascii="宋体" w:hAnsi="宋体" w:eastAsia="宋体" w:cs="宋体"/>
                <w:color w:val="auto"/>
                <w:u w:val="single"/>
                <w:lang w:val="en-US"/>
              </w:rPr>
              <w:t xml:space="preserve">  </w:t>
            </w:r>
            <w:r>
              <w:rPr>
                <w:rStyle w:val="56"/>
                <w:rFonts w:hint="eastAsia" w:ascii="宋体" w:hAnsi="宋体" w:eastAsia="宋体" w:cs="宋体"/>
                <w:color w:val="auto"/>
              </w:rPr>
              <w:t>月</w:t>
            </w:r>
          </w:p>
        </w:tc>
        <w:tc>
          <w:tcPr>
            <w:tcW w:w="1786" w:type="dxa"/>
            <w:vMerge w:val="restart"/>
            <w:tcBorders>
              <w:top w:val="single" w:color="auto" w:sz="4" w:space="0"/>
              <w:left w:val="single" w:color="auto" w:sz="4" w:space="0"/>
              <w:right w:val="single" w:color="auto" w:sz="4" w:space="0"/>
            </w:tcBorders>
            <w:shd w:val="clear" w:color="auto" w:fill="FFFFFF"/>
            <w:noWrap w:val="0"/>
            <w:vAlign w:val="center"/>
          </w:tcPr>
          <w:p w14:paraId="4938A36F">
            <w:pPr>
              <w:pStyle w:val="32"/>
              <w:framePr w:w="8808" w:wrap="notBeside" w:vAnchor="text" w:hAnchor="text" w:xAlign="center" w:y="1"/>
              <w:shd w:val="clear" w:color="auto" w:fill="auto"/>
              <w:spacing w:before="0" w:line="240" w:lineRule="auto"/>
              <w:ind w:firstLine="0"/>
              <w:jc w:val="center"/>
              <w:rPr>
                <w:rFonts w:hint="eastAsia" w:ascii="宋体" w:hAnsi="宋体" w:eastAsia="宋体" w:cs="宋体"/>
              </w:rPr>
            </w:pPr>
            <w:r>
              <w:rPr>
                <w:rStyle w:val="56"/>
                <w:rFonts w:hint="eastAsia" w:ascii="宋体" w:hAnsi="宋体" w:eastAsia="宋体" w:cs="宋体"/>
                <w:color w:val="auto"/>
              </w:rPr>
              <w:t>备</w:t>
            </w:r>
            <w:r>
              <w:rPr>
                <w:rStyle w:val="56"/>
                <w:rFonts w:hint="eastAsia" w:ascii="宋体" w:hAnsi="宋体" w:eastAsia="宋体" w:cs="宋体"/>
                <w:color w:val="auto"/>
                <w:lang w:val="en-US"/>
              </w:rPr>
              <w:t xml:space="preserve">  </w:t>
            </w:r>
            <w:r>
              <w:rPr>
                <w:rStyle w:val="56"/>
                <w:rFonts w:hint="eastAsia" w:ascii="宋体" w:hAnsi="宋体" w:eastAsia="宋体" w:cs="宋体"/>
                <w:color w:val="auto"/>
              </w:rPr>
              <w:t>注</w:t>
            </w:r>
          </w:p>
        </w:tc>
      </w:tr>
      <w:tr w14:paraId="16EB0D83">
        <w:tblPrEx>
          <w:tblCellMar>
            <w:top w:w="0" w:type="dxa"/>
            <w:left w:w="10" w:type="dxa"/>
            <w:bottom w:w="0" w:type="dxa"/>
            <w:right w:w="10" w:type="dxa"/>
          </w:tblCellMar>
        </w:tblPrEx>
        <w:trPr>
          <w:trHeight w:val="734" w:hRule="exact"/>
          <w:jc w:val="center"/>
        </w:trPr>
        <w:tc>
          <w:tcPr>
            <w:tcW w:w="1051" w:type="dxa"/>
            <w:tcBorders>
              <w:top w:val="single" w:color="auto" w:sz="4" w:space="0"/>
              <w:left w:val="single" w:color="auto" w:sz="4" w:space="0"/>
            </w:tcBorders>
            <w:shd w:val="clear" w:color="auto" w:fill="FFFFFF"/>
            <w:noWrap w:val="0"/>
            <w:vAlign w:val="center"/>
          </w:tcPr>
          <w:p w14:paraId="402FB2E6">
            <w:pPr>
              <w:pStyle w:val="32"/>
              <w:framePr w:w="8808" w:wrap="notBeside" w:vAnchor="text" w:hAnchor="text" w:xAlign="center" w:y="1"/>
              <w:shd w:val="clear" w:color="auto" w:fill="auto"/>
              <w:spacing w:before="0" w:line="240" w:lineRule="auto"/>
              <w:ind w:left="240" w:firstLine="0"/>
              <w:jc w:val="center"/>
              <w:rPr>
                <w:rFonts w:hint="eastAsia" w:ascii="宋体" w:hAnsi="宋体" w:eastAsia="宋体" w:cs="宋体"/>
              </w:rPr>
            </w:pPr>
            <w:r>
              <w:rPr>
                <w:rStyle w:val="59"/>
                <w:rFonts w:hint="eastAsia" w:ascii="宋体" w:hAnsi="宋体" w:eastAsia="宋体" w:cs="宋体"/>
                <w:color w:val="auto"/>
              </w:rPr>
              <w:t>桩号</w:t>
            </w:r>
          </w:p>
        </w:tc>
        <w:tc>
          <w:tcPr>
            <w:tcW w:w="1501" w:type="dxa"/>
            <w:tcBorders>
              <w:top w:val="single" w:color="auto" w:sz="4" w:space="0"/>
              <w:left w:val="single" w:color="auto" w:sz="4" w:space="0"/>
            </w:tcBorders>
            <w:shd w:val="clear" w:color="auto" w:fill="FFFFFF"/>
            <w:noWrap w:val="0"/>
            <w:vAlign w:val="center"/>
          </w:tcPr>
          <w:p w14:paraId="2BE69BC5">
            <w:pPr>
              <w:framePr w:w="8808" w:wrap="notBeside" w:vAnchor="text" w:hAnchor="text" w:xAlign="center" w:y="1"/>
              <w:jc w:val="center"/>
              <w:rPr>
                <w:rFonts w:hint="eastAsia" w:ascii="宋体" w:hAnsi="宋体" w:cs="宋体"/>
                <w:sz w:val="18"/>
                <w:szCs w:val="18"/>
              </w:rPr>
            </w:pPr>
            <w:r>
              <w:rPr>
                <w:rFonts w:hint="eastAsia" w:ascii="宋体" w:hAnsi="宋体" w:cs="宋体"/>
                <w:sz w:val="18"/>
                <w:szCs w:val="18"/>
              </w:rPr>
              <w:t>左或右</w:t>
            </w:r>
          </w:p>
          <w:p w14:paraId="19A7A43C">
            <w:pPr>
              <w:pStyle w:val="32"/>
              <w:framePr w:w="8808" w:wrap="notBeside" w:vAnchor="text" w:hAnchor="text" w:xAlign="center" w:y="1"/>
              <w:shd w:val="clear" w:color="auto" w:fill="auto"/>
              <w:spacing w:before="120" w:line="240" w:lineRule="auto"/>
              <w:ind w:firstLine="0"/>
              <w:jc w:val="center"/>
              <w:rPr>
                <w:rFonts w:hint="eastAsia" w:ascii="宋体" w:hAnsi="宋体" w:eastAsia="宋体" w:cs="宋体"/>
              </w:rPr>
            </w:pPr>
            <w:r>
              <w:rPr>
                <w:rStyle w:val="57"/>
                <w:rFonts w:hint="eastAsia" w:ascii="宋体" w:hAnsi="宋体" w:eastAsia="宋体" w:cs="宋体"/>
                <w:color w:val="auto"/>
              </w:rPr>
              <w:t>(m)</w:t>
            </w:r>
          </w:p>
        </w:tc>
        <w:tc>
          <w:tcPr>
            <w:tcW w:w="875" w:type="dxa"/>
            <w:vMerge w:val="continue"/>
            <w:tcBorders>
              <w:left w:val="single" w:color="auto" w:sz="4" w:space="0"/>
            </w:tcBorders>
            <w:shd w:val="clear" w:color="auto" w:fill="FFFFFF"/>
            <w:noWrap w:val="0"/>
            <w:vAlign w:val="top"/>
          </w:tcPr>
          <w:p w14:paraId="722706D3">
            <w:pPr>
              <w:framePr w:w="8808" w:wrap="notBeside" w:vAnchor="text" w:hAnchor="text" w:xAlign="center" w:y="1"/>
              <w:rPr>
                <w:rFonts w:hint="eastAsia" w:ascii="宋体" w:hAnsi="宋体" w:cs="宋体"/>
              </w:rPr>
            </w:pPr>
          </w:p>
        </w:tc>
        <w:tc>
          <w:tcPr>
            <w:tcW w:w="1229" w:type="dxa"/>
            <w:vMerge w:val="continue"/>
            <w:tcBorders>
              <w:left w:val="single" w:color="auto" w:sz="4" w:space="0"/>
            </w:tcBorders>
            <w:shd w:val="clear" w:color="auto" w:fill="FFFFFF"/>
            <w:noWrap w:val="0"/>
            <w:vAlign w:val="top"/>
          </w:tcPr>
          <w:p w14:paraId="499E4954">
            <w:pPr>
              <w:framePr w:w="8808" w:wrap="notBeside" w:vAnchor="text" w:hAnchor="text" w:xAlign="center" w:y="1"/>
              <w:rPr>
                <w:rFonts w:hint="eastAsia" w:ascii="宋体" w:hAnsi="宋体" w:cs="宋体"/>
              </w:rPr>
            </w:pPr>
          </w:p>
        </w:tc>
        <w:tc>
          <w:tcPr>
            <w:tcW w:w="2366" w:type="dxa"/>
            <w:vMerge w:val="continue"/>
            <w:tcBorders>
              <w:left w:val="single" w:color="auto" w:sz="4" w:space="0"/>
            </w:tcBorders>
            <w:shd w:val="clear" w:color="auto" w:fill="FFFFFF"/>
            <w:noWrap w:val="0"/>
            <w:vAlign w:val="top"/>
          </w:tcPr>
          <w:p w14:paraId="17293B08">
            <w:pPr>
              <w:framePr w:w="8808" w:wrap="notBeside" w:vAnchor="text" w:hAnchor="text" w:xAlign="center" w:y="1"/>
              <w:rPr>
                <w:rFonts w:hint="eastAsia" w:ascii="宋体" w:hAnsi="宋体" w:cs="宋体"/>
              </w:rPr>
            </w:pPr>
          </w:p>
        </w:tc>
        <w:tc>
          <w:tcPr>
            <w:tcW w:w="1786" w:type="dxa"/>
            <w:vMerge w:val="continue"/>
            <w:tcBorders>
              <w:left w:val="single" w:color="auto" w:sz="4" w:space="0"/>
              <w:right w:val="single" w:color="auto" w:sz="4" w:space="0"/>
            </w:tcBorders>
            <w:shd w:val="clear" w:color="auto" w:fill="FFFFFF"/>
            <w:noWrap w:val="0"/>
            <w:vAlign w:val="top"/>
          </w:tcPr>
          <w:p w14:paraId="21276D23">
            <w:pPr>
              <w:framePr w:w="8808" w:wrap="notBeside" w:vAnchor="text" w:hAnchor="text" w:xAlign="center" w:y="1"/>
              <w:rPr>
                <w:rFonts w:hint="eastAsia" w:ascii="宋体" w:hAnsi="宋体" w:cs="宋体"/>
              </w:rPr>
            </w:pPr>
          </w:p>
        </w:tc>
      </w:tr>
      <w:tr w14:paraId="59BF0709">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6BD4A56B">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777FC325">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512409DF">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1330150E">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09F8347D">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0EA75802">
            <w:pPr>
              <w:framePr w:w="8808" w:wrap="notBeside" w:vAnchor="text" w:hAnchor="text" w:xAlign="center" w:y="1"/>
              <w:rPr>
                <w:rFonts w:hint="eastAsia" w:ascii="宋体" w:hAnsi="宋体" w:cs="宋体"/>
                <w:sz w:val="10"/>
                <w:szCs w:val="10"/>
              </w:rPr>
            </w:pPr>
          </w:p>
        </w:tc>
      </w:tr>
      <w:tr w14:paraId="74A3C08E">
        <w:tblPrEx>
          <w:tblCellMar>
            <w:top w:w="0" w:type="dxa"/>
            <w:left w:w="10" w:type="dxa"/>
            <w:bottom w:w="0" w:type="dxa"/>
            <w:right w:w="10" w:type="dxa"/>
          </w:tblCellMar>
        </w:tblPrEx>
        <w:trPr>
          <w:trHeight w:val="379" w:hRule="exact"/>
          <w:jc w:val="center"/>
        </w:trPr>
        <w:tc>
          <w:tcPr>
            <w:tcW w:w="1051" w:type="dxa"/>
            <w:tcBorders>
              <w:top w:val="single" w:color="auto" w:sz="4" w:space="0"/>
              <w:left w:val="single" w:color="auto" w:sz="4" w:space="0"/>
            </w:tcBorders>
            <w:shd w:val="clear" w:color="auto" w:fill="FFFFFF"/>
            <w:noWrap w:val="0"/>
            <w:vAlign w:val="top"/>
          </w:tcPr>
          <w:p w14:paraId="06B9311F">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649C5B53">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29EB6C44">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69E78A7E">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4BEC2D6B">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1EB1D027">
            <w:pPr>
              <w:framePr w:w="8808" w:wrap="notBeside" w:vAnchor="text" w:hAnchor="text" w:xAlign="center" w:y="1"/>
              <w:rPr>
                <w:rFonts w:hint="eastAsia" w:ascii="宋体" w:hAnsi="宋体" w:cs="宋体"/>
                <w:sz w:val="10"/>
                <w:szCs w:val="10"/>
              </w:rPr>
            </w:pPr>
          </w:p>
        </w:tc>
      </w:tr>
      <w:tr w14:paraId="367FFDA3">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4AB40E60">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47AAC923">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4F14F4F2">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6C70048C">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34FE2DD5">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6124948B">
            <w:pPr>
              <w:framePr w:w="8808" w:wrap="notBeside" w:vAnchor="text" w:hAnchor="text" w:xAlign="center" w:y="1"/>
              <w:rPr>
                <w:rFonts w:hint="eastAsia" w:ascii="宋体" w:hAnsi="宋体" w:cs="宋体"/>
                <w:sz w:val="10"/>
                <w:szCs w:val="10"/>
              </w:rPr>
            </w:pPr>
          </w:p>
        </w:tc>
      </w:tr>
      <w:tr w14:paraId="4D18DBDD">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5C431D13">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3B71F8C8">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7A96A664">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4E9B79B3">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4DAD5710">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49E8574F">
            <w:pPr>
              <w:framePr w:w="8808" w:wrap="notBeside" w:vAnchor="text" w:hAnchor="text" w:xAlign="center" w:y="1"/>
              <w:rPr>
                <w:rFonts w:hint="eastAsia" w:ascii="宋体" w:hAnsi="宋体" w:cs="宋体"/>
                <w:sz w:val="10"/>
                <w:szCs w:val="10"/>
              </w:rPr>
            </w:pPr>
          </w:p>
        </w:tc>
      </w:tr>
      <w:tr w14:paraId="570AB6B7">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4E720CC4">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0B91A438">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5CE9598F">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69960616">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2F6429EF">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392DF3C5">
            <w:pPr>
              <w:framePr w:w="8808" w:wrap="notBeside" w:vAnchor="text" w:hAnchor="text" w:xAlign="center" w:y="1"/>
              <w:rPr>
                <w:rFonts w:hint="eastAsia" w:ascii="宋体" w:hAnsi="宋体" w:cs="宋体"/>
                <w:sz w:val="10"/>
                <w:szCs w:val="10"/>
              </w:rPr>
            </w:pPr>
          </w:p>
        </w:tc>
      </w:tr>
      <w:tr w14:paraId="7E733043">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0717FBD7">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76D35AC4">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416B4C73">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3B6D1B1D">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1164961A">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3224FA99">
            <w:pPr>
              <w:framePr w:w="8808" w:wrap="notBeside" w:vAnchor="text" w:hAnchor="text" w:xAlign="center" w:y="1"/>
              <w:rPr>
                <w:rFonts w:hint="eastAsia" w:ascii="宋体" w:hAnsi="宋体" w:cs="宋体"/>
                <w:sz w:val="10"/>
                <w:szCs w:val="10"/>
              </w:rPr>
            </w:pPr>
          </w:p>
        </w:tc>
      </w:tr>
      <w:tr w14:paraId="587C13BF">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5F2D71D5">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5A703376">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1572A16C">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5BA94696">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0ACBBA2F">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5E4D23A1">
            <w:pPr>
              <w:framePr w:w="8808" w:wrap="notBeside" w:vAnchor="text" w:hAnchor="text" w:xAlign="center" w:y="1"/>
              <w:rPr>
                <w:rFonts w:hint="eastAsia" w:ascii="宋体" w:hAnsi="宋体" w:cs="宋体"/>
                <w:sz w:val="10"/>
                <w:szCs w:val="10"/>
              </w:rPr>
            </w:pPr>
          </w:p>
        </w:tc>
      </w:tr>
      <w:tr w14:paraId="2EE7BE87">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5141BC5C">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7EF91763">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6AD75572">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0552438E">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5B274661">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5937F7BE">
            <w:pPr>
              <w:framePr w:w="8808" w:wrap="notBeside" w:vAnchor="text" w:hAnchor="text" w:xAlign="center" w:y="1"/>
              <w:rPr>
                <w:rFonts w:hint="eastAsia" w:ascii="宋体" w:hAnsi="宋体" w:cs="宋体"/>
                <w:sz w:val="10"/>
                <w:szCs w:val="10"/>
              </w:rPr>
            </w:pPr>
          </w:p>
        </w:tc>
      </w:tr>
      <w:tr w14:paraId="346BD2AE">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1061D15E">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75F49E99">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60D6E2AE">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32C2DF09">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57EA45BD">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643AEC9F">
            <w:pPr>
              <w:framePr w:w="8808" w:wrap="notBeside" w:vAnchor="text" w:hAnchor="text" w:xAlign="center" w:y="1"/>
              <w:rPr>
                <w:rFonts w:hint="eastAsia" w:ascii="宋体" w:hAnsi="宋体" w:cs="宋体"/>
                <w:sz w:val="10"/>
                <w:szCs w:val="10"/>
              </w:rPr>
            </w:pPr>
          </w:p>
        </w:tc>
      </w:tr>
      <w:tr w14:paraId="4A0250D0">
        <w:tblPrEx>
          <w:tblCellMar>
            <w:top w:w="0" w:type="dxa"/>
            <w:left w:w="10" w:type="dxa"/>
            <w:bottom w:w="0" w:type="dxa"/>
            <w:right w:w="10" w:type="dxa"/>
          </w:tblCellMar>
        </w:tblPrEx>
        <w:trPr>
          <w:trHeight w:val="379" w:hRule="exact"/>
          <w:jc w:val="center"/>
        </w:trPr>
        <w:tc>
          <w:tcPr>
            <w:tcW w:w="1051" w:type="dxa"/>
            <w:tcBorders>
              <w:top w:val="single" w:color="auto" w:sz="4" w:space="0"/>
              <w:left w:val="single" w:color="auto" w:sz="4" w:space="0"/>
            </w:tcBorders>
            <w:shd w:val="clear" w:color="auto" w:fill="FFFFFF"/>
            <w:noWrap w:val="0"/>
            <w:vAlign w:val="top"/>
          </w:tcPr>
          <w:p w14:paraId="0FFDB11C">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3401DAE3">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594DFF38">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72AB42A0">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05D8E4E6">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67305538">
            <w:pPr>
              <w:framePr w:w="8808" w:wrap="notBeside" w:vAnchor="text" w:hAnchor="text" w:xAlign="center" w:y="1"/>
              <w:rPr>
                <w:rFonts w:hint="eastAsia" w:ascii="宋体" w:hAnsi="宋体" w:cs="宋体"/>
                <w:sz w:val="10"/>
                <w:szCs w:val="10"/>
              </w:rPr>
            </w:pPr>
          </w:p>
        </w:tc>
      </w:tr>
      <w:tr w14:paraId="5B71C4EB">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35EEC26A">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213C11B6">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1C511FD1">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1B680ACF">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5BFB6865">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01C37A79">
            <w:pPr>
              <w:framePr w:w="8808" w:wrap="notBeside" w:vAnchor="text" w:hAnchor="text" w:xAlign="center" w:y="1"/>
              <w:rPr>
                <w:rFonts w:hint="eastAsia" w:ascii="宋体" w:hAnsi="宋体" w:cs="宋体"/>
                <w:sz w:val="10"/>
                <w:szCs w:val="10"/>
              </w:rPr>
            </w:pPr>
          </w:p>
        </w:tc>
      </w:tr>
      <w:tr w14:paraId="38916DF1">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10022649">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08E8967E">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781C496B">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73907163">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6521B706">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328C0D3E">
            <w:pPr>
              <w:framePr w:w="8808" w:wrap="notBeside" w:vAnchor="text" w:hAnchor="text" w:xAlign="center" w:y="1"/>
              <w:rPr>
                <w:rFonts w:hint="eastAsia" w:ascii="宋体" w:hAnsi="宋体" w:cs="宋体"/>
                <w:sz w:val="10"/>
                <w:szCs w:val="10"/>
              </w:rPr>
            </w:pPr>
          </w:p>
        </w:tc>
      </w:tr>
      <w:tr w14:paraId="3CAD90F3">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471A4C8F">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074ECDC8">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7781A302">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549DB2E8">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12C54496">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16FB067B">
            <w:pPr>
              <w:framePr w:w="8808" w:wrap="notBeside" w:vAnchor="text" w:hAnchor="text" w:xAlign="center" w:y="1"/>
              <w:rPr>
                <w:rFonts w:hint="eastAsia" w:ascii="宋体" w:hAnsi="宋体" w:cs="宋体"/>
                <w:sz w:val="10"/>
                <w:szCs w:val="10"/>
              </w:rPr>
            </w:pPr>
          </w:p>
        </w:tc>
      </w:tr>
      <w:tr w14:paraId="77EF9E7E">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6032C17C">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25B691A3">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1A453460">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234FE968">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0F1DBFED">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6D1B2318">
            <w:pPr>
              <w:framePr w:w="8808" w:wrap="notBeside" w:vAnchor="text" w:hAnchor="text" w:xAlign="center" w:y="1"/>
              <w:rPr>
                <w:rFonts w:hint="eastAsia" w:ascii="宋体" w:hAnsi="宋体" w:cs="宋体"/>
                <w:sz w:val="10"/>
                <w:szCs w:val="10"/>
              </w:rPr>
            </w:pPr>
          </w:p>
        </w:tc>
      </w:tr>
      <w:tr w14:paraId="11FD51A3">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7EC5CA33">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6ED32CE0">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189D35D5">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1C1FA9C4">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0D40E086">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1A4755BF">
            <w:pPr>
              <w:framePr w:w="8808" w:wrap="notBeside" w:vAnchor="text" w:hAnchor="text" w:xAlign="center" w:y="1"/>
              <w:rPr>
                <w:rFonts w:hint="eastAsia" w:ascii="宋体" w:hAnsi="宋体" w:cs="宋体"/>
                <w:sz w:val="10"/>
                <w:szCs w:val="10"/>
              </w:rPr>
            </w:pPr>
          </w:p>
        </w:tc>
      </w:tr>
      <w:tr w14:paraId="3DBEE0DB">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113A1A85">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36181ED8">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4618808E">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7CA11BF6">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5A9968AA">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6ECB64F6">
            <w:pPr>
              <w:framePr w:w="8808" w:wrap="notBeside" w:vAnchor="text" w:hAnchor="text" w:xAlign="center" w:y="1"/>
              <w:rPr>
                <w:rFonts w:hint="eastAsia" w:ascii="宋体" w:hAnsi="宋体" w:cs="宋体"/>
                <w:sz w:val="10"/>
                <w:szCs w:val="10"/>
              </w:rPr>
            </w:pPr>
          </w:p>
        </w:tc>
      </w:tr>
      <w:tr w14:paraId="793D0C5E">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tcBorders>
            <w:shd w:val="clear" w:color="auto" w:fill="FFFFFF"/>
            <w:noWrap w:val="0"/>
            <w:vAlign w:val="top"/>
          </w:tcPr>
          <w:p w14:paraId="70C97F03">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48FC6D82">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2CB6C52B">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670AB5B2">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0537EE41">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7F137AC5">
            <w:pPr>
              <w:framePr w:w="8808" w:wrap="notBeside" w:vAnchor="text" w:hAnchor="text" w:xAlign="center" w:y="1"/>
              <w:rPr>
                <w:rFonts w:hint="eastAsia" w:ascii="宋体" w:hAnsi="宋体" w:cs="宋体"/>
                <w:sz w:val="10"/>
                <w:szCs w:val="10"/>
              </w:rPr>
            </w:pPr>
          </w:p>
        </w:tc>
      </w:tr>
      <w:tr w14:paraId="7A939A2B">
        <w:tblPrEx>
          <w:tblCellMar>
            <w:top w:w="0" w:type="dxa"/>
            <w:left w:w="10" w:type="dxa"/>
            <w:bottom w:w="0" w:type="dxa"/>
            <w:right w:w="10" w:type="dxa"/>
          </w:tblCellMar>
        </w:tblPrEx>
        <w:trPr>
          <w:trHeight w:val="379" w:hRule="exact"/>
          <w:jc w:val="center"/>
        </w:trPr>
        <w:tc>
          <w:tcPr>
            <w:tcW w:w="1051" w:type="dxa"/>
            <w:tcBorders>
              <w:top w:val="single" w:color="auto" w:sz="4" w:space="0"/>
              <w:left w:val="single" w:color="auto" w:sz="4" w:space="0"/>
            </w:tcBorders>
            <w:shd w:val="clear" w:color="auto" w:fill="FFFFFF"/>
            <w:noWrap w:val="0"/>
            <w:vAlign w:val="top"/>
          </w:tcPr>
          <w:p w14:paraId="26541382">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tcBorders>
            <w:shd w:val="clear" w:color="auto" w:fill="FFFFFF"/>
            <w:noWrap w:val="0"/>
            <w:vAlign w:val="top"/>
          </w:tcPr>
          <w:p w14:paraId="5A89FC25">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tcBorders>
            <w:shd w:val="clear" w:color="auto" w:fill="FFFFFF"/>
            <w:noWrap w:val="0"/>
            <w:vAlign w:val="top"/>
          </w:tcPr>
          <w:p w14:paraId="13411DEC">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tcBorders>
            <w:shd w:val="clear" w:color="auto" w:fill="FFFFFF"/>
            <w:noWrap w:val="0"/>
            <w:vAlign w:val="top"/>
          </w:tcPr>
          <w:p w14:paraId="514942E9">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tcBorders>
            <w:shd w:val="clear" w:color="auto" w:fill="FFFFFF"/>
            <w:noWrap w:val="0"/>
            <w:vAlign w:val="top"/>
          </w:tcPr>
          <w:p w14:paraId="376CFD8A">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right w:val="single" w:color="auto" w:sz="4" w:space="0"/>
            </w:tcBorders>
            <w:shd w:val="clear" w:color="auto" w:fill="FFFFFF"/>
            <w:noWrap w:val="0"/>
            <w:vAlign w:val="top"/>
          </w:tcPr>
          <w:p w14:paraId="5C31A6DC">
            <w:pPr>
              <w:framePr w:w="8808" w:wrap="notBeside" w:vAnchor="text" w:hAnchor="text" w:xAlign="center" w:y="1"/>
              <w:rPr>
                <w:rFonts w:hint="eastAsia" w:ascii="宋体" w:hAnsi="宋体" w:cs="宋体"/>
                <w:sz w:val="10"/>
                <w:szCs w:val="10"/>
              </w:rPr>
            </w:pPr>
          </w:p>
        </w:tc>
      </w:tr>
      <w:tr w14:paraId="046875FA">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bottom w:val="single" w:color="auto" w:sz="4" w:space="0"/>
            </w:tcBorders>
            <w:shd w:val="clear" w:color="auto" w:fill="FFFFFF"/>
            <w:noWrap w:val="0"/>
            <w:vAlign w:val="top"/>
          </w:tcPr>
          <w:p w14:paraId="1E72020B">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bottom w:val="single" w:color="auto" w:sz="4" w:space="0"/>
            </w:tcBorders>
            <w:shd w:val="clear" w:color="auto" w:fill="FFFFFF"/>
            <w:noWrap w:val="0"/>
            <w:vAlign w:val="top"/>
          </w:tcPr>
          <w:p w14:paraId="704A5D42">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bottom w:val="single" w:color="auto" w:sz="4" w:space="0"/>
            </w:tcBorders>
            <w:shd w:val="clear" w:color="auto" w:fill="FFFFFF"/>
            <w:noWrap w:val="0"/>
            <w:vAlign w:val="top"/>
          </w:tcPr>
          <w:p w14:paraId="10B0AEB7">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bottom w:val="single" w:color="auto" w:sz="4" w:space="0"/>
            </w:tcBorders>
            <w:shd w:val="clear" w:color="auto" w:fill="FFFFFF"/>
            <w:noWrap w:val="0"/>
            <w:vAlign w:val="top"/>
          </w:tcPr>
          <w:p w14:paraId="1BCB55F7">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bottom w:val="single" w:color="auto" w:sz="4" w:space="0"/>
            </w:tcBorders>
            <w:shd w:val="clear" w:color="auto" w:fill="FFFFFF"/>
            <w:noWrap w:val="0"/>
            <w:vAlign w:val="top"/>
          </w:tcPr>
          <w:p w14:paraId="5D62AC9D">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34FF355B">
            <w:pPr>
              <w:framePr w:w="8808" w:wrap="notBeside" w:vAnchor="text" w:hAnchor="text" w:xAlign="center" w:y="1"/>
              <w:rPr>
                <w:rFonts w:hint="eastAsia" w:ascii="宋体" w:hAnsi="宋体" w:cs="宋体"/>
                <w:sz w:val="10"/>
                <w:szCs w:val="10"/>
              </w:rPr>
            </w:pPr>
          </w:p>
        </w:tc>
      </w:tr>
      <w:tr w14:paraId="55F81D88">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6A14969C">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0E998AC2">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2B03875">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D3E0202">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1DD9042D">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A493A39">
            <w:pPr>
              <w:framePr w:w="8808" w:wrap="notBeside" w:vAnchor="text" w:hAnchor="text" w:xAlign="center" w:y="1"/>
              <w:rPr>
                <w:rFonts w:hint="eastAsia" w:ascii="宋体" w:hAnsi="宋体" w:cs="宋体"/>
                <w:sz w:val="10"/>
                <w:szCs w:val="10"/>
              </w:rPr>
            </w:pPr>
          </w:p>
        </w:tc>
      </w:tr>
      <w:tr w14:paraId="7E85DE5B">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6911732B">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4519D1D8">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5296FDA2">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32D597C5">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6587DA2">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105EA8AA">
            <w:pPr>
              <w:framePr w:w="8808" w:wrap="notBeside" w:vAnchor="text" w:hAnchor="text" w:xAlign="center" w:y="1"/>
              <w:rPr>
                <w:rFonts w:hint="eastAsia" w:ascii="宋体" w:hAnsi="宋体" w:cs="宋体"/>
                <w:sz w:val="10"/>
                <w:szCs w:val="10"/>
              </w:rPr>
            </w:pPr>
          </w:p>
        </w:tc>
      </w:tr>
      <w:tr w14:paraId="53C44B01">
        <w:tblPrEx>
          <w:tblCellMar>
            <w:top w:w="0" w:type="dxa"/>
            <w:left w:w="10" w:type="dxa"/>
            <w:bottom w:w="0" w:type="dxa"/>
            <w:right w:w="10" w:type="dxa"/>
          </w:tblCellMar>
        </w:tblPrEx>
        <w:trPr>
          <w:trHeight w:val="374" w:hRule="exact"/>
          <w:jc w:val="center"/>
        </w:trPr>
        <w:tc>
          <w:tcPr>
            <w:tcW w:w="1051"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380927BA">
            <w:pPr>
              <w:framePr w:w="8808" w:wrap="notBeside" w:vAnchor="text" w:hAnchor="text" w:xAlign="center" w:y="1"/>
              <w:rPr>
                <w:rFonts w:hint="eastAsia" w:ascii="宋体" w:hAnsi="宋体" w:cs="宋体"/>
                <w:sz w:val="10"/>
                <w:szCs w:val="10"/>
              </w:rPr>
            </w:pPr>
          </w:p>
        </w:tc>
        <w:tc>
          <w:tcPr>
            <w:tcW w:w="1501"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0F6AC983">
            <w:pPr>
              <w:framePr w:w="8808" w:wrap="notBeside" w:vAnchor="text" w:hAnchor="text" w:xAlign="center" w:y="1"/>
              <w:rPr>
                <w:rFonts w:hint="eastAsia" w:ascii="宋体" w:hAnsi="宋体" w:cs="宋体"/>
                <w:sz w:val="10"/>
                <w:szCs w:val="10"/>
              </w:rPr>
            </w:pPr>
          </w:p>
        </w:tc>
        <w:tc>
          <w:tcPr>
            <w:tcW w:w="875"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31F6B61F">
            <w:pPr>
              <w:framePr w:w="8808" w:wrap="notBeside" w:vAnchor="text" w:hAnchor="text" w:xAlign="center" w:y="1"/>
              <w:rPr>
                <w:rFonts w:hint="eastAsia" w:ascii="宋体" w:hAnsi="宋体" w:cs="宋体"/>
                <w:sz w:val="10"/>
                <w:szCs w:val="10"/>
              </w:rPr>
            </w:pPr>
          </w:p>
        </w:tc>
        <w:tc>
          <w:tcPr>
            <w:tcW w:w="1229"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00730E0B">
            <w:pPr>
              <w:framePr w:w="8808" w:wrap="notBeside" w:vAnchor="text" w:hAnchor="text" w:xAlign="center" w:y="1"/>
              <w:rPr>
                <w:rFonts w:hint="eastAsia" w:ascii="宋体" w:hAnsi="宋体" w:cs="宋体"/>
                <w:sz w:val="10"/>
                <w:szCs w:val="10"/>
              </w:rPr>
            </w:pPr>
          </w:p>
        </w:tc>
        <w:tc>
          <w:tcPr>
            <w:tcW w:w="236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622C487F">
            <w:pPr>
              <w:framePr w:w="8808" w:wrap="notBeside" w:vAnchor="text" w:hAnchor="text" w:xAlign="center" w:y="1"/>
              <w:rPr>
                <w:rFonts w:hint="eastAsia" w:ascii="宋体" w:hAnsi="宋体" w:cs="宋体"/>
                <w:sz w:val="10"/>
                <w:szCs w:val="10"/>
              </w:rPr>
            </w:pPr>
          </w:p>
        </w:tc>
        <w:tc>
          <w:tcPr>
            <w:tcW w:w="1786"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519A3AEA">
            <w:pPr>
              <w:framePr w:w="8808" w:wrap="notBeside" w:vAnchor="text" w:hAnchor="text" w:xAlign="center" w:y="1"/>
              <w:rPr>
                <w:rFonts w:hint="eastAsia" w:ascii="宋体" w:hAnsi="宋体" w:cs="宋体"/>
                <w:sz w:val="10"/>
                <w:szCs w:val="10"/>
              </w:rPr>
            </w:pPr>
          </w:p>
        </w:tc>
      </w:tr>
    </w:tbl>
    <w:p w14:paraId="450C7F72">
      <w:pPr>
        <w:spacing w:line="360" w:lineRule="auto"/>
        <w:jc w:val="left"/>
        <w:rPr>
          <w:rFonts w:hint="eastAsia" w:ascii="宋体" w:hAnsi="宋体" w:cs="宋体"/>
          <w:sz w:val="24"/>
          <w:szCs w:val="24"/>
        </w:rPr>
      </w:pPr>
    </w:p>
    <w:p w14:paraId="10E60A03">
      <w:pPr>
        <w:pStyle w:val="13"/>
        <w:rPr>
          <w:rFonts w:hint="default"/>
          <w:color w:val="auto"/>
          <w:highlight w:val="none"/>
          <w:lang w:val="en-US"/>
        </w:rPr>
      </w:pPr>
    </w:p>
    <w:p w14:paraId="69CEFFA4">
      <w:pPr>
        <w:rPr>
          <w:rFonts w:hint="default"/>
          <w:color w:val="auto"/>
          <w:highlight w:val="none"/>
          <w:lang w:val="en-US"/>
        </w:rPr>
      </w:pPr>
    </w:p>
    <w:p w14:paraId="189C4FA3">
      <w:pPr>
        <w:pStyle w:val="13"/>
        <w:rPr>
          <w:rFonts w:hint="default"/>
          <w:color w:val="auto"/>
          <w:highlight w:val="none"/>
          <w:lang w:val="en-US"/>
        </w:rPr>
      </w:pPr>
    </w:p>
    <w:p w14:paraId="27B691C6">
      <w:pPr>
        <w:rPr>
          <w:rFonts w:hint="default"/>
          <w:color w:val="auto"/>
          <w:highlight w:val="none"/>
          <w:lang w:val="en-US"/>
        </w:rPr>
      </w:pPr>
    </w:p>
    <w:p w14:paraId="3E4D22F2">
      <w:pPr>
        <w:pStyle w:val="13"/>
        <w:rPr>
          <w:rFonts w:hint="default"/>
          <w:color w:val="auto"/>
          <w:highlight w:val="none"/>
          <w:lang w:val="en-US"/>
        </w:rPr>
      </w:pPr>
    </w:p>
    <w:p w14:paraId="7B64BEBF">
      <w:pPr>
        <w:rPr>
          <w:rFonts w:hint="default"/>
          <w:color w:val="auto"/>
          <w:highlight w:val="none"/>
          <w:lang w:val="en-US"/>
        </w:rPr>
      </w:pPr>
    </w:p>
    <w:p w14:paraId="3FDC43F1">
      <w:pPr>
        <w:pStyle w:val="13"/>
        <w:ind w:left="0" w:leftChars="0" w:firstLine="0" w:firstLineChars="0"/>
        <w:rPr>
          <w:rFonts w:hint="default"/>
          <w:color w:val="auto"/>
          <w:highlight w:val="none"/>
          <w:lang w:val="en-US"/>
        </w:rPr>
      </w:pPr>
    </w:p>
    <w:p w14:paraId="619F5D9B">
      <w:pPr>
        <w:pStyle w:val="13"/>
        <w:ind w:left="0" w:leftChars="0" w:firstLine="0" w:firstLineChars="0"/>
        <w:rPr>
          <w:rFonts w:hint="default"/>
          <w:color w:val="auto"/>
          <w:highlight w:val="none"/>
          <w:lang w:val="en-US"/>
        </w:rPr>
      </w:pPr>
    </w:p>
    <w:p w14:paraId="41DA4CE2">
      <w:pPr>
        <w:rPr>
          <w:rFonts w:hint="default"/>
          <w:color w:val="auto"/>
          <w:highlight w:val="none"/>
          <w:lang w:val="en-US"/>
        </w:rPr>
      </w:pPr>
    </w:p>
    <w:p w14:paraId="114EB989">
      <w:pPr>
        <w:pStyle w:val="27"/>
        <w:keepNext w:val="0"/>
        <w:keepLines w:val="0"/>
        <w:pageBreakBefore w:val="0"/>
        <w:widowControl w:val="0"/>
        <w:kinsoku/>
        <w:wordWrap w:val="0"/>
        <w:overflowPunct/>
        <w:topLinePunct w:val="0"/>
        <w:autoSpaceDE/>
        <w:autoSpaceDN/>
        <w:bidi w:val="0"/>
        <w:adjustRightInd/>
        <w:snapToGrid/>
        <w:spacing w:after="157" w:afterLines="50"/>
        <w:textAlignment w:val="auto"/>
        <w:outlineLvl w:val="9"/>
        <w:rPr>
          <w:rFonts w:ascii="宋体" w:hAnsi="宋体" w:cs="宋体"/>
          <w:color w:val="auto"/>
          <w:kern w:val="0"/>
          <w:sz w:val="30"/>
          <w:szCs w:val="30"/>
          <w:highlight w:val="none"/>
        </w:rPr>
      </w:pPr>
      <w:bookmarkStart w:id="629" w:name="_Toc228591617"/>
      <w:bookmarkStart w:id="630" w:name="_Toc227657595"/>
      <w:bookmarkStart w:id="631" w:name="_Toc228589271"/>
      <w:bookmarkStart w:id="632" w:name="_Toc228337206"/>
      <w:bookmarkStart w:id="633" w:name="_Toc228591765"/>
      <w:bookmarkStart w:id="634" w:name="_Toc227492353"/>
      <w:bookmarkStart w:id="635" w:name="_Toc214433997"/>
      <w:bookmarkStart w:id="636" w:name="_Toc228881257"/>
      <w:bookmarkStart w:id="637" w:name="_Toc272772676"/>
      <w:bookmarkStart w:id="638" w:name="_Toc27491"/>
      <w:bookmarkStart w:id="639" w:name="_Toc431367152"/>
      <w:r>
        <w:rPr>
          <w:rFonts w:hint="eastAsia" w:ascii="宋体" w:hAnsi="宋体" w:cs="宋体"/>
          <w:color w:val="auto"/>
          <w:kern w:val="0"/>
          <w:sz w:val="30"/>
          <w:szCs w:val="30"/>
          <w:highlight w:val="none"/>
          <w:lang w:eastAsia="zh-CN"/>
        </w:rPr>
        <w:t>五</w:t>
      </w:r>
      <w:r>
        <w:rPr>
          <w:rFonts w:hint="eastAsia" w:ascii="宋体" w:hAnsi="宋体" w:cs="宋体"/>
          <w:color w:val="auto"/>
          <w:kern w:val="0"/>
          <w:sz w:val="30"/>
          <w:szCs w:val="30"/>
          <w:highlight w:val="none"/>
        </w:rPr>
        <w:t>、</w:t>
      </w:r>
      <w:bookmarkEnd w:id="629"/>
      <w:bookmarkEnd w:id="630"/>
      <w:bookmarkEnd w:id="631"/>
      <w:bookmarkEnd w:id="632"/>
      <w:bookmarkEnd w:id="633"/>
      <w:bookmarkEnd w:id="634"/>
      <w:bookmarkEnd w:id="635"/>
      <w:bookmarkEnd w:id="636"/>
      <w:r>
        <w:rPr>
          <w:rFonts w:hint="eastAsia" w:ascii="宋体" w:hAnsi="宋体" w:cs="宋体"/>
          <w:color w:val="auto"/>
          <w:kern w:val="0"/>
          <w:sz w:val="30"/>
          <w:szCs w:val="30"/>
          <w:highlight w:val="none"/>
        </w:rPr>
        <w:t>项目管理机构</w:t>
      </w:r>
      <w:bookmarkEnd w:id="637"/>
      <w:bookmarkEnd w:id="638"/>
      <w:bookmarkEnd w:id="639"/>
    </w:p>
    <w:tbl>
      <w:tblPr>
        <w:tblStyle w:val="29"/>
        <w:tblW w:w="0" w:type="auto"/>
        <w:jc w:val="center"/>
        <w:tblLayout w:type="fixed"/>
        <w:tblCellMar>
          <w:top w:w="0" w:type="dxa"/>
          <w:left w:w="0" w:type="dxa"/>
          <w:bottom w:w="0" w:type="dxa"/>
          <w:right w:w="0" w:type="dxa"/>
        </w:tblCellMar>
      </w:tblPr>
      <w:tblGrid>
        <w:gridCol w:w="8726"/>
      </w:tblGrid>
      <w:tr w14:paraId="3AB492BB">
        <w:tblPrEx>
          <w:tblCellMar>
            <w:top w:w="0" w:type="dxa"/>
            <w:left w:w="0" w:type="dxa"/>
            <w:bottom w:w="0" w:type="dxa"/>
            <w:right w:w="0" w:type="dxa"/>
          </w:tblCellMar>
        </w:tblPrEx>
        <w:trPr>
          <w:trHeight w:val="8685" w:hRule="exact"/>
          <w:jc w:val="center"/>
        </w:trPr>
        <w:tc>
          <w:tcPr>
            <w:tcW w:w="8726" w:type="dxa"/>
            <w:tcBorders>
              <w:top w:val="single" w:color="000000" w:sz="6" w:space="0"/>
              <w:left w:val="single" w:color="000000" w:sz="6" w:space="0"/>
              <w:bottom w:val="single" w:color="000000" w:sz="6" w:space="0"/>
              <w:right w:val="single" w:color="000000" w:sz="6" w:space="0"/>
            </w:tcBorders>
          </w:tcPr>
          <w:p w14:paraId="15D9F5AD">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宋体" w:hAnsi="宋体" w:eastAsia="宋体" w:cs="宋体"/>
                <w:color w:val="auto"/>
                <w:sz w:val="21"/>
                <w:szCs w:val="21"/>
                <w:highlight w:val="none"/>
              </w:rPr>
            </w:pPr>
          </w:p>
          <w:p w14:paraId="6E242196">
            <w:pPr>
              <w:pStyle w:val="38"/>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拟为承包本标段工程设立的组织机构以框图方式表示。</w:t>
            </w:r>
          </w:p>
        </w:tc>
      </w:tr>
      <w:tr w14:paraId="08B7FAAE">
        <w:tblPrEx>
          <w:tblCellMar>
            <w:top w:w="0" w:type="dxa"/>
            <w:left w:w="0" w:type="dxa"/>
            <w:bottom w:w="0" w:type="dxa"/>
            <w:right w:w="0" w:type="dxa"/>
          </w:tblCellMar>
        </w:tblPrEx>
        <w:trPr>
          <w:trHeight w:val="3123" w:hRule="exact"/>
          <w:jc w:val="center"/>
        </w:trPr>
        <w:tc>
          <w:tcPr>
            <w:tcW w:w="8726" w:type="dxa"/>
            <w:tcBorders>
              <w:top w:val="single" w:color="000000" w:sz="6" w:space="0"/>
              <w:left w:val="single" w:color="000000" w:sz="6" w:space="0"/>
              <w:bottom w:val="single" w:color="000000" w:sz="6" w:space="0"/>
              <w:right w:val="single" w:color="000000" w:sz="6" w:space="0"/>
            </w:tcBorders>
          </w:tcPr>
          <w:p w14:paraId="6C365734">
            <w:pPr>
              <w:pStyle w:val="38"/>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16"/>
                <w:szCs w:val="16"/>
                <w:highlight w:val="none"/>
              </w:rPr>
            </w:pPr>
          </w:p>
          <w:p w14:paraId="5AFB1950">
            <w:pPr>
              <w:pStyle w:val="38"/>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w:t>
            </w:r>
          </w:p>
        </w:tc>
      </w:tr>
    </w:tbl>
    <w:p w14:paraId="37C335F6">
      <w:pPr>
        <w:pStyle w:val="13"/>
        <w:rPr>
          <w:rFonts w:hint="default"/>
          <w:color w:val="auto"/>
          <w:highlight w:val="none"/>
          <w:lang w:val="en-US"/>
        </w:rPr>
      </w:pPr>
    </w:p>
    <w:p w14:paraId="41F76D11">
      <w:pPr>
        <w:rPr>
          <w:rFonts w:hint="default"/>
          <w:color w:val="auto"/>
          <w:highlight w:val="none"/>
          <w:lang w:val="en-US"/>
        </w:rPr>
      </w:pPr>
    </w:p>
    <w:p w14:paraId="03132D0F">
      <w:pPr>
        <w:pStyle w:val="13"/>
        <w:rPr>
          <w:rFonts w:hint="default"/>
          <w:color w:val="auto"/>
          <w:highlight w:val="none"/>
          <w:lang w:val="en-US"/>
        </w:rPr>
      </w:pPr>
    </w:p>
    <w:p w14:paraId="262A62A2">
      <w:pPr>
        <w:rPr>
          <w:rFonts w:hint="default"/>
          <w:color w:val="auto"/>
          <w:highlight w:val="none"/>
          <w:lang w:val="en-US"/>
        </w:rPr>
      </w:pPr>
    </w:p>
    <w:p w14:paraId="3B49336A">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9"/>
        <w:rPr>
          <w:rFonts w:ascii="宋体" w:hAnsi="宋体" w:cs="宋体"/>
          <w:b/>
          <w:color w:val="auto"/>
          <w:kern w:val="0"/>
          <w:sz w:val="30"/>
          <w:szCs w:val="30"/>
          <w:highlight w:val="none"/>
        </w:rPr>
      </w:pPr>
      <w:bookmarkStart w:id="640" w:name="_Toc228589275"/>
      <w:bookmarkStart w:id="641" w:name="_Toc12047"/>
      <w:bookmarkStart w:id="642" w:name="_Toc18871"/>
      <w:bookmarkStart w:id="643" w:name="_Toc214434001"/>
      <w:bookmarkStart w:id="644" w:name="_Toc37747011"/>
      <w:bookmarkStart w:id="645" w:name="_Toc431367156"/>
      <w:bookmarkStart w:id="646" w:name="_Toc37422295"/>
      <w:bookmarkStart w:id="647" w:name="_Toc227492357"/>
      <w:bookmarkStart w:id="648" w:name="_Toc272772681"/>
      <w:bookmarkStart w:id="649" w:name="_Toc228337210"/>
      <w:bookmarkStart w:id="650" w:name="_Toc228591621"/>
      <w:bookmarkStart w:id="651" w:name="_Toc228591769"/>
      <w:bookmarkStart w:id="652" w:name="_Toc500864551"/>
      <w:bookmarkStart w:id="653" w:name="_Toc228881261"/>
      <w:bookmarkStart w:id="654" w:name="_Toc227657599"/>
      <w:r>
        <w:rPr>
          <w:rFonts w:hint="eastAsia" w:ascii="宋体" w:hAnsi="宋体" w:cs="宋体"/>
          <w:b/>
          <w:bCs/>
          <w:color w:val="auto"/>
          <w:kern w:val="0"/>
          <w:sz w:val="30"/>
          <w:szCs w:val="30"/>
          <w:highlight w:val="none"/>
          <w:lang w:eastAsia="zh-CN"/>
        </w:rPr>
        <w:t>六</w:t>
      </w:r>
      <w:r>
        <w:rPr>
          <w:rFonts w:hint="eastAsia" w:ascii="宋体" w:hAnsi="宋体" w:cs="宋体"/>
          <w:b/>
          <w:bCs/>
          <w:color w:val="auto"/>
          <w:kern w:val="0"/>
          <w:sz w:val="30"/>
          <w:szCs w:val="30"/>
          <w:highlight w:val="none"/>
        </w:rPr>
        <w:t>、资格审查资料</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19147517">
      <w:pPr>
        <w:keepNext w:val="0"/>
        <w:keepLines w:val="0"/>
        <w:pageBreakBefore w:val="0"/>
        <w:widowControl w:val="0"/>
        <w:kinsoku/>
        <w:wordWrap w:val="0"/>
        <w:overflowPunct/>
        <w:topLinePunct w:val="0"/>
        <w:autoSpaceDE/>
        <w:autoSpaceDN/>
        <w:bidi w:val="0"/>
        <w:adjustRightInd w:val="0"/>
        <w:snapToGrid/>
        <w:spacing w:before="157" w:beforeLines="50" w:after="157" w:afterLines="50" w:line="400" w:lineRule="exact"/>
        <w:ind w:right="-34" w:rightChars="-16"/>
        <w:jc w:val="center"/>
        <w:textAlignment w:val="auto"/>
        <w:outlineLvl w:val="9"/>
        <w:rPr>
          <w:rFonts w:ascii="宋体" w:hAnsi="宋体" w:cs="宋体"/>
          <w:b/>
          <w:bCs/>
          <w:color w:val="auto"/>
          <w:kern w:val="0"/>
          <w:sz w:val="24"/>
          <w:szCs w:val="18"/>
          <w:highlight w:val="none"/>
        </w:rPr>
      </w:pPr>
      <w:bookmarkStart w:id="655" w:name="_Toc228337211"/>
      <w:bookmarkStart w:id="656" w:name="_Toc227657600"/>
      <w:bookmarkStart w:id="657" w:name="_Toc228591770"/>
      <w:bookmarkStart w:id="658" w:name="_Toc37422297"/>
      <w:bookmarkStart w:id="659" w:name="_Toc272772682"/>
      <w:bookmarkStart w:id="660" w:name="_Toc11990"/>
      <w:bookmarkStart w:id="661" w:name="_Toc513740274"/>
      <w:bookmarkStart w:id="662" w:name="_Toc431367157"/>
      <w:bookmarkStart w:id="663" w:name="_Toc228591622"/>
      <w:bookmarkStart w:id="664" w:name="_Toc214434002"/>
      <w:bookmarkStart w:id="665" w:name="_Toc500864552"/>
      <w:bookmarkStart w:id="666" w:name="_Toc227492358"/>
      <w:bookmarkStart w:id="667" w:name="_Toc228589276"/>
      <w:bookmarkStart w:id="668" w:name="_Toc38738911"/>
      <w:bookmarkStart w:id="669" w:name="_Toc37747013"/>
      <w:bookmarkStart w:id="670" w:name="_Toc228881262"/>
      <w:bookmarkStart w:id="671" w:name="_Toc32399"/>
      <w:r>
        <w:rPr>
          <w:rFonts w:hint="eastAsia" w:ascii="宋体" w:hAnsi="宋体" w:cs="宋体"/>
          <w:b/>
          <w:bCs/>
          <w:color w:val="auto"/>
          <w:kern w:val="0"/>
          <w:sz w:val="28"/>
          <w:szCs w:val="28"/>
          <w:highlight w:val="none"/>
        </w:rPr>
        <w:t>（一）投标人基本情况表</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tbl>
      <w:tblPr>
        <w:tblStyle w:val="29"/>
        <w:tblW w:w="0" w:type="auto"/>
        <w:jc w:val="center"/>
        <w:tblLayout w:type="fixed"/>
        <w:tblCellMar>
          <w:top w:w="0" w:type="dxa"/>
          <w:left w:w="0" w:type="dxa"/>
          <w:bottom w:w="0" w:type="dxa"/>
          <w:right w:w="0" w:type="dxa"/>
        </w:tblCellMar>
      </w:tblPr>
      <w:tblGrid>
        <w:gridCol w:w="1908"/>
        <w:gridCol w:w="1347"/>
        <w:gridCol w:w="970"/>
        <w:gridCol w:w="858"/>
        <w:gridCol w:w="429"/>
        <w:gridCol w:w="318"/>
        <w:gridCol w:w="1425"/>
        <w:gridCol w:w="14"/>
        <w:gridCol w:w="878"/>
        <w:gridCol w:w="783"/>
      </w:tblGrid>
      <w:tr w14:paraId="3660659B">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1A128C36">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投标人名称</w:t>
            </w:r>
          </w:p>
        </w:tc>
        <w:tc>
          <w:tcPr>
            <w:tcW w:w="7022" w:type="dxa"/>
            <w:gridSpan w:val="9"/>
            <w:tcBorders>
              <w:top w:val="single" w:color="000000" w:sz="4" w:space="0"/>
              <w:left w:val="single" w:color="000000" w:sz="4" w:space="0"/>
              <w:bottom w:val="single" w:color="000000" w:sz="4" w:space="0"/>
              <w:right w:val="single" w:color="000000" w:sz="4" w:space="0"/>
            </w:tcBorders>
            <w:vAlign w:val="center"/>
          </w:tcPr>
          <w:p w14:paraId="0E78CD1B">
            <w:pPr>
              <w:topLinePunct/>
              <w:spacing w:line="440" w:lineRule="exact"/>
              <w:jc w:val="center"/>
              <w:rPr>
                <w:color w:val="auto"/>
                <w:highlight w:val="none"/>
              </w:rPr>
            </w:pPr>
          </w:p>
        </w:tc>
      </w:tr>
      <w:tr w14:paraId="799256F8">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289129D4">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注册地址</w:t>
            </w:r>
          </w:p>
        </w:tc>
        <w:tc>
          <w:tcPr>
            <w:tcW w:w="3922" w:type="dxa"/>
            <w:gridSpan w:val="5"/>
            <w:tcBorders>
              <w:top w:val="single" w:color="000000" w:sz="4" w:space="0"/>
              <w:left w:val="single" w:color="000000" w:sz="4" w:space="0"/>
              <w:bottom w:val="single" w:color="000000" w:sz="4" w:space="0"/>
              <w:right w:val="single" w:color="000000" w:sz="4" w:space="0"/>
            </w:tcBorders>
            <w:vAlign w:val="center"/>
          </w:tcPr>
          <w:p w14:paraId="2CEF9D3C">
            <w:pPr>
              <w:topLinePunct/>
              <w:spacing w:line="440" w:lineRule="exact"/>
              <w:jc w:val="center"/>
              <w:rPr>
                <w:color w:val="auto"/>
                <w:highlight w:val="none"/>
              </w:rPr>
            </w:pPr>
          </w:p>
        </w:tc>
        <w:tc>
          <w:tcPr>
            <w:tcW w:w="1425" w:type="dxa"/>
            <w:tcBorders>
              <w:top w:val="single" w:color="000000" w:sz="4" w:space="0"/>
              <w:left w:val="single" w:color="000000" w:sz="4" w:space="0"/>
              <w:bottom w:val="single" w:color="000000" w:sz="4" w:space="0"/>
              <w:right w:val="single" w:color="000000" w:sz="4" w:space="0"/>
            </w:tcBorders>
            <w:vAlign w:val="center"/>
          </w:tcPr>
          <w:p w14:paraId="4E76D967">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邮政编码</w:t>
            </w:r>
          </w:p>
        </w:tc>
        <w:tc>
          <w:tcPr>
            <w:tcW w:w="1675" w:type="dxa"/>
            <w:gridSpan w:val="3"/>
            <w:tcBorders>
              <w:top w:val="single" w:color="000000" w:sz="4" w:space="0"/>
              <w:left w:val="single" w:color="000000" w:sz="4" w:space="0"/>
              <w:bottom w:val="single" w:color="000000" w:sz="4" w:space="0"/>
              <w:right w:val="single" w:color="000000" w:sz="4" w:space="0"/>
            </w:tcBorders>
            <w:vAlign w:val="center"/>
          </w:tcPr>
          <w:p w14:paraId="0DE8F851">
            <w:pPr>
              <w:topLinePunct/>
              <w:spacing w:line="440" w:lineRule="exact"/>
              <w:jc w:val="center"/>
              <w:rPr>
                <w:color w:val="auto"/>
                <w:highlight w:val="none"/>
              </w:rPr>
            </w:pPr>
          </w:p>
        </w:tc>
      </w:tr>
      <w:tr w14:paraId="240F1845">
        <w:tblPrEx>
          <w:tblCellMar>
            <w:top w:w="0" w:type="dxa"/>
            <w:left w:w="0" w:type="dxa"/>
            <w:bottom w:w="0" w:type="dxa"/>
            <w:right w:w="0" w:type="dxa"/>
          </w:tblCellMar>
        </w:tblPrEx>
        <w:trPr>
          <w:trHeight w:val="449" w:hRule="exact"/>
          <w:jc w:val="center"/>
        </w:trPr>
        <w:tc>
          <w:tcPr>
            <w:tcW w:w="1908" w:type="dxa"/>
            <w:vMerge w:val="restart"/>
            <w:tcBorders>
              <w:top w:val="single" w:color="000000" w:sz="4" w:space="0"/>
              <w:left w:val="single" w:color="000000" w:sz="4" w:space="0"/>
              <w:right w:val="single" w:color="000000" w:sz="4" w:space="0"/>
            </w:tcBorders>
            <w:vAlign w:val="center"/>
          </w:tcPr>
          <w:p w14:paraId="3F4D151F">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联系方式</w:t>
            </w:r>
          </w:p>
        </w:tc>
        <w:tc>
          <w:tcPr>
            <w:tcW w:w="1347" w:type="dxa"/>
            <w:tcBorders>
              <w:top w:val="single" w:color="000000" w:sz="4" w:space="0"/>
              <w:left w:val="single" w:color="000000" w:sz="4" w:space="0"/>
              <w:bottom w:val="single" w:color="000000" w:sz="4" w:space="0"/>
              <w:right w:val="single" w:color="000000" w:sz="4" w:space="0"/>
            </w:tcBorders>
            <w:vAlign w:val="center"/>
          </w:tcPr>
          <w:p w14:paraId="5C0839AC">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联系人</w:t>
            </w:r>
          </w:p>
        </w:tc>
        <w:tc>
          <w:tcPr>
            <w:tcW w:w="2575" w:type="dxa"/>
            <w:gridSpan w:val="4"/>
            <w:tcBorders>
              <w:top w:val="single" w:color="000000" w:sz="4" w:space="0"/>
              <w:left w:val="single" w:color="000000" w:sz="4" w:space="0"/>
              <w:bottom w:val="single" w:color="000000" w:sz="4" w:space="0"/>
              <w:right w:val="single" w:color="000000" w:sz="4" w:space="0"/>
            </w:tcBorders>
            <w:vAlign w:val="center"/>
          </w:tcPr>
          <w:p w14:paraId="719B2F94">
            <w:pPr>
              <w:topLinePunct/>
              <w:spacing w:line="440" w:lineRule="exact"/>
              <w:jc w:val="center"/>
              <w:rPr>
                <w:color w:val="auto"/>
                <w:highlight w:val="none"/>
              </w:rPr>
            </w:pPr>
          </w:p>
        </w:tc>
        <w:tc>
          <w:tcPr>
            <w:tcW w:w="1425" w:type="dxa"/>
            <w:tcBorders>
              <w:top w:val="single" w:color="000000" w:sz="4" w:space="0"/>
              <w:left w:val="single" w:color="000000" w:sz="4" w:space="0"/>
              <w:bottom w:val="single" w:color="000000" w:sz="4" w:space="0"/>
              <w:right w:val="single" w:color="000000" w:sz="4" w:space="0"/>
            </w:tcBorders>
            <w:vAlign w:val="center"/>
          </w:tcPr>
          <w:p w14:paraId="7596E0AD">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电话</w:t>
            </w:r>
          </w:p>
        </w:tc>
        <w:tc>
          <w:tcPr>
            <w:tcW w:w="1675" w:type="dxa"/>
            <w:gridSpan w:val="3"/>
            <w:tcBorders>
              <w:top w:val="single" w:color="000000" w:sz="4" w:space="0"/>
              <w:left w:val="single" w:color="000000" w:sz="4" w:space="0"/>
              <w:bottom w:val="single" w:color="000000" w:sz="4" w:space="0"/>
              <w:right w:val="single" w:color="000000" w:sz="4" w:space="0"/>
            </w:tcBorders>
            <w:vAlign w:val="center"/>
          </w:tcPr>
          <w:p w14:paraId="0CE0B832">
            <w:pPr>
              <w:topLinePunct/>
              <w:spacing w:line="440" w:lineRule="exact"/>
              <w:jc w:val="center"/>
              <w:rPr>
                <w:color w:val="auto"/>
                <w:highlight w:val="none"/>
              </w:rPr>
            </w:pPr>
          </w:p>
        </w:tc>
      </w:tr>
      <w:tr w14:paraId="1C1FBAB6">
        <w:tblPrEx>
          <w:tblCellMar>
            <w:top w:w="0" w:type="dxa"/>
            <w:left w:w="0" w:type="dxa"/>
            <w:bottom w:w="0" w:type="dxa"/>
            <w:right w:w="0" w:type="dxa"/>
          </w:tblCellMar>
        </w:tblPrEx>
        <w:trPr>
          <w:trHeight w:val="451" w:hRule="exact"/>
          <w:jc w:val="center"/>
        </w:trPr>
        <w:tc>
          <w:tcPr>
            <w:tcW w:w="1908" w:type="dxa"/>
            <w:vMerge w:val="continue"/>
            <w:tcBorders>
              <w:left w:val="single" w:color="000000" w:sz="4" w:space="0"/>
              <w:bottom w:val="single" w:color="000000" w:sz="4" w:space="0"/>
              <w:right w:val="single" w:color="000000" w:sz="4" w:space="0"/>
            </w:tcBorders>
            <w:vAlign w:val="center"/>
          </w:tcPr>
          <w:p w14:paraId="495661C4">
            <w:pPr>
              <w:topLinePunct/>
              <w:spacing w:line="440" w:lineRule="exact"/>
              <w:jc w:val="center"/>
              <w:rPr>
                <w:color w:val="auto"/>
                <w:highlight w:val="none"/>
              </w:rPr>
            </w:pPr>
          </w:p>
        </w:tc>
        <w:tc>
          <w:tcPr>
            <w:tcW w:w="1347" w:type="dxa"/>
            <w:tcBorders>
              <w:top w:val="single" w:color="000000" w:sz="4" w:space="0"/>
              <w:left w:val="single" w:color="000000" w:sz="4" w:space="0"/>
              <w:bottom w:val="single" w:color="000000" w:sz="4" w:space="0"/>
              <w:right w:val="single" w:color="000000" w:sz="4" w:space="0"/>
            </w:tcBorders>
            <w:vAlign w:val="center"/>
          </w:tcPr>
          <w:p w14:paraId="4FEB2181">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传真</w:t>
            </w:r>
          </w:p>
        </w:tc>
        <w:tc>
          <w:tcPr>
            <w:tcW w:w="2575" w:type="dxa"/>
            <w:gridSpan w:val="4"/>
            <w:tcBorders>
              <w:top w:val="single" w:color="000000" w:sz="4" w:space="0"/>
              <w:left w:val="single" w:color="000000" w:sz="4" w:space="0"/>
              <w:bottom w:val="single" w:color="000000" w:sz="4" w:space="0"/>
              <w:right w:val="single" w:color="000000" w:sz="4" w:space="0"/>
            </w:tcBorders>
            <w:vAlign w:val="center"/>
          </w:tcPr>
          <w:p w14:paraId="3AEE8588">
            <w:pPr>
              <w:topLinePunct/>
              <w:spacing w:line="440" w:lineRule="exact"/>
              <w:jc w:val="center"/>
              <w:rPr>
                <w:color w:val="auto"/>
                <w:highlight w:val="none"/>
              </w:rPr>
            </w:pPr>
          </w:p>
        </w:tc>
        <w:tc>
          <w:tcPr>
            <w:tcW w:w="1425" w:type="dxa"/>
            <w:tcBorders>
              <w:top w:val="single" w:color="000000" w:sz="4" w:space="0"/>
              <w:left w:val="single" w:color="000000" w:sz="4" w:space="0"/>
              <w:bottom w:val="single" w:color="000000" w:sz="4" w:space="0"/>
              <w:right w:val="single" w:color="000000" w:sz="4" w:space="0"/>
            </w:tcBorders>
            <w:vAlign w:val="center"/>
          </w:tcPr>
          <w:p w14:paraId="352D8BDB">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电子邮件</w:t>
            </w:r>
          </w:p>
        </w:tc>
        <w:tc>
          <w:tcPr>
            <w:tcW w:w="1675" w:type="dxa"/>
            <w:gridSpan w:val="3"/>
            <w:tcBorders>
              <w:top w:val="single" w:color="000000" w:sz="4" w:space="0"/>
              <w:left w:val="single" w:color="000000" w:sz="4" w:space="0"/>
              <w:bottom w:val="single" w:color="000000" w:sz="4" w:space="0"/>
              <w:right w:val="single" w:color="000000" w:sz="4" w:space="0"/>
            </w:tcBorders>
            <w:vAlign w:val="center"/>
          </w:tcPr>
          <w:p w14:paraId="76BD2079">
            <w:pPr>
              <w:topLinePunct/>
              <w:spacing w:line="440" w:lineRule="exact"/>
              <w:jc w:val="center"/>
              <w:rPr>
                <w:color w:val="auto"/>
                <w:highlight w:val="none"/>
              </w:rPr>
            </w:pPr>
          </w:p>
        </w:tc>
      </w:tr>
      <w:tr w14:paraId="3DBA3C3A">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609F4506">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法定代表人</w:t>
            </w:r>
          </w:p>
        </w:tc>
        <w:tc>
          <w:tcPr>
            <w:tcW w:w="1347" w:type="dxa"/>
            <w:tcBorders>
              <w:top w:val="single" w:color="000000" w:sz="4" w:space="0"/>
              <w:left w:val="single" w:color="000000" w:sz="4" w:space="0"/>
              <w:bottom w:val="single" w:color="000000" w:sz="4" w:space="0"/>
              <w:right w:val="single" w:color="000000" w:sz="4" w:space="0"/>
            </w:tcBorders>
            <w:vAlign w:val="center"/>
          </w:tcPr>
          <w:p w14:paraId="7C71AFFE">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姓名</w:t>
            </w:r>
          </w:p>
        </w:tc>
        <w:tc>
          <w:tcPr>
            <w:tcW w:w="970" w:type="dxa"/>
            <w:tcBorders>
              <w:top w:val="single" w:color="000000" w:sz="4" w:space="0"/>
              <w:left w:val="single" w:color="000000" w:sz="4" w:space="0"/>
              <w:bottom w:val="single" w:color="000000" w:sz="4" w:space="0"/>
              <w:right w:val="single" w:color="000000" w:sz="4" w:space="0"/>
            </w:tcBorders>
            <w:vAlign w:val="center"/>
          </w:tcPr>
          <w:p w14:paraId="618A0A25">
            <w:pPr>
              <w:topLinePunct/>
              <w:spacing w:line="440" w:lineRule="exact"/>
              <w:jc w:val="center"/>
              <w:rPr>
                <w:color w:val="auto"/>
                <w:highlight w:val="none"/>
              </w:rPr>
            </w:pPr>
          </w:p>
        </w:tc>
        <w:tc>
          <w:tcPr>
            <w:tcW w:w="1287" w:type="dxa"/>
            <w:gridSpan w:val="2"/>
            <w:tcBorders>
              <w:top w:val="single" w:color="000000" w:sz="4" w:space="0"/>
              <w:left w:val="single" w:color="000000" w:sz="4" w:space="0"/>
              <w:bottom w:val="single" w:color="000000" w:sz="4" w:space="0"/>
              <w:right w:val="single" w:color="000000" w:sz="4" w:space="0"/>
            </w:tcBorders>
            <w:vAlign w:val="center"/>
          </w:tcPr>
          <w:p w14:paraId="0E7AB953">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技术职称</w:t>
            </w:r>
          </w:p>
        </w:tc>
        <w:tc>
          <w:tcPr>
            <w:tcW w:w="1757" w:type="dxa"/>
            <w:gridSpan w:val="3"/>
            <w:tcBorders>
              <w:top w:val="single" w:color="000000" w:sz="4" w:space="0"/>
              <w:left w:val="single" w:color="000000" w:sz="4" w:space="0"/>
              <w:bottom w:val="single" w:color="000000" w:sz="4" w:space="0"/>
              <w:right w:val="single" w:color="000000" w:sz="4" w:space="0"/>
            </w:tcBorders>
            <w:vAlign w:val="center"/>
          </w:tcPr>
          <w:p w14:paraId="18FB48E2">
            <w:pPr>
              <w:topLinePunct/>
              <w:spacing w:line="440" w:lineRule="exact"/>
              <w:jc w:val="center"/>
              <w:rPr>
                <w:color w:val="auto"/>
                <w:highlight w:val="none"/>
              </w:rPr>
            </w:pPr>
          </w:p>
        </w:tc>
        <w:tc>
          <w:tcPr>
            <w:tcW w:w="878" w:type="dxa"/>
            <w:tcBorders>
              <w:top w:val="single" w:color="000000" w:sz="4" w:space="0"/>
              <w:left w:val="single" w:color="000000" w:sz="4" w:space="0"/>
              <w:bottom w:val="single" w:color="000000" w:sz="4" w:space="0"/>
              <w:right w:val="single" w:color="000000" w:sz="4" w:space="0"/>
            </w:tcBorders>
            <w:vAlign w:val="center"/>
          </w:tcPr>
          <w:p w14:paraId="2F70B682">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电话</w:t>
            </w:r>
          </w:p>
        </w:tc>
        <w:tc>
          <w:tcPr>
            <w:tcW w:w="783" w:type="dxa"/>
            <w:tcBorders>
              <w:top w:val="single" w:color="000000" w:sz="4" w:space="0"/>
              <w:left w:val="single" w:color="000000" w:sz="4" w:space="0"/>
              <w:bottom w:val="single" w:color="000000" w:sz="4" w:space="0"/>
              <w:right w:val="single" w:color="000000" w:sz="4" w:space="0"/>
            </w:tcBorders>
            <w:vAlign w:val="center"/>
          </w:tcPr>
          <w:p w14:paraId="7D9B156F">
            <w:pPr>
              <w:topLinePunct/>
              <w:spacing w:line="440" w:lineRule="exact"/>
              <w:jc w:val="center"/>
              <w:rPr>
                <w:color w:val="auto"/>
                <w:highlight w:val="none"/>
              </w:rPr>
            </w:pPr>
          </w:p>
        </w:tc>
      </w:tr>
      <w:tr w14:paraId="6C7F1282">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004CBFB7">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技术负责人</w:t>
            </w:r>
          </w:p>
        </w:tc>
        <w:tc>
          <w:tcPr>
            <w:tcW w:w="1347" w:type="dxa"/>
            <w:tcBorders>
              <w:top w:val="single" w:color="000000" w:sz="4" w:space="0"/>
              <w:left w:val="single" w:color="000000" w:sz="4" w:space="0"/>
              <w:bottom w:val="single" w:color="000000" w:sz="4" w:space="0"/>
              <w:right w:val="single" w:color="000000" w:sz="4" w:space="0"/>
            </w:tcBorders>
            <w:vAlign w:val="center"/>
          </w:tcPr>
          <w:p w14:paraId="4DF70D65">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姓名</w:t>
            </w:r>
          </w:p>
        </w:tc>
        <w:tc>
          <w:tcPr>
            <w:tcW w:w="970" w:type="dxa"/>
            <w:tcBorders>
              <w:top w:val="single" w:color="000000" w:sz="4" w:space="0"/>
              <w:left w:val="single" w:color="000000" w:sz="4" w:space="0"/>
              <w:bottom w:val="single" w:color="000000" w:sz="4" w:space="0"/>
              <w:right w:val="single" w:color="000000" w:sz="4" w:space="0"/>
            </w:tcBorders>
            <w:vAlign w:val="center"/>
          </w:tcPr>
          <w:p w14:paraId="4A6AF21B">
            <w:pPr>
              <w:topLinePunct/>
              <w:spacing w:line="440" w:lineRule="exact"/>
              <w:jc w:val="center"/>
              <w:rPr>
                <w:color w:val="auto"/>
                <w:highlight w:val="none"/>
              </w:rPr>
            </w:pPr>
          </w:p>
        </w:tc>
        <w:tc>
          <w:tcPr>
            <w:tcW w:w="1287" w:type="dxa"/>
            <w:gridSpan w:val="2"/>
            <w:tcBorders>
              <w:top w:val="single" w:color="000000" w:sz="4" w:space="0"/>
              <w:left w:val="single" w:color="000000" w:sz="4" w:space="0"/>
              <w:bottom w:val="single" w:color="000000" w:sz="4" w:space="0"/>
              <w:right w:val="single" w:color="000000" w:sz="4" w:space="0"/>
            </w:tcBorders>
            <w:vAlign w:val="center"/>
          </w:tcPr>
          <w:p w14:paraId="17B7F2E1">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技术职称</w:t>
            </w:r>
          </w:p>
        </w:tc>
        <w:tc>
          <w:tcPr>
            <w:tcW w:w="1757" w:type="dxa"/>
            <w:gridSpan w:val="3"/>
            <w:tcBorders>
              <w:top w:val="single" w:color="000000" w:sz="4" w:space="0"/>
              <w:left w:val="single" w:color="000000" w:sz="4" w:space="0"/>
              <w:bottom w:val="single" w:color="000000" w:sz="4" w:space="0"/>
              <w:right w:val="single" w:color="000000" w:sz="4" w:space="0"/>
            </w:tcBorders>
            <w:vAlign w:val="center"/>
          </w:tcPr>
          <w:p w14:paraId="4AE5011F">
            <w:pPr>
              <w:topLinePunct/>
              <w:spacing w:line="440" w:lineRule="exact"/>
              <w:jc w:val="center"/>
              <w:rPr>
                <w:color w:val="auto"/>
                <w:highlight w:val="none"/>
              </w:rPr>
            </w:pPr>
          </w:p>
        </w:tc>
        <w:tc>
          <w:tcPr>
            <w:tcW w:w="878" w:type="dxa"/>
            <w:tcBorders>
              <w:top w:val="single" w:color="000000" w:sz="4" w:space="0"/>
              <w:left w:val="single" w:color="000000" w:sz="4" w:space="0"/>
              <w:bottom w:val="single" w:color="000000" w:sz="4" w:space="0"/>
              <w:right w:val="single" w:color="000000" w:sz="4" w:space="0"/>
            </w:tcBorders>
            <w:vAlign w:val="center"/>
          </w:tcPr>
          <w:p w14:paraId="1B2F7FD9">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电话</w:t>
            </w:r>
          </w:p>
        </w:tc>
        <w:tc>
          <w:tcPr>
            <w:tcW w:w="783" w:type="dxa"/>
            <w:tcBorders>
              <w:top w:val="single" w:color="000000" w:sz="4" w:space="0"/>
              <w:left w:val="single" w:color="000000" w:sz="4" w:space="0"/>
              <w:bottom w:val="single" w:color="000000" w:sz="4" w:space="0"/>
              <w:right w:val="single" w:color="000000" w:sz="4" w:space="0"/>
            </w:tcBorders>
            <w:vAlign w:val="center"/>
          </w:tcPr>
          <w:p w14:paraId="1087E284">
            <w:pPr>
              <w:topLinePunct/>
              <w:spacing w:line="440" w:lineRule="exact"/>
              <w:jc w:val="center"/>
              <w:rPr>
                <w:color w:val="auto"/>
                <w:highlight w:val="none"/>
              </w:rPr>
            </w:pPr>
          </w:p>
        </w:tc>
      </w:tr>
      <w:tr w14:paraId="1CFB3FD5">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297AB54A">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营业执照号</w:t>
            </w:r>
          </w:p>
        </w:tc>
        <w:tc>
          <w:tcPr>
            <w:tcW w:w="2317" w:type="dxa"/>
            <w:gridSpan w:val="2"/>
            <w:tcBorders>
              <w:top w:val="single" w:color="000000" w:sz="4" w:space="0"/>
              <w:left w:val="single" w:color="000000" w:sz="4" w:space="0"/>
              <w:bottom w:val="single" w:color="000000" w:sz="4" w:space="0"/>
              <w:right w:val="single" w:color="000000" w:sz="4" w:space="0"/>
            </w:tcBorders>
            <w:vAlign w:val="center"/>
          </w:tcPr>
          <w:p w14:paraId="0292ABA2">
            <w:pPr>
              <w:topLinePunct/>
              <w:spacing w:line="440" w:lineRule="exact"/>
              <w:jc w:val="center"/>
              <w:rPr>
                <w:color w:val="auto"/>
                <w:highlight w:val="none"/>
              </w:rPr>
            </w:pPr>
          </w:p>
        </w:tc>
        <w:tc>
          <w:tcPr>
            <w:tcW w:w="4705" w:type="dxa"/>
            <w:gridSpan w:val="7"/>
            <w:tcBorders>
              <w:top w:val="single" w:color="000000" w:sz="4" w:space="0"/>
              <w:left w:val="single" w:color="000000" w:sz="4" w:space="0"/>
              <w:bottom w:val="single" w:color="000000" w:sz="4" w:space="0"/>
              <w:right w:val="single" w:color="000000" w:sz="4" w:space="0"/>
            </w:tcBorders>
            <w:vAlign w:val="center"/>
          </w:tcPr>
          <w:p w14:paraId="64987AF9">
            <w:pPr>
              <w:topLinePunct/>
              <w:spacing w:line="440" w:lineRule="exact"/>
              <w:ind w:firstLine="1050" w:firstLineChars="500"/>
              <w:rPr>
                <w:rFonts w:ascii="宋体" w:hAnsi="宋体" w:eastAsia="宋体" w:cs="宋体"/>
                <w:color w:val="auto"/>
                <w:sz w:val="21"/>
                <w:szCs w:val="21"/>
                <w:highlight w:val="none"/>
              </w:rPr>
            </w:pPr>
            <w:r>
              <w:rPr>
                <w:rFonts w:hint="eastAsia" w:ascii="宋体" w:hAnsi="宋体" w:cs="宋体"/>
                <w:color w:val="auto"/>
                <w:szCs w:val="21"/>
                <w:highlight w:val="none"/>
              </w:rPr>
              <w:t>员工总人数：</w:t>
            </w:r>
          </w:p>
        </w:tc>
      </w:tr>
      <w:tr w14:paraId="7DFF9746">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1457A61F">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企业资质等级</w:t>
            </w:r>
          </w:p>
        </w:tc>
        <w:tc>
          <w:tcPr>
            <w:tcW w:w="2317" w:type="dxa"/>
            <w:gridSpan w:val="2"/>
            <w:tcBorders>
              <w:top w:val="single" w:color="000000" w:sz="4" w:space="0"/>
              <w:left w:val="single" w:color="000000" w:sz="4" w:space="0"/>
              <w:bottom w:val="single" w:color="000000" w:sz="4" w:space="0"/>
              <w:right w:val="single" w:color="000000" w:sz="4" w:space="0"/>
            </w:tcBorders>
            <w:vAlign w:val="center"/>
          </w:tcPr>
          <w:p w14:paraId="25F7383F">
            <w:pPr>
              <w:topLinePunct/>
              <w:spacing w:line="440" w:lineRule="exact"/>
              <w:jc w:val="center"/>
              <w:rPr>
                <w:color w:val="auto"/>
                <w:highlight w:val="none"/>
              </w:rPr>
            </w:pPr>
          </w:p>
        </w:tc>
        <w:tc>
          <w:tcPr>
            <w:tcW w:w="858" w:type="dxa"/>
            <w:vMerge w:val="restart"/>
            <w:tcBorders>
              <w:top w:val="single" w:color="000000" w:sz="4" w:space="0"/>
              <w:left w:val="single" w:color="000000" w:sz="4" w:space="0"/>
              <w:right w:val="single" w:color="000000" w:sz="4" w:space="0"/>
            </w:tcBorders>
            <w:vAlign w:val="center"/>
          </w:tcPr>
          <w:p w14:paraId="54ECFFA1">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其中</w:t>
            </w:r>
          </w:p>
        </w:tc>
        <w:tc>
          <w:tcPr>
            <w:tcW w:w="2186" w:type="dxa"/>
            <w:gridSpan w:val="4"/>
            <w:tcBorders>
              <w:top w:val="single" w:color="000000" w:sz="4" w:space="0"/>
              <w:left w:val="single" w:color="000000" w:sz="4" w:space="0"/>
              <w:bottom w:val="single" w:color="000000" w:sz="4" w:space="0"/>
              <w:right w:val="single" w:color="000000" w:sz="4" w:space="0"/>
            </w:tcBorders>
            <w:vAlign w:val="center"/>
          </w:tcPr>
          <w:p w14:paraId="7F2593DE">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项目经理</w:t>
            </w:r>
          </w:p>
        </w:tc>
        <w:tc>
          <w:tcPr>
            <w:tcW w:w="1661" w:type="dxa"/>
            <w:gridSpan w:val="2"/>
            <w:tcBorders>
              <w:top w:val="single" w:color="000000" w:sz="4" w:space="0"/>
              <w:left w:val="single" w:color="000000" w:sz="4" w:space="0"/>
              <w:bottom w:val="single" w:color="000000" w:sz="4" w:space="0"/>
              <w:right w:val="single" w:color="000000" w:sz="4" w:space="0"/>
            </w:tcBorders>
            <w:vAlign w:val="center"/>
          </w:tcPr>
          <w:p w14:paraId="6DD93CA1">
            <w:pPr>
              <w:topLinePunct/>
              <w:spacing w:line="440" w:lineRule="exact"/>
              <w:jc w:val="center"/>
              <w:rPr>
                <w:color w:val="auto"/>
                <w:highlight w:val="none"/>
              </w:rPr>
            </w:pPr>
          </w:p>
        </w:tc>
      </w:tr>
      <w:tr w14:paraId="4D5B70BB">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6749C173">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注册资本</w:t>
            </w:r>
          </w:p>
        </w:tc>
        <w:tc>
          <w:tcPr>
            <w:tcW w:w="2317" w:type="dxa"/>
            <w:gridSpan w:val="2"/>
            <w:tcBorders>
              <w:top w:val="single" w:color="000000" w:sz="4" w:space="0"/>
              <w:left w:val="single" w:color="000000" w:sz="4" w:space="0"/>
              <w:bottom w:val="single" w:color="000000" w:sz="4" w:space="0"/>
              <w:right w:val="single" w:color="000000" w:sz="4" w:space="0"/>
            </w:tcBorders>
            <w:vAlign w:val="center"/>
          </w:tcPr>
          <w:p w14:paraId="625562E1">
            <w:pPr>
              <w:topLinePunct/>
              <w:spacing w:line="440" w:lineRule="exact"/>
              <w:jc w:val="center"/>
              <w:rPr>
                <w:color w:val="auto"/>
                <w:highlight w:val="none"/>
              </w:rPr>
            </w:pPr>
          </w:p>
        </w:tc>
        <w:tc>
          <w:tcPr>
            <w:tcW w:w="858" w:type="dxa"/>
            <w:vMerge w:val="continue"/>
            <w:tcBorders>
              <w:left w:val="single" w:color="000000" w:sz="4" w:space="0"/>
              <w:right w:val="single" w:color="000000" w:sz="4" w:space="0"/>
            </w:tcBorders>
            <w:vAlign w:val="center"/>
          </w:tcPr>
          <w:p w14:paraId="3093020C">
            <w:pPr>
              <w:topLinePunct/>
              <w:spacing w:line="440" w:lineRule="exact"/>
              <w:jc w:val="center"/>
              <w:rPr>
                <w:color w:val="auto"/>
                <w:highlight w:val="none"/>
              </w:rPr>
            </w:pPr>
          </w:p>
        </w:tc>
        <w:tc>
          <w:tcPr>
            <w:tcW w:w="2186" w:type="dxa"/>
            <w:gridSpan w:val="4"/>
            <w:tcBorders>
              <w:top w:val="single" w:color="000000" w:sz="4" w:space="0"/>
              <w:left w:val="single" w:color="000000" w:sz="4" w:space="0"/>
              <w:bottom w:val="single" w:color="000000" w:sz="4" w:space="0"/>
              <w:right w:val="single" w:color="000000" w:sz="4" w:space="0"/>
            </w:tcBorders>
            <w:vAlign w:val="center"/>
          </w:tcPr>
          <w:p w14:paraId="732F1EDD">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高级职称人员</w:t>
            </w:r>
          </w:p>
        </w:tc>
        <w:tc>
          <w:tcPr>
            <w:tcW w:w="1661" w:type="dxa"/>
            <w:gridSpan w:val="2"/>
            <w:tcBorders>
              <w:top w:val="single" w:color="000000" w:sz="4" w:space="0"/>
              <w:left w:val="single" w:color="000000" w:sz="4" w:space="0"/>
              <w:bottom w:val="single" w:color="000000" w:sz="4" w:space="0"/>
              <w:right w:val="single" w:color="000000" w:sz="4" w:space="0"/>
            </w:tcBorders>
            <w:vAlign w:val="center"/>
          </w:tcPr>
          <w:p w14:paraId="7E6E9B3B">
            <w:pPr>
              <w:topLinePunct/>
              <w:spacing w:line="440" w:lineRule="exact"/>
              <w:jc w:val="center"/>
              <w:rPr>
                <w:color w:val="auto"/>
                <w:highlight w:val="none"/>
              </w:rPr>
            </w:pPr>
          </w:p>
        </w:tc>
      </w:tr>
      <w:tr w14:paraId="5E011DB6">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20EE6B9F">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成立日期</w:t>
            </w:r>
          </w:p>
        </w:tc>
        <w:tc>
          <w:tcPr>
            <w:tcW w:w="2317" w:type="dxa"/>
            <w:gridSpan w:val="2"/>
            <w:tcBorders>
              <w:top w:val="single" w:color="000000" w:sz="4" w:space="0"/>
              <w:left w:val="single" w:color="000000" w:sz="4" w:space="0"/>
              <w:bottom w:val="single" w:color="000000" w:sz="4" w:space="0"/>
              <w:right w:val="single" w:color="000000" w:sz="4" w:space="0"/>
            </w:tcBorders>
            <w:vAlign w:val="center"/>
          </w:tcPr>
          <w:p w14:paraId="5EBE297E">
            <w:pPr>
              <w:topLinePunct/>
              <w:spacing w:line="440" w:lineRule="exact"/>
              <w:jc w:val="center"/>
              <w:rPr>
                <w:color w:val="auto"/>
                <w:highlight w:val="none"/>
              </w:rPr>
            </w:pPr>
          </w:p>
        </w:tc>
        <w:tc>
          <w:tcPr>
            <w:tcW w:w="858" w:type="dxa"/>
            <w:vMerge w:val="continue"/>
            <w:tcBorders>
              <w:left w:val="single" w:color="000000" w:sz="4" w:space="0"/>
              <w:right w:val="single" w:color="000000" w:sz="4" w:space="0"/>
            </w:tcBorders>
            <w:vAlign w:val="center"/>
          </w:tcPr>
          <w:p w14:paraId="4A2FC350">
            <w:pPr>
              <w:topLinePunct/>
              <w:spacing w:line="440" w:lineRule="exact"/>
              <w:jc w:val="center"/>
              <w:rPr>
                <w:color w:val="auto"/>
                <w:highlight w:val="none"/>
              </w:rPr>
            </w:pPr>
          </w:p>
        </w:tc>
        <w:tc>
          <w:tcPr>
            <w:tcW w:w="2186" w:type="dxa"/>
            <w:gridSpan w:val="4"/>
            <w:tcBorders>
              <w:top w:val="single" w:color="000000" w:sz="4" w:space="0"/>
              <w:left w:val="single" w:color="000000" w:sz="4" w:space="0"/>
              <w:bottom w:val="single" w:color="000000" w:sz="4" w:space="0"/>
              <w:right w:val="single" w:color="000000" w:sz="4" w:space="0"/>
            </w:tcBorders>
            <w:vAlign w:val="center"/>
          </w:tcPr>
          <w:p w14:paraId="43EFDEC3">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中级职称人员</w:t>
            </w:r>
          </w:p>
        </w:tc>
        <w:tc>
          <w:tcPr>
            <w:tcW w:w="1661" w:type="dxa"/>
            <w:gridSpan w:val="2"/>
            <w:tcBorders>
              <w:top w:val="single" w:color="000000" w:sz="4" w:space="0"/>
              <w:left w:val="single" w:color="000000" w:sz="4" w:space="0"/>
              <w:bottom w:val="single" w:color="000000" w:sz="4" w:space="0"/>
              <w:right w:val="single" w:color="000000" w:sz="4" w:space="0"/>
            </w:tcBorders>
            <w:vAlign w:val="center"/>
          </w:tcPr>
          <w:p w14:paraId="31BF336D">
            <w:pPr>
              <w:topLinePunct/>
              <w:spacing w:line="440" w:lineRule="exact"/>
              <w:jc w:val="center"/>
              <w:rPr>
                <w:color w:val="auto"/>
                <w:highlight w:val="none"/>
              </w:rPr>
            </w:pPr>
          </w:p>
        </w:tc>
      </w:tr>
      <w:tr w14:paraId="6DCD4EC4">
        <w:tblPrEx>
          <w:tblCellMar>
            <w:top w:w="0" w:type="dxa"/>
            <w:left w:w="0" w:type="dxa"/>
            <w:bottom w:w="0" w:type="dxa"/>
            <w:right w:w="0" w:type="dxa"/>
          </w:tblCellMar>
        </w:tblPrEx>
        <w:trPr>
          <w:trHeight w:val="449"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0A851A53">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基本账户开户银行</w:t>
            </w:r>
          </w:p>
        </w:tc>
        <w:tc>
          <w:tcPr>
            <w:tcW w:w="2317" w:type="dxa"/>
            <w:gridSpan w:val="2"/>
            <w:tcBorders>
              <w:top w:val="single" w:color="000000" w:sz="4" w:space="0"/>
              <w:left w:val="single" w:color="000000" w:sz="4" w:space="0"/>
              <w:bottom w:val="single" w:color="000000" w:sz="4" w:space="0"/>
              <w:right w:val="single" w:color="000000" w:sz="4" w:space="0"/>
            </w:tcBorders>
            <w:vAlign w:val="center"/>
          </w:tcPr>
          <w:p w14:paraId="61DA6C84">
            <w:pPr>
              <w:topLinePunct/>
              <w:spacing w:line="440" w:lineRule="exact"/>
              <w:jc w:val="center"/>
              <w:rPr>
                <w:color w:val="auto"/>
                <w:highlight w:val="none"/>
              </w:rPr>
            </w:pPr>
          </w:p>
        </w:tc>
        <w:tc>
          <w:tcPr>
            <w:tcW w:w="858" w:type="dxa"/>
            <w:vMerge w:val="continue"/>
            <w:tcBorders>
              <w:left w:val="single" w:color="000000" w:sz="4" w:space="0"/>
              <w:right w:val="single" w:color="000000" w:sz="4" w:space="0"/>
            </w:tcBorders>
            <w:vAlign w:val="center"/>
          </w:tcPr>
          <w:p w14:paraId="5698BF28">
            <w:pPr>
              <w:topLinePunct/>
              <w:spacing w:line="440" w:lineRule="exact"/>
              <w:jc w:val="center"/>
              <w:rPr>
                <w:color w:val="auto"/>
                <w:highlight w:val="none"/>
              </w:rPr>
            </w:pPr>
          </w:p>
        </w:tc>
        <w:tc>
          <w:tcPr>
            <w:tcW w:w="2186" w:type="dxa"/>
            <w:gridSpan w:val="4"/>
            <w:tcBorders>
              <w:top w:val="single" w:color="000000" w:sz="4" w:space="0"/>
              <w:left w:val="single" w:color="000000" w:sz="4" w:space="0"/>
              <w:bottom w:val="single" w:color="000000" w:sz="4" w:space="0"/>
              <w:right w:val="single" w:color="000000" w:sz="4" w:space="0"/>
            </w:tcBorders>
            <w:vAlign w:val="center"/>
          </w:tcPr>
          <w:p w14:paraId="4BA21591">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初级职称人员</w:t>
            </w:r>
          </w:p>
        </w:tc>
        <w:tc>
          <w:tcPr>
            <w:tcW w:w="1661" w:type="dxa"/>
            <w:gridSpan w:val="2"/>
            <w:tcBorders>
              <w:top w:val="single" w:color="000000" w:sz="4" w:space="0"/>
              <w:left w:val="single" w:color="000000" w:sz="4" w:space="0"/>
              <w:bottom w:val="single" w:color="000000" w:sz="4" w:space="0"/>
              <w:right w:val="single" w:color="000000" w:sz="4" w:space="0"/>
            </w:tcBorders>
            <w:vAlign w:val="center"/>
          </w:tcPr>
          <w:p w14:paraId="44863E1C">
            <w:pPr>
              <w:topLinePunct/>
              <w:spacing w:line="440" w:lineRule="exact"/>
              <w:jc w:val="center"/>
              <w:rPr>
                <w:color w:val="auto"/>
                <w:highlight w:val="none"/>
              </w:rPr>
            </w:pPr>
          </w:p>
        </w:tc>
      </w:tr>
      <w:tr w14:paraId="045FB607">
        <w:tblPrEx>
          <w:tblCellMar>
            <w:top w:w="0" w:type="dxa"/>
            <w:left w:w="0" w:type="dxa"/>
            <w:bottom w:w="0" w:type="dxa"/>
            <w:right w:w="0" w:type="dxa"/>
          </w:tblCellMar>
        </w:tblPrEx>
        <w:trPr>
          <w:trHeight w:val="452"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74405E63">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基本账户银行账号</w:t>
            </w:r>
          </w:p>
        </w:tc>
        <w:tc>
          <w:tcPr>
            <w:tcW w:w="2317" w:type="dxa"/>
            <w:gridSpan w:val="2"/>
            <w:tcBorders>
              <w:top w:val="single" w:color="000000" w:sz="4" w:space="0"/>
              <w:left w:val="single" w:color="000000" w:sz="4" w:space="0"/>
              <w:bottom w:val="single" w:color="000000" w:sz="4" w:space="0"/>
              <w:right w:val="single" w:color="000000" w:sz="4" w:space="0"/>
            </w:tcBorders>
            <w:vAlign w:val="center"/>
          </w:tcPr>
          <w:p w14:paraId="2780583E">
            <w:pPr>
              <w:topLinePunct/>
              <w:spacing w:line="440" w:lineRule="exact"/>
              <w:jc w:val="center"/>
              <w:rPr>
                <w:color w:val="auto"/>
                <w:highlight w:val="none"/>
              </w:rPr>
            </w:pPr>
          </w:p>
        </w:tc>
        <w:tc>
          <w:tcPr>
            <w:tcW w:w="858" w:type="dxa"/>
            <w:vMerge w:val="continue"/>
            <w:tcBorders>
              <w:left w:val="single" w:color="000000" w:sz="4" w:space="0"/>
              <w:bottom w:val="single" w:color="000000" w:sz="4" w:space="0"/>
              <w:right w:val="single" w:color="000000" w:sz="4" w:space="0"/>
            </w:tcBorders>
            <w:vAlign w:val="center"/>
          </w:tcPr>
          <w:p w14:paraId="49974C9D">
            <w:pPr>
              <w:topLinePunct/>
              <w:spacing w:line="440" w:lineRule="exact"/>
              <w:jc w:val="center"/>
              <w:rPr>
                <w:color w:val="auto"/>
                <w:highlight w:val="none"/>
              </w:rPr>
            </w:pPr>
          </w:p>
        </w:tc>
        <w:tc>
          <w:tcPr>
            <w:tcW w:w="2186" w:type="dxa"/>
            <w:gridSpan w:val="4"/>
            <w:tcBorders>
              <w:top w:val="single" w:color="000000" w:sz="4" w:space="0"/>
              <w:left w:val="single" w:color="000000" w:sz="4" w:space="0"/>
              <w:bottom w:val="single" w:color="000000" w:sz="4" w:space="0"/>
              <w:right w:val="single" w:color="000000" w:sz="4" w:space="0"/>
            </w:tcBorders>
            <w:vAlign w:val="center"/>
          </w:tcPr>
          <w:p w14:paraId="1A60D6C3">
            <w:pPr>
              <w:jc w:val="center"/>
              <w:rPr>
                <w:rFonts w:ascii="宋体" w:hAnsi="宋体" w:eastAsia="宋体" w:cs="宋体"/>
                <w:color w:val="auto"/>
                <w:sz w:val="20"/>
                <w:szCs w:val="20"/>
                <w:highlight w:val="none"/>
              </w:rPr>
            </w:pPr>
            <w:r>
              <w:rPr>
                <w:rFonts w:hint="eastAsia" w:ascii="宋体" w:hAnsi="宋体" w:cs="宋体"/>
                <w:color w:val="auto"/>
                <w:szCs w:val="21"/>
                <w:highlight w:val="none"/>
              </w:rPr>
              <w:t>技工</w:t>
            </w:r>
          </w:p>
        </w:tc>
        <w:tc>
          <w:tcPr>
            <w:tcW w:w="1661" w:type="dxa"/>
            <w:gridSpan w:val="2"/>
            <w:tcBorders>
              <w:top w:val="single" w:color="000000" w:sz="4" w:space="0"/>
              <w:left w:val="single" w:color="000000" w:sz="4" w:space="0"/>
              <w:bottom w:val="single" w:color="000000" w:sz="4" w:space="0"/>
              <w:right w:val="single" w:color="000000" w:sz="4" w:space="0"/>
            </w:tcBorders>
            <w:vAlign w:val="center"/>
          </w:tcPr>
          <w:p w14:paraId="519E6A26">
            <w:pPr>
              <w:topLinePunct/>
              <w:spacing w:line="440" w:lineRule="exact"/>
              <w:jc w:val="center"/>
              <w:rPr>
                <w:color w:val="auto"/>
                <w:highlight w:val="none"/>
              </w:rPr>
            </w:pPr>
          </w:p>
        </w:tc>
      </w:tr>
      <w:tr w14:paraId="3AF08A30">
        <w:tblPrEx>
          <w:tblCellMar>
            <w:top w:w="0" w:type="dxa"/>
            <w:left w:w="0" w:type="dxa"/>
            <w:bottom w:w="0" w:type="dxa"/>
            <w:right w:w="0" w:type="dxa"/>
          </w:tblCellMar>
        </w:tblPrEx>
        <w:trPr>
          <w:trHeight w:val="1769"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03B13BAF">
            <w:pPr>
              <w:topLinePunct/>
              <w:spacing w:line="440" w:lineRule="exact"/>
              <w:ind w:firstLine="210" w:firstLineChars="100"/>
              <w:jc w:val="center"/>
              <w:rPr>
                <w:rFonts w:ascii="宋体" w:hAnsi="宋体" w:eastAsia="宋体" w:cs="宋体"/>
                <w:color w:val="auto"/>
                <w:sz w:val="21"/>
                <w:szCs w:val="21"/>
                <w:highlight w:val="none"/>
              </w:rPr>
            </w:pPr>
            <w:r>
              <w:rPr>
                <w:rFonts w:hint="eastAsia" w:ascii="宋体" w:hAnsi="宋体" w:cs="宋体"/>
                <w:color w:val="auto"/>
                <w:szCs w:val="21"/>
                <w:highlight w:val="none"/>
              </w:rPr>
              <w:t>经营范围</w:t>
            </w:r>
          </w:p>
        </w:tc>
        <w:tc>
          <w:tcPr>
            <w:tcW w:w="7022" w:type="dxa"/>
            <w:gridSpan w:val="9"/>
            <w:tcBorders>
              <w:top w:val="single" w:color="000000" w:sz="4" w:space="0"/>
              <w:left w:val="single" w:color="000000" w:sz="4" w:space="0"/>
              <w:bottom w:val="single" w:color="000000" w:sz="4" w:space="0"/>
              <w:right w:val="single" w:color="000000" w:sz="4" w:space="0"/>
            </w:tcBorders>
            <w:vAlign w:val="center"/>
          </w:tcPr>
          <w:p w14:paraId="6D6313BD">
            <w:pPr>
              <w:topLinePunct/>
              <w:spacing w:line="440" w:lineRule="exact"/>
              <w:jc w:val="center"/>
              <w:rPr>
                <w:color w:val="auto"/>
                <w:highlight w:val="none"/>
              </w:rPr>
            </w:pPr>
          </w:p>
        </w:tc>
      </w:tr>
      <w:tr w14:paraId="48FD5AEE">
        <w:tblPrEx>
          <w:tblCellMar>
            <w:top w:w="0" w:type="dxa"/>
            <w:left w:w="0" w:type="dxa"/>
            <w:bottom w:w="0" w:type="dxa"/>
            <w:right w:w="0" w:type="dxa"/>
          </w:tblCellMar>
        </w:tblPrEx>
        <w:trPr>
          <w:trHeight w:val="2203"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11D70A98">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投标人关联企业情况</w:t>
            </w:r>
          </w:p>
        </w:tc>
        <w:tc>
          <w:tcPr>
            <w:tcW w:w="7022" w:type="dxa"/>
            <w:gridSpan w:val="9"/>
            <w:tcBorders>
              <w:top w:val="single" w:color="000000" w:sz="4" w:space="0"/>
              <w:left w:val="single" w:color="000000" w:sz="4" w:space="0"/>
              <w:bottom w:val="single" w:color="000000" w:sz="4" w:space="0"/>
              <w:right w:val="single" w:color="000000" w:sz="4" w:space="0"/>
            </w:tcBorders>
            <w:vAlign w:val="center"/>
          </w:tcPr>
          <w:p w14:paraId="177026A4">
            <w:pPr>
              <w:keepNext w:val="0"/>
              <w:keepLines w:val="0"/>
              <w:widowControl/>
              <w:suppressLineNumbers w:val="0"/>
              <w:jc w:val="left"/>
              <w:rPr>
                <w:rFonts w:ascii="宋体" w:hAnsi="宋体" w:eastAsia="宋体" w:cs="宋体"/>
                <w:color w:val="auto"/>
                <w:sz w:val="21"/>
                <w:szCs w:val="21"/>
                <w:highlight w:val="none"/>
              </w:rPr>
            </w:pPr>
          </w:p>
        </w:tc>
      </w:tr>
      <w:tr w14:paraId="3AEBF8B8">
        <w:tblPrEx>
          <w:tblCellMar>
            <w:top w:w="0" w:type="dxa"/>
            <w:left w:w="0" w:type="dxa"/>
            <w:bottom w:w="0" w:type="dxa"/>
            <w:right w:w="0" w:type="dxa"/>
          </w:tblCellMar>
        </w:tblPrEx>
        <w:trPr>
          <w:trHeight w:val="451" w:hRule="exact"/>
          <w:jc w:val="center"/>
        </w:trPr>
        <w:tc>
          <w:tcPr>
            <w:tcW w:w="1908" w:type="dxa"/>
            <w:tcBorders>
              <w:top w:val="single" w:color="000000" w:sz="4" w:space="0"/>
              <w:left w:val="single" w:color="000000" w:sz="4" w:space="0"/>
              <w:bottom w:val="single" w:color="000000" w:sz="4" w:space="0"/>
              <w:right w:val="single" w:color="000000" w:sz="4" w:space="0"/>
            </w:tcBorders>
            <w:vAlign w:val="center"/>
          </w:tcPr>
          <w:p w14:paraId="3EF5B22A">
            <w:pPr>
              <w:topLinePunct/>
              <w:spacing w:line="440" w:lineRule="exact"/>
              <w:jc w:val="center"/>
              <w:rPr>
                <w:rFonts w:ascii="宋体" w:hAnsi="宋体" w:eastAsia="宋体" w:cs="宋体"/>
                <w:color w:val="auto"/>
                <w:sz w:val="21"/>
                <w:szCs w:val="21"/>
                <w:highlight w:val="none"/>
              </w:rPr>
            </w:pPr>
            <w:r>
              <w:rPr>
                <w:rFonts w:hint="eastAsia" w:ascii="宋体" w:hAnsi="宋体" w:cs="宋体"/>
                <w:color w:val="auto"/>
                <w:szCs w:val="21"/>
                <w:highlight w:val="none"/>
              </w:rPr>
              <w:t>备注</w:t>
            </w:r>
          </w:p>
        </w:tc>
        <w:tc>
          <w:tcPr>
            <w:tcW w:w="7022" w:type="dxa"/>
            <w:gridSpan w:val="9"/>
            <w:tcBorders>
              <w:top w:val="single" w:color="000000" w:sz="4" w:space="0"/>
              <w:left w:val="single" w:color="000000" w:sz="4" w:space="0"/>
              <w:bottom w:val="single" w:color="000000" w:sz="4" w:space="0"/>
              <w:right w:val="single" w:color="000000" w:sz="4" w:space="0"/>
            </w:tcBorders>
            <w:vAlign w:val="center"/>
          </w:tcPr>
          <w:p w14:paraId="1882A7D1">
            <w:pPr>
              <w:topLinePunct/>
              <w:spacing w:line="440" w:lineRule="exact"/>
              <w:jc w:val="center"/>
              <w:rPr>
                <w:color w:val="auto"/>
                <w:highlight w:val="none"/>
              </w:rPr>
            </w:pPr>
          </w:p>
        </w:tc>
      </w:tr>
    </w:tbl>
    <w:p w14:paraId="32D20A0B">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注：投标人应根据招标文件第二章“投标人须知”第3.5.1项的要求在本表后附相关证明材料。</w:t>
      </w:r>
    </w:p>
    <w:p w14:paraId="1111F426">
      <w:pPr>
        <w:pStyle w:val="13"/>
        <w:keepNext w:val="0"/>
        <w:keepLines w:val="0"/>
        <w:pageBreakBefore w:val="0"/>
        <w:widowControl w:val="0"/>
        <w:kinsoku/>
        <w:overflowPunct/>
        <w:topLinePunct w:val="0"/>
        <w:autoSpaceDE/>
        <w:autoSpaceDN/>
        <w:bidi w:val="0"/>
        <w:adjustRightInd/>
        <w:snapToGrid/>
        <w:spacing w:line="360" w:lineRule="auto"/>
        <w:textAlignment w:val="auto"/>
        <w:rPr>
          <w:rFonts w:hint="default"/>
          <w:color w:val="auto"/>
          <w:highlight w:val="none"/>
          <w:lang w:val="en-US"/>
        </w:rPr>
      </w:pPr>
    </w:p>
    <w:p w14:paraId="777FD9DB">
      <w:pPr>
        <w:rPr>
          <w:rFonts w:hint="default"/>
          <w:color w:val="auto"/>
          <w:highlight w:val="none"/>
          <w:lang w:val="en-US"/>
        </w:rPr>
      </w:pPr>
    </w:p>
    <w:p w14:paraId="00AB8B7F">
      <w:pPr>
        <w:pStyle w:val="13"/>
        <w:ind w:left="0" w:leftChars="0" w:firstLine="0" w:firstLineChars="0"/>
        <w:rPr>
          <w:rFonts w:hint="default"/>
          <w:color w:val="auto"/>
          <w:highlight w:val="none"/>
          <w:lang w:val="en-US"/>
        </w:rPr>
      </w:pPr>
    </w:p>
    <w:p w14:paraId="1104484C">
      <w:pPr>
        <w:pStyle w:val="10"/>
        <w:keepNext w:val="0"/>
        <w:keepLines w:val="0"/>
        <w:pageBreakBefore w:val="0"/>
        <w:widowControl w:val="0"/>
        <w:kinsoku/>
        <w:wordWrap w:val="0"/>
        <w:overflowPunct/>
        <w:topLinePunct w:val="0"/>
        <w:autoSpaceDE/>
        <w:autoSpaceDN/>
        <w:bidi w:val="0"/>
        <w:snapToGrid/>
        <w:spacing w:before="190" w:line="240" w:lineRule="auto"/>
        <w:ind w:left="2881" w:right="102"/>
        <w:jc w:val="left"/>
        <w:rPr>
          <w:rFonts w:hint="eastAsia" w:ascii="宋体" w:hAnsi="宋体" w:eastAsia="宋体" w:cs="宋体"/>
          <w:b/>
          <w:bCs/>
          <w:color w:val="auto"/>
          <w:sz w:val="28"/>
          <w:szCs w:val="28"/>
          <w:highlight w:val="none"/>
        </w:rPr>
      </w:pPr>
    </w:p>
    <w:p w14:paraId="684BF6B1">
      <w:pPr>
        <w:pStyle w:val="10"/>
        <w:keepNext w:val="0"/>
        <w:keepLines w:val="0"/>
        <w:pageBreakBefore w:val="0"/>
        <w:widowControl w:val="0"/>
        <w:kinsoku/>
        <w:wordWrap w:val="0"/>
        <w:overflowPunct/>
        <w:topLinePunct w:val="0"/>
        <w:autoSpaceDE/>
        <w:autoSpaceDN/>
        <w:bidi w:val="0"/>
        <w:snapToGrid/>
        <w:spacing w:before="190" w:line="240" w:lineRule="auto"/>
        <w:ind w:left="2881" w:right="102"/>
        <w:jc w:val="left"/>
        <w:rPr>
          <w:rFonts w:ascii="黑体" w:hAnsi="黑体" w:eastAsia="黑体" w:cs="黑体"/>
          <w:color w:val="auto"/>
          <w:sz w:val="20"/>
          <w:szCs w:val="20"/>
          <w:highlight w:val="none"/>
        </w:rPr>
      </w:pPr>
      <w:r>
        <w:rPr>
          <w:rFonts w:hint="eastAsia" w:ascii="宋体" w:hAnsi="宋体" w:eastAsia="宋体" w:cs="宋体"/>
          <w:b/>
          <w:bCs/>
          <w:color w:val="auto"/>
          <w:sz w:val="28"/>
          <w:szCs w:val="28"/>
          <w:highlight w:val="none"/>
        </w:rPr>
        <w:t>（二）投标人企业组织机构框图</w:t>
      </w:r>
    </w:p>
    <w:p w14:paraId="79D23F41">
      <w:pPr>
        <w:keepNext w:val="0"/>
        <w:keepLines w:val="0"/>
        <w:pageBreakBefore w:val="0"/>
        <w:widowControl w:val="0"/>
        <w:kinsoku/>
        <w:wordWrap w:val="0"/>
        <w:overflowPunct/>
        <w:topLinePunct w:val="0"/>
        <w:autoSpaceDE/>
        <w:autoSpaceDN/>
        <w:bidi w:val="0"/>
        <w:snapToGrid/>
        <w:spacing w:before="11" w:line="240" w:lineRule="auto"/>
        <w:rPr>
          <w:rFonts w:ascii="黑体" w:hAnsi="黑体" w:eastAsia="黑体" w:cs="黑体"/>
          <w:color w:val="auto"/>
          <w:sz w:val="23"/>
          <w:szCs w:val="23"/>
          <w:highlight w:val="none"/>
        </w:rPr>
      </w:pPr>
    </w:p>
    <w:tbl>
      <w:tblPr>
        <w:tblStyle w:val="29"/>
        <w:tblW w:w="0" w:type="auto"/>
        <w:jc w:val="center"/>
        <w:tblLayout w:type="fixed"/>
        <w:tblCellMar>
          <w:top w:w="0" w:type="dxa"/>
          <w:left w:w="0" w:type="dxa"/>
          <w:bottom w:w="0" w:type="dxa"/>
          <w:right w:w="0" w:type="dxa"/>
        </w:tblCellMar>
      </w:tblPr>
      <w:tblGrid>
        <w:gridCol w:w="8894"/>
      </w:tblGrid>
      <w:tr w14:paraId="0E42A715">
        <w:tblPrEx>
          <w:tblCellMar>
            <w:top w:w="0" w:type="dxa"/>
            <w:left w:w="0" w:type="dxa"/>
            <w:bottom w:w="0" w:type="dxa"/>
            <w:right w:w="0" w:type="dxa"/>
          </w:tblCellMar>
        </w:tblPrEx>
        <w:trPr>
          <w:trHeight w:val="7542" w:hRule="exact"/>
          <w:jc w:val="center"/>
        </w:trPr>
        <w:tc>
          <w:tcPr>
            <w:tcW w:w="8894" w:type="dxa"/>
            <w:tcBorders>
              <w:top w:val="single" w:color="000000" w:sz="6" w:space="0"/>
              <w:left w:val="single" w:color="000000" w:sz="6" w:space="0"/>
              <w:bottom w:val="single" w:color="000000" w:sz="6" w:space="0"/>
              <w:right w:val="single" w:color="000000" w:sz="6" w:space="0"/>
            </w:tcBorders>
          </w:tcPr>
          <w:p w14:paraId="176D7C9E">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CE8B4FD">
            <w:pPr>
              <w:pStyle w:val="38"/>
              <w:keepNext w:val="0"/>
              <w:keepLines w:val="0"/>
              <w:pageBreakBefore w:val="0"/>
              <w:widowControl w:val="0"/>
              <w:kinsoku/>
              <w:wordWrap w:val="0"/>
              <w:overflowPunct/>
              <w:topLinePunct w:val="0"/>
              <w:autoSpaceDE/>
              <w:autoSpaceDN/>
              <w:bidi w:val="0"/>
              <w:snapToGrid/>
              <w:spacing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以框图方式表示。</w:t>
            </w:r>
          </w:p>
        </w:tc>
      </w:tr>
      <w:tr w14:paraId="5593C6C1">
        <w:tblPrEx>
          <w:tblCellMar>
            <w:top w:w="0" w:type="dxa"/>
            <w:left w:w="0" w:type="dxa"/>
            <w:bottom w:w="0" w:type="dxa"/>
            <w:right w:w="0" w:type="dxa"/>
          </w:tblCellMar>
        </w:tblPrEx>
        <w:trPr>
          <w:trHeight w:val="3418" w:hRule="exact"/>
          <w:jc w:val="center"/>
        </w:trPr>
        <w:tc>
          <w:tcPr>
            <w:tcW w:w="8894" w:type="dxa"/>
            <w:tcBorders>
              <w:top w:val="single" w:color="000000" w:sz="6" w:space="0"/>
              <w:left w:val="single" w:color="000000" w:sz="6" w:space="0"/>
              <w:bottom w:val="single" w:color="000000" w:sz="6" w:space="0"/>
              <w:right w:val="single" w:color="000000" w:sz="6" w:space="0"/>
            </w:tcBorders>
          </w:tcPr>
          <w:p w14:paraId="46061F1A">
            <w:pPr>
              <w:pStyle w:val="38"/>
              <w:keepNext w:val="0"/>
              <w:keepLines w:val="0"/>
              <w:pageBreakBefore w:val="0"/>
              <w:widowControl w:val="0"/>
              <w:kinsoku/>
              <w:wordWrap w:val="0"/>
              <w:overflowPunct/>
              <w:topLinePunct w:val="0"/>
              <w:autoSpaceDE/>
              <w:autoSpaceDN/>
              <w:bidi w:val="0"/>
              <w:snapToGrid/>
              <w:spacing w:before="93" w:line="240" w:lineRule="auto"/>
              <w:ind w:right="0"/>
              <w:jc w:val="left"/>
              <w:rPr>
                <w:rFonts w:ascii="宋体" w:hAnsi="宋体" w:eastAsia="宋体" w:cs="宋体"/>
                <w:color w:val="auto"/>
                <w:sz w:val="21"/>
                <w:szCs w:val="21"/>
                <w:highlight w:val="none"/>
              </w:rPr>
            </w:pPr>
          </w:p>
          <w:p w14:paraId="07A3C6F4">
            <w:pPr>
              <w:pStyle w:val="38"/>
              <w:keepNext w:val="0"/>
              <w:keepLines w:val="0"/>
              <w:pageBreakBefore w:val="0"/>
              <w:widowControl w:val="0"/>
              <w:kinsoku/>
              <w:wordWrap w:val="0"/>
              <w:overflowPunct/>
              <w:topLinePunct w:val="0"/>
              <w:autoSpaceDE/>
              <w:autoSpaceDN/>
              <w:bidi w:val="0"/>
              <w:snapToGrid/>
              <w:spacing w:before="93" w:line="240" w:lineRule="auto"/>
              <w:ind w:right="0" w:firstLine="420" w:firstLineChars="20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w:t>
            </w:r>
          </w:p>
        </w:tc>
      </w:tr>
    </w:tbl>
    <w:p w14:paraId="1340DD5D">
      <w:pPr>
        <w:pStyle w:val="13"/>
        <w:rPr>
          <w:rFonts w:hint="default"/>
          <w:color w:val="auto"/>
          <w:highlight w:val="none"/>
          <w:lang w:val="en-US"/>
        </w:rPr>
      </w:pPr>
    </w:p>
    <w:p w14:paraId="4E262A19">
      <w:pPr>
        <w:rPr>
          <w:rFonts w:hint="default"/>
          <w:color w:val="auto"/>
          <w:highlight w:val="none"/>
          <w:lang w:val="en-US"/>
        </w:rPr>
      </w:pPr>
    </w:p>
    <w:p w14:paraId="03C4F1C9">
      <w:pPr>
        <w:pStyle w:val="13"/>
        <w:rPr>
          <w:rFonts w:hint="default"/>
          <w:color w:val="auto"/>
          <w:highlight w:val="none"/>
          <w:lang w:val="en-US"/>
        </w:rPr>
      </w:pPr>
    </w:p>
    <w:p w14:paraId="4FCCCFA8">
      <w:pPr>
        <w:rPr>
          <w:rFonts w:hint="default"/>
          <w:color w:val="auto"/>
          <w:highlight w:val="none"/>
          <w:lang w:val="en-US"/>
        </w:rPr>
      </w:pPr>
    </w:p>
    <w:p w14:paraId="27798C12">
      <w:pPr>
        <w:pStyle w:val="13"/>
        <w:rPr>
          <w:rFonts w:hint="default"/>
          <w:color w:val="auto"/>
          <w:highlight w:val="none"/>
          <w:lang w:val="en-US"/>
        </w:rPr>
      </w:pPr>
    </w:p>
    <w:p w14:paraId="7CDD80AC">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kern w:val="0"/>
          <w:sz w:val="28"/>
          <w:highlight w:val="none"/>
          <w:lang w:eastAsia="zh-CN"/>
        </w:rPr>
        <w:t>（三）</w:t>
      </w:r>
      <w:r>
        <w:rPr>
          <w:rFonts w:hint="eastAsia" w:ascii="宋体" w:hAnsi="宋体" w:eastAsia="宋体" w:cs="宋体"/>
          <w:b/>
          <w:bCs/>
          <w:color w:val="auto"/>
          <w:sz w:val="28"/>
          <w:szCs w:val="28"/>
          <w:highlight w:val="none"/>
        </w:rPr>
        <w:t>近年财务状况</w:t>
      </w:r>
    </w:p>
    <w:p w14:paraId="5A22C74C">
      <w:pPr>
        <w:pStyle w:val="10"/>
        <w:keepNext w:val="0"/>
        <w:keepLines w:val="0"/>
        <w:pageBreakBefore w:val="0"/>
        <w:widowControl w:val="0"/>
        <w:numPr>
          <w:ilvl w:val="0"/>
          <w:numId w:val="0"/>
        </w:numPr>
        <w:kinsoku/>
        <w:wordWrap w:val="0"/>
        <w:overflowPunct/>
        <w:topLinePunct w:val="0"/>
        <w:autoSpaceDE/>
        <w:autoSpaceDN/>
        <w:bidi w:val="0"/>
        <w:adjustRightInd/>
        <w:snapToGrid/>
        <w:spacing w:before="0"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财务状况表</w:t>
      </w:r>
    </w:p>
    <w:tbl>
      <w:tblPr>
        <w:tblStyle w:val="29"/>
        <w:tblW w:w="0" w:type="auto"/>
        <w:jc w:val="center"/>
        <w:tblLayout w:type="fixed"/>
        <w:tblCellMar>
          <w:top w:w="0" w:type="dxa"/>
          <w:left w:w="0" w:type="dxa"/>
          <w:bottom w:w="0" w:type="dxa"/>
          <w:right w:w="0" w:type="dxa"/>
        </w:tblCellMar>
      </w:tblPr>
      <w:tblGrid>
        <w:gridCol w:w="4066"/>
        <w:gridCol w:w="900"/>
        <w:gridCol w:w="1320"/>
        <w:gridCol w:w="1321"/>
        <w:gridCol w:w="1320"/>
      </w:tblGrid>
      <w:tr w14:paraId="3BFF30BE">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3431A62B">
            <w:pPr>
              <w:pStyle w:val="38"/>
              <w:keepNext w:val="0"/>
              <w:keepLines w:val="0"/>
              <w:pageBreakBefore w:val="0"/>
              <w:widowControl w:val="0"/>
              <w:kinsoku/>
              <w:wordWrap w:val="0"/>
              <w:overflowPunct/>
              <w:topLinePunct w:val="0"/>
              <w:autoSpaceDE/>
              <w:autoSpaceDN/>
              <w:bidi w:val="0"/>
              <w:snapToGrid/>
              <w:spacing w:before="121" w:line="240" w:lineRule="auto"/>
              <w:ind w:left="126"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项目或指标</w:t>
            </w:r>
          </w:p>
        </w:tc>
        <w:tc>
          <w:tcPr>
            <w:tcW w:w="900" w:type="dxa"/>
            <w:tcBorders>
              <w:top w:val="single" w:color="000000" w:sz="6" w:space="0"/>
              <w:left w:val="single" w:color="000000" w:sz="6" w:space="0"/>
              <w:bottom w:val="single" w:color="000000" w:sz="6" w:space="0"/>
              <w:right w:val="single" w:color="000000" w:sz="6" w:space="0"/>
            </w:tcBorders>
          </w:tcPr>
          <w:p w14:paraId="3DB50468">
            <w:pPr>
              <w:pStyle w:val="38"/>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320" w:type="dxa"/>
            <w:tcBorders>
              <w:top w:val="single" w:color="000000" w:sz="6" w:space="0"/>
              <w:left w:val="single" w:color="000000" w:sz="6" w:space="0"/>
              <w:bottom w:val="single" w:color="000000" w:sz="6" w:space="0"/>
              <w:right w:val="single" w:color="000000" w:sz="6" w:space="0"/>
            </w:tcBorders>
          </w:tcPr>
          <w:p w14:paraId="36876092">
            <w:pPr>
              <w:pStyle w:val="38"/>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c>
          <w:tcPr>
            <w:tcW w:w="1321" w:type="dxa"/>
            <w:tcBorders>
              <w:top w:val="single" w:color="000000" w:sz="6" w:space="0"/>
              <w:left w:val="single" w:color="000000" w:sz="6" w:space="0"/>
              <w:bottom w:val="single" w:color="000000" w:sz="6" w:space="0"/>
              <w:right w:val="single" w:color="000000" w:sz="6" w:space="0"/>
            </w:tcBorders>
          </w:tcPr>
          <w:p w14:paraId="15FDF812">
            <w:pPr>
              <w:pStyle w:val="38"/>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c>
          <w:tcPr>
            <w:tcW w:w="1320" w:type="dxa"/>
            <w:tcBorders>
              <w:top w:val="single" w:color="000000" w:sz="6" w:space="0"/>
              <w:left w:val="single" w:color="000000" w:sz="6" w:space="0"/>
              <w:bottom w:val="single" w:color="000000" w:sz="6" w:space="0"/>
              <w:right w:val="single" w:color="000000" w:sz="6" w:space="0"/>
            </w:tcBorders>
          </w:tcPr>
          <w:p w14:paraId="13BCF028">
            <w:pPr>
              <w:pStyle w:val="38"/>
              <w:keepNext w:val="0"/>
              <w:keepLines w:val="0"/>
              <w:pageBreakBefore w:val="0"/>
              <w:widowControl w:val="0"/>
              <w:tabs>
                <w:tab w:val="left" w:pos="871"/>
              </w:tabs>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p>
        </w:tc>
      </w:tr>
      <w:tr w14:paraId="1F08582F">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C803194">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注册资本</w:t>
            </w:r>
          </w:p>
        </w:tc>
        <w:tc>
          <w:tcPr>
            <w:tcW w:w="900" w:type="dxa"/>
            <w:tcBorders>
              <w:top w:val="single" w:color="000000" w:sz="6" w:space="0"/>
              <w:left w:val="single" w:color="000000" w:sz="6" w:space="0"/>
              <w:bottom w:val="single" w:color="000000" w:sz="6" w:space="0"/>
              <w:right w:val="single" w:color="000000" w:sz="6" w:space="0"/>
            </w:tcBorders>
          </w:tcPr>
          <w:p w14:paraId="7C111620">
            <w:pPr>
              <w:pStyle w:val="38"/>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426331D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6D6558F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A36396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F6B4771">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4010E910">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净资产</w:t>
            </w:r>
          </w:p>
        </w:tc>
        <w:tc>
          <w:tcPr>
            <w:tcW w:w="900" w:type="dxa"/>
            <w:tcBorders>
              <w:top w:val="single" w:color="000000" w:sz="6" w:space="0"/>
              <w:left w:val="single" w:color="000000" w:sz="6" w:space="0"/>
              <w:bottom w:val="single" w:color="000000" w:sz="6" w:space="0"/>
              <w:right w:val="single" w:color="000000" w:sz="6" w:space="0"/>
            </w:tcBorders>
          </w:tcPr>
          <w:p w14:paraId="212D4D75">
            <w:pPr>
              <w:pStyle w:val="38"/>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6A54E3B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348490A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7A5AC1A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EEE3968">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F671292">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总资产</w:t>
            </w:r>
          </w:p>
        </w:tc>
        <w:tc>
          <w:tcPr>
            <w:tcW w:w="900" w:type="dxa"/>
            <w:tcBorders>
              <w:top w:val="single" w:color="000000" w:sz="6" w:space="0"/>
              <w:left w:val="single" w:color="000000" w:sz="6" w:space="0"/>
              <w:bottom w:val="single" w:color="000000" w:sz="6" w:space="0"/>
              <w:right w:val="single" w:color="000000" w:sz="6" w:space="0"/>
            </w:tcBorders>
          </w:tcPr>
          <w:p w14:paraId="59172750">
            <w:pPr>
              <w:pStyle w:val="38"/>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7FBAD64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4841BA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22C4F8B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33E6B54B">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4B914BB3">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固定资产</w:t>
            </w:r>
          </w:p>
        </w:tc>
        <w:tc>
          <w:tcPr>
            <w:tcW w:w="900" w:type="dxa"/>
            <w:tcBorders>
              <w:top w:val="single" w:color="000000" w:sz="6" w:space="0"/>
              <w:left w:val="single" w:color="000000" w:sz="6" w:space="0"/>
              <w:bottom w:val="single" w:color="000000" w:sz="6" w:space="0"/>
              <w:right w:val="single" w:color="000000" w:sz="6" w:space="0"/>
            </w:tcBorders>
          </w:tcPr>
          <w:p w14:paraId="33EC03EB">
            <w:pPr>
              <w:pStyle w:val="38"/>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026A7D5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49B2522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568FF0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232F67D9">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75B4D372">
            <w:pPr>
              <w:pStyle w:val="38"/>
              <w:keepNext w:val="0"/>
              <w:keepLines w:val="0"/>
              <w:pageBreakBefore w:val="0"/>
              <w:widowControl w:val="0"/>
              <w:kinsoku/>
              <w:wordWrap w:val="0"/>
              <w:overflowPunct/>
              <w:topLinePunct w:val="0"/>
              <w:autoSpaceDE/>
              <w:autoSpaceDN/>
              <w:bidi w:val="0"/>
              <w:snapToGrid/>
              <w:spacing w:before="121"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流动资产</w:t>
            </w:r>
          </w:p>
        </w:tc>
        <w:tc>
          <w:tcPr>
            <w:tcW w:w="900" w:type="dxa"/>
            <w:tcBorders>
              <w:top w:val="single" w:color="000000" w:sz="6" w:space="0"/>
              <w:left w:val="single" w:color="000000" w:sz="6" w:space="0"/>
              <w:bottom w:val="single" w:color="000000" w:sz="6" w:space="0"/>
              <w:right w:val="single" w:color="000000" w:sz="6" w:space="0"/>
            </w:tcBorders>
          </w:tcPr>
          <w:p w14:paraId="73B40B31">
            <w:pPr>
              <w:pStyle w:val="38"/>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4A7336A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F47E46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7A0824B">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33964502">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3A6DC25D">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流动负债</w:t>
            </w:r>
          </w:p>
        </w:tc>
        <w:tc>
          <w:tcPr>
            <w:tcW w:w="900" w:type="dxa"/>
            <w:tcBorders>
              <w:top w:val="single" w:color="000000" w:sz="6" w:space="0"/>
              <w:left w:val="single" w:color="000000" w:sz="6" w:space="0"/>
              <w:bottom w:val="single" w:color="000000" w:sz="6" w:space="0"/>
              <w:right w:val="single" w:color="000000" w:sz="6" w:space="0"/>
            </w:tcBorders>
          </w:tcPr>
          <w:p w14:paraId="1E778B61">
            <w:pPr>
              <w:pStyle w:val="38"/>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5BF65E1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3811F4E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0C6855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641FF76F">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CA14845">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负债合计</w:t>
            </w:r>
          </w:p>
        </w:tc>
        <w:tc>
          <w:tcPr>
            <w:tcW w:w="900" w:type="dxa"/>
            <w:tcBorders>
              <w:top w:val="single" w:color="000000" w:sz="6" w:space="0"/>
              <w:left w:val="single" w:color="000000" w:sz="6" w:space="0"/>
              <w:bottom w:val="single" w:color="000000" w:sz="6" w:space="0"/>
              <w:right w:val="single" w:color="000000" w:sz="6" w:space="0"/>
            </w:tcBorders>
          </w:tcPr>
          <w:p w14:paraId="033AFD4C">
            <w:pPr>
              <w:pStyle w:val="38"/>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07DC852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458F68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F48D9B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1376FB3">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188CC1D0">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营业收入</w:t>
            </w:r>
          </w:p>
        </w:tc>
        <w:tc>
          <w:tcPr>
            <w:tcW w:w="900" w:type="dxa"/>
            <w:tcBorders>
              <w:top w:val="single" w:color="000000" w:sz="6" w:space="0"/>
              <w:left w:val="single" w:color="000000" w:sz="6" w:space="0"/>
              <w:bottom w:val="single" w:color="000000" w:sz="6" w:space="0"/>
              <w:right w:val="single" w:color="000000" w:sz="6" w:space="0"/>
            </w:tcBorders>
          </w:tcPr>
          <w:p w14:paraId="266CB5C2">
            <w:pPr>
              <w:pStyle w:val="38"/>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355836A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599F01A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DDA38C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FB65EDC">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595AD792">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净利润</w:t>
            </w:r>
          </w:p>
        </w:tc>
        <w:tc>
          <w:tcPr>
            <w:tcW w:w="900" w:type="dxa"/>
            <w:tcBorders>
              <w:top w:val="single" w:color="000000" w:sz="6" w:space="0"/>
              <w:left w:val="single" w:color="000000" w:sz="6" w:space="0"/>
              <w:bottom w:val="single" w:color="000000" w:sz="6" w:space="0"/>
              <w:right w:val="single" w:color="000000" w:sz="6" w:space="0"/>
            </w:tcBorders>
          </w:tcPr>
          <w:p w14:paraId="633E16F2">
            <w:pPr>
              <w:pStyle w:val="38"/>
              <w:keepNext w:val="0"/>
              <w:keepLines w:val="0"/>
              <w:pageBreakBefore w:val="0"/>
              <w:widowControl w:val="0"/>
              <w:kinsoku/>
              <w:wordWrap w:val="0"/>
              <w:overflowPunct/>
              <w:topLinePunct w:val="0"/>
              <w:autoSpaceDE/>
              <w:autoSpaceDN/>
              <w:bidi w:val="0"/>
              <w:snapToGrid/>
              <w:spacing w:before="119"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6EFFC7D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089A084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2CF54BA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73EE1F0">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18AFEE27">
            <w:pPr>
              <w:pStyle w:val="38"/>
              <w:keepNext w:val="0"/>
              <w:keepLines w:val="0"/>
              <w:pageBreakBefore w:val="0"/>
              <w:widowControl w:val="0"/>
              <w:kinsoku/>
              <w:wordWrap w:val="0"/>
              <w:overflowPunct/>
              <w:topLinePunct w:val="0"/>
              <w:autoSpaceDE/>
              <w:autoSpaceDN/>
              <w:bidi w:val="0"/>
              <w:snapToGrid/>
              <w:spacing w:before="121"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现金流量净额</w:t>
            </w:r>
          </w:p>
        </w:tc>
        <w:tc>
          <w:tcPr>
            <w:tcW w:w="900" w:type="dxa"/>
            <w:tcBorders>
              <w:top w:val="single" w:color="000000" w:sz="6" w:space="0"/>
              <w:left w:val="single" w:color="000000" w:sz="6" w:space="0"/>
              <w:bottom w:val="single" w:color="000000" w:sz="6" w:space="0"/>
              <w:right w:val="single" w:color="000000" w:sz="6" w:space="0"/>
            </w:tcBorders>
          </w:tcPr>
          <w:p w14:paraId="04249285">
            <w:pPr>
              <w:pStyle w:val="38"/>
              <w:keepNext w:val="0"/>
              <w:keepLines w:val="0"/>
              <w:pageBreakBefore w:val="0"/>
              <w:widowControl w:val="0"/>
              <w:kinsoku/>
              <w:wordWrap w:val="0"/>
              <w:overflowPunct/>
              <w:topLinePunct w:val="0"/>
              <w:autoSpaceDE/>
              <w:autoSpaceDN/>
              <w:bidi w:val="0"/>
              <w:snapToGrid/>
              <w:spacing w:before="121" w:line="240" w:lineRule="auto"/>
              <w:ind w:left="24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320" w:type="dxa"/>
            <w:tcBorders>
              <w:top w:val="single" w:color="000000" w:sz="6" w:space="0"/>
              <w:left w:val="single" w:color="000000" w:sz="6" w:space="0"/>
              <w:bottom w:val="single" w:color="000000" w:sz="6" w:space="0"/>
              <w:right w:val="single" w:color="000000" w:sz="6" w:space="0"/>
            </w:tcBorders>
          </w:tcPr>
          <w:p w14:paraId="26DABA0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D76CE0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3795228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5CB2C3E">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B9FE4FE">
            <w:pPr>
              <w:pStyle w:val="38"/>
              <w:keepNext w:val="0"/>
              <w:keepLines w:val="0"/>
              <w:pageBreakBefore w:val="0"/>
              <w:widowControl w:val="0"/>
              <w:kinsoku/>
              <w:wordWrap w:val="0"/>
              <w:overflowPunct/>
              <w:topLinePunct w:val="0"/>
              <w:autoSpaceDE/>
              <w:autoSpaceDN/>
              <w:bidi w:val="0"/>
              <w:snapToGrid/>
              <w:spacing w:before="119" w:line="240" w:lineRule="auto"/>
              <w:ind w:left="148"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rPr>
              <w:t>主要财务指标</w:t>
            </w:r>
          </w:p>
        </w:tc>
        <w:tc>
          <w:tcPr>
            <w:tcW w:w="900" w:type="dxa"/>
            <w:tcBorders>
              <w:top w:val="single" w:color="000000" w:sz="6" w:space="0"/>
              <w:left w:val="single" w:color="000000" w:sz="6" w:space="0"/>
              <w:bottom w:val="single" w:color="000000" w:sz="6" w:space="0"/>
              <w:right w:val="single" w:color="000000" w:sz="6" w:space="0"/>
            </w:tcBorders>
          </w:tcPr>
          <w:p w14:paraId="09B8C419">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5A7B296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7352C6F2">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05743351">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79625E3">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279D4CB7">
            <w:pPr>
              <w:pStyle w:val="38"/>
              <w:keepNext w:val="0"/>
              <w:keepLines w:val="0"/>
              <w:pageBreakBefore w:val="0"/>
              <w:widowControl w:val="0"/>
              <w:kinsoku/>
              <w:wordWrap w:val="0"/>
              <w:overflowPunct/>
              <w:topLinePunct w:val="0"/>
              <w:autoSpaceDE/>
              <w:autoSpaceDN/>
              <w:bidi w:val="0"/>
              <w:snapToGrid/>
              <w:spacing w:before="121"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z w:val="21"/>
                <w:szCs w:val="21"/>
                <w:highlight w:val="none"/>
              </w:rPr>
              <w:t>净资产收益率</w:t>
            </w:r>
          </w:p>
        </w:tc>
        <w:tc>
          <w:tcPr>
            <w:tcW w:w="900" w:type="dxa"/>
            <w:tcBorders>
              <w:top w:val="single" w:color="000000" w:sz="6" w:space="0"/>
              <w:left w:val="single" w:color="000000" w:sz="6" w:space="0"/>
              <w:bottom w:val="single" w:color="000000" w:sz="6" w:space="0"/>
              <w:right w:val="single" w:color="000000" w:sz="6" w:space="0"/>
            </w:tcBorders>
          </w:tcPr>
          <w:p w14:paraId="50B49DCB">
            <w:pPr>
              <w:pStyle w:val="38"/>
              <w:keepNext w:val="0"/>
              <w:keepLines w:val="0"/>
              <w:pageBreakBefore w:val="0"/>
              <w:widowControl w:val="0"/>
              <w:kinsoku/>
              <w:wordWrap w:val="0"/>
              <w:overflowPunct/>
              <w:topLinePunct w:val="0"/>
              <w:autoSpaceDE/>
              <w:autoSpaceDN/>
              <w:bidi w:val="0"/>
              <w:snapToGrid/>
              <w:spacing w:before="168"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68885C4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648BFF33">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226E9D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3A794D0F">
        <w:tblPrEx>
          <w:tblCellMar>
            <w:top w:w="0" w:type="dxa"/>
            <w:left w:w="0" w:type="dxa"/>
            <w:bottom w:w="0" w:type="dxa"/>
            <w:right w:w="0" w:type="dxa"/>
          </w:tblCellMar>
        </w:tblPrEx>
        <w:trPr>
          <w:trHeight w:val="577" w:hRule="exact"/>
          <w:jc w:val="center"/>
        </w:trPr>
        <w:tc>
          <w:tcPr>
            <w:tcW w:w="4066" w:type="dxa"/>
            <w:tcBorders>
              <w:top w:val="single" w:color="000000" w:sz="6" w:space="0"/>
              <w:left w:val="single" w:color="000000" w:sz="6" w:space="0"/>
              <w:bottom w:val="single" w:color="000000" w:sz="6" w:space="0"/>
              <w:right w:val="single" w:color="000000" w:sz="6" w:space="0"/>
            </w:tcBorders>
          </w:tcPr>
          <w:p w14:paraId="623DEFE1">
            <w:pPr>
              <w:pStyle w:val="38"/>
              <w:keepNext w:val="0"/>
              <w:keepLines w:val="0"/>
              <w:pageBreakBefore w:val="0"/>
              <w:widowControl w:val="0"/>
              <w:kinsoku/>
              <w:wordWrap w:val="0"/>
              <w:overflowPunct/>
              <w:topLinePunct w:val="0"/>
              <w:autoSpaceDE/>
              <w:autoSpaceDN/>
              <w:bidi w:val="0"/>
              <w:snapToGrid/>
              <w:spacing w:before="120"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pacing w:val="51"/>
                <w:sz w:val="21"/>
                <w:szCs w:val="21"/>
                <w:highlight w:val="none"/>
              </w:rPr>
              <w:t xml:space="preserve"> </w:t>
            </w:r>
            <w:r>
              <w:rPr>
                <w:rFonts w:hint="eastAsia" w:ascii="宋体" w:hAnsi="宋体" w:eastAsia="宋体" w:cs="宋体"/>
                <w:color w:val="auto"/>
                <w:sz w:val="21"/>
                <w:szCs w:val="21"/>
                <w:highlight w:val="none"/>
              </w:rPr>
              <w:t>总资产报酬率</w:t>
            </w:r>
          </w:p>
        </w:tc>
        <w:tc>
          <w:tcPr>
            <w:tcW w:w="900" w:type="dxa"/>
            <w:tcBorders>
              <w:top w:val="single" w:color="000000" w:sz="6" w:space="0"/>
              <w:left w:val="single" w:color="000000" w:sz="6" w:space="0"/>
              <w:bottom w:val="single" w:color="000000" w:sz="6" w:space="0"/>
              <w:right w:val="single" w:color="000000" w:sz="6" w:space="0"/>
            </w:tcBorders>
          </w:tcPr>
          <w:p w14:paraId="0A43E4C2">
            <w:pPr>
              <w:pStyle w:val="38"/>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43EF23FA">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1B6DF2F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4359EA6D">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4B62CC72">
        <w:tblPrEx>
          <w:tblCellMar>
            <w:top w:w="0" w:type="dxa"/>
            <w:left w:w="0" w:type="dxa"/>
            <w:bottom w:w="0" w:type="dxa"/>
            <w:right w:w="0" w:type="dxa"/>
          </w:tblCellMar>
        </w:tblPrEx>
        <w:trPr>
          <w:trHeight w:val="574" w:hRule="exact"/>
          <w:jc w:val="center"/>
        </w:trPr>
        <w:tc>
          <w:tcPr>
            <w:tcW w:w="4066" w:type="dxa"/>
            <w:tcBorders>
              <w:top w:val="single" w:color="000000" w:sz="6" w:space="0"/>
              <w:left w:val="single" w:color="000000" w:sz="6" w:space="0"/>
              <w:bottom w:val="single" w:color="000000" w:sz="6" w:space="0"/>
              <w:right w:val="single" w:color="000000" w:sz="6" w:space="0"/>
            </w:tcBorders>
          </w:tcPr>
          <w:p w14:paraId="7D46616E">
            <w:pPr>
              <w:pStyle w:val="38"/>
              <w:keepNext w:val="0"/>
              <w:keepLines w:val="0"/>
              <w:pageBreakBefore w:val="0"/>
              <w:widowControl w:val="0"/>
              <w:kinsoku/>
              <w:wordWrap w:val="0"/>
              <w:overflowPunct/>
              <w:topLinePunct w:val="0"/>
              <w:autoSpaceDE/>
              <w:autoSpaceDN/>
              <w:bidi w:val="0"/>
              <w:snapToGrid/>
              <w:spacing w:before="119"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主营业务利润率</w:t>
            </w:r>
          </w:p>
        </w:tc>
        <w:tc>
          <w:tcPr>
            <w:tcW w:w="900" w:type="dxa"/>
            <w:tcBorders>
              <w:top w:val="single" w:color="000000" w:sz="6" w:space="0"/>
              <w:left w:val="single" w:color="000000" w:sz="6" w:space="0"/>
              <w:bottom w:val="single" w:color="000000" w:sz="6" w:space="0"/>
              <w:right w:val="single" w:color="000000" w:sz="6" w:space="0"/>
            </w:tcBorders>
          </w:tcPr>
          <w:p w14:paraId="78ED0AAA">
            <w:pPr>
              <w:pStyle w:val="38"/>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116C872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2A27BC1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1E53F740">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5B6B77EC">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tcPr>
          <w:p w14:paraId="7ADE9114">
            <w:pPr>
              <w:pStyle w:val="38"/>
              <w:keepNext w:val="0"/>
              <w:keepLines w:val="0"/>
              <w:pageBreakBefore w:val="0"/>
              <w:widowControl w:val="0"/>
              <w:kinsoku/>
              <w:wordWrap w:val="0"/>
              <w:overflowPunct/>
              <w:topLinePunct w:val="0"/>
              <w:autoSpaceDE/>
              <w:autoSpaceDN/>
              <w:bidi w:val="0"/>
              <w:snapToGrid/>
              <w:spacing w:before="119" w:line="240" w:lineRule="auto"/>
              <w:ind w:left="945"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资产负债率</w:t>
            </w:r>
          </w:p>
        </w:tc>
        <w:tc>
          <w:tcPr>
            <w:tcW w:w="900" w:type="dxa"/>
            <w:tcBorders>
              <w:top w:val="single" w:color="000000" w:sz="6" w:space="0"/>
              <w:left w:val="single" w:color="000000" w:sz="6" w:space="0"/>
              <w:bottom w:val="single" w:color="000000" w:sz="6" w:space="0"/>
              <w:right w:val="single" w:color="000000" w:sz="6" w:space="0"/>
            </w:tcBorders>
          </w:tcPr>
          <w:p w14:paraId="72A56637">
            <w:pPr>
              <w:pStyle w:val="38"/>
              <w:keepNext w:val="0"/>
              <w:keepLines w:val="0"/>
              <w:pageBreakBefore w:val="0"/>
              <w:widowControl w:val="0"/>
              <w:kinsoku/>
              <w:wordWrap w:val="0"/>
              <w:overflowPunct/>
              <w:topLinePunct w:val="0"/>
              <w:autoSpaceDE/>
              <w:autoSpaceDN/>
              <w:bidi w:val="0"/>
              <w:snapToGrid/>
              <w:spacing w:before="166" w:line="240" w:lineRule="auto"/>
              <w:ind w:left="14" w:right="0"/>
              <w:jc w:val="center"/>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tcPr>
          <w:p w14:paraId="31F42B6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tcPr>
          <w:p w14:paraId="0BDD9DE6">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tcPr>
          <w:p w14:paraId="6CECC3DF">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1A59A9F3">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vAlign w:val="top"/>
          </w:tcPr>
          <w:p w14:paraId="6D187FFE">
            <w:pPr>
              <w:pStyle w:val="38"/>
              <w:keepNext w:val="0"/>
              <w:keepLines w:val="0"/>
              <w:pageBreakBefore w:val="0"/>
              <w:widowControl w:val="0"/>
              <w:kinsoku/>
              <w:wordWrap w:val="0"/>
              <w:overflowPunct/>
              <w:topLinePunct w:val="0"/>
              <w:autoSpaceDE/>
              <w:autoSpaceDN/>
              <w:bidi w:val="0"/>
              <w:snapToGrid/>
              <w:spacing w:before="119" w:line="240" w:lineRule="auto"/>
              <w:ind w:left="945"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pacing w:val="52"/>
                <w:sz w:val="21"/>
                <w:szCs w:val="21"/>
                <w:highlight w:val="none"/>
              </w:rPr>
              <w:t xml:space="preserve"> </w:t>
            </w:r>
            <w:r>
              <w:rPr>
                <w:rFonts w:hint="eastAsia" w:ascii="宋体" w:hAnsi="宋体" w:eastAsia="宋体" w:cs="宋体"/>
                <w:color w:val="auto"/>
                <w:sz w:val="21"/>
                <w:szCs w:val="21"/>
                <w:highlight w:val="none"/>
              </w:rPr>
              <w:t>流动比率</w:t>
            </w:r>
          </w:p>
        </w:tc>
        <w:tc>
          <w:tcPr>
            <w:tcW w:w="900" w:type="dxa"/>
            <w:tcBorders>
              <w:top w:val="single" w:color="000000" w:sz="6" w:space="0"/>
              <w:left w:val="single" w:color="000000" w:sz="6" w:space="0"/>
              <w:bottom w:val="single" w:color="000000" w:sz="6" w:space="0"/>
              <w:right w:val="single" w:color="000000" w:sz="6" w:space="0"/>
            </w:tcBorders>
            <w:vAlign w:val="top"/>
          </w:tcPr>
          <w:p w14:paraId="574AC05C">
            <w:pPr>
              <w:pStyle w:val="38"/>
              <w:keepNext w:val="0"/>
              <w:keepLines w:val="0"/>
              <w:pageBreakBefore w:val="0"/>
              <w:widowControl w:val="0"/>
              <w:kinsoku/>
              <w:wordWrap w:val="0"/>
              <w:overflowPunct/>
              <w:topLinePunct w:val="0"/>
              <w:autoSpaceDE/>
              <w:autoSpaceDN/>
              <w:bidi w:val="0"/>
              <w:snapToGrid/>
              <w:spacing w:before="166" w:line="240" w:lineRule="auto"/>
              <w:ind w:left="14" w:leftChars="0" w:right="0" w:rightChars="0"/>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vAlign w:val="top"/>
          </w:tcPr>
          <w:p w14:paraId="1A0B8AF8">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vAlign w:val="top"/>
          </w:tcPr>
          <w:p w14:paraId="2E218D24">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vAlign w:val="top"/>
          </w:tcPr>
          <w:p w14:paraId="77D3728C">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r w14:paraId="06A953BC">
        <w:tblPrEx>
          <w:tblCellMar>
            <w:top w:w="0" w:type="dxa"/>
            <w:left w:w="0" w:type="dxa"/>
            <w:bottom w:w="0" w:type="dxa"/>
            <w:right w:w="0" w:type="dxa"/>
          </w:tblCellMar>
        </w:tblPrEx>
        <w:trPr>
          <w:trHeight w:val="576" w:hRule="exact"/>
          <w:jc w:val="center"/>
        </w:trPr>
        <w:tc>
          <w:tcPr>
            <w:tcW w:w="4066" w:type="dxa"/>
            <w:tcBorders>
              <w:top w:val="single" w:color="000000" w:sz="6" w:space="0"/>
              <w:left w:val="single" w:color="000000" w:sz="6" w:space="0"/>
              <w:bottom w:val="single" w:color="000000" w:sz="6" w:space="0"/>
              <w:right w:val="single" w:color="000000" w:sz="6" w:space="0"/>
            </w:tcBorders>
            <w:vAlign w:val="top"/>
          </w:tcPr>
          <w:p w14:paraId="62C70496">
            <w:pPr>
              <w:pStyle w:val="38"/>
              <w:keepNext w:val="0"/>
              <w:keepLines w:val="0"/>
              <w:pageBreakBefore w:val="0"/>
              <w:widowControl w:val="0"/>
              <w:kinsoku/>
              <w:wordWrap w:val="0"/>
              <w:overflowPunct/>
              <w:topLinePunct w:val="0"/>
              <w:autoSpaceDE/>
              <w:autoSpaceDN/>
              <w:bidi w:val="0"/>
              <w:snapToGrid/>
              <w:spacing w:before="121" w:line="240" w:lineRule="auto"/>
              <w:ind w:left="945" w:leftChars="0" w:right="0" w:right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w:t>
            </w:r>
            <w:r>
              <w:rPr>
                <w:rFonts w:hint="eastAsia" w:ascii="宋体" w:hAnsi="宋体" w:eastAsia="宋体" w:cs="宋体"/>
                <w:color w:val="auto"/>
                <w:spacing w:val="8"/>
                <w:sz w:val="21"/>
                <w:szCs w:val="21"/>
                <w:highlight w:val="none"/>
              </w:rPr>
              <w:t xml:space="preserve"> </w:t>
            </w:r>
            <w:r>
              <w:rPr>
                <w:rFonts w:hint="eastAsia" w:ascii="宋体" w:hAnsi="宋体" w:eastAsia="宋体" w:cs="宋体"/>
                <w:color w:val="auto"/>
                <w:spacing w:val="-3"/>
                <w:sz w:val="21"/>
                <w:szCs w:val="21"/>
                <w:highlight w:val="none"/>
              </w:rPr>
              <w:t>速动比率</w:t>
            </w:r>
          </w:p>
        </w:tc>
        <w:tc>
          <w:tcPr>
            <w:tcW w:w="900" w:type="dxa"/>
            <w:tcBorders>
              <w:top w:val="single" w:color="000000" w:sz="6" w:space="0"/>
              <w:left w:val="single" w:color="000000" w:sz="6" w:space="0"/>
              <w:bottom w:val="single" w:color="000000" w:sz="6" w:space="0"/>
              <w:right w:val="single" w:color="000000" w:sz="6" w:space="0"/>
            </w:tcBorders>
            <w:vAlign w:val="top"/>
          </w:tcPr>
          <w:p w14:paraId="31678BEC">
            <w:pPr>
              <w:pStyle w:val="38"/>
              <w:keepNext w:val="0"/>
              <w:keepLines w:val="0"/>
              <w:pageBreakBefore w:val="0"/>
              <w:widowControl w:val="0"/>
              <w:kinsoku/>
              <w:wordWrap w:val="0"/>
              <w:overflowPunct/>
              <w:topLinePunct w:val="0"/>
              <w:autoSpaceDE/>
              <w:autoSpaceDN/>
              <w:bidi w:val="0"/>
              <w:snapToGrid/>
              <w:spacing w:before="168" w:line="240" w:lineRule="auto"/>
              <w:ind w:left="14" w:leftChars="0" w:right="0" w:rightChars="0"/>
              <w:jc w:val="center"/>
              <w:rPr>
                <w:rFonts w:hint="eastAsia" w:ascii="宋体" w:hAnsi="宋体" w:eastAsia="宋体" w:cs="宋体"/>
                <w:color w:val="auto"/>
                <w:w w:val="100"/>
                <w:sz w:val="21"/>
                <w:szCs w:val="21"/>
                <w:highlight w:val="none"/>
              </w:rPr>
            </w:pPr>
            <w:r>
              <w:rPr>
                <w:rFonts w:hint="eastAsia" w:ascii="宋体" w:hAnsi="宋体" w:eastAsia="宋体" w:cs="宋体"/>
                <w:color w:val="auto"/>
                <w:w w:val="100"/>
                <w:sz w:val="21"/>
                <w:szCs w:val="21"/>
                <w:highlight w:val="none"/>
              </w:rPr>
              <w:t>%</w:t>
            </w:r>
          </w:p>
        </w:tc>
        <w:tc>
          <w:tcPr>
            <w:tcW w:w="1320" w:type="dxa"/>
            <w:tcBorders>
              <w:top w:val="single" w:color="000000" w:sz="6" w:space="0"/>
              <w:left w:val="single" w:color="000000" w:sz="6" w:space="0"/>
              <w:bottom w:val="single" w:color="000000" w:sz="6" w:space="0"/>
              <w:right w:val="single" w:color="000000" w:sz="6" w:space="0"/>
            </w:tcBorders>
            <w:vAlign w:val="top"/>
          </w:tcPr>
          <w:p w14:paraId="0FF59CF7">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1" w:type="dxa"/>
            <w:tcBorders>
              <w:top w:val="single" w:color="000000" w:sz="6" w:space="0"/>
              <w:left w:val="single" w:color="000000" w:sz="6" w:space="0"/>
              <w:bottom w:val="single" w:color="000000" w:sz="6" w:space="0"/>
              <w:right w:val="single" w:color="000000" w:sz="6" w:space="0"/>
            </w:tcBorders>
            <w:vAlign w:val="top"/>
          </w:tcPr>
          <w:p w14:paraId="0D72AC85">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c>
          <w:tcPr>
            <w:tcW w:w="1320" w:type="dxa"/>
            <w:tcBorders>
              <w:top w:val="single" w:color="000000" w:sz="6" w:space="0"/>
              <w:left w:val="single" w:color="000000" w:sz="6" w:space="0"/>
              <w:bottom w:val="single" w:color="000000" w:sz="6" w:space="0"/>
              <w:right w:val="single" w:color="000000" w:sz="6" w:space="0"/>
            </w:tcBorders>
            <w:vAlign w:val="top"/>
          </w:tcPr>
          <w:p w14:paraId="1E2DE56E">
            <w:pPr>
              <w:keepNext w:val="0"/>
              <w:keepLines w:val="0"/>
              <w:pageBreakBefore w:val="0"/>
              <w:widowControl w:val="0"/>
              <w:kinsoku/>
              <w:wordWrap w:val="0"/>
              <w:overflowPunct/>
              <w:topLinePunct w:val="0"/>
              <w:autoSpaceDE/>
              <w:autoSpaceDN/>
              <w:bidi w:val="0"/>
              <w:snapToGrid/>
              <w:rPr>
                <w:rFonts w:hint="eastAsia" w:ascii="宋体" w:hAnsi="宋体" w:eastAsia="宋体" w:cs="宋体"/>
                <w:color w:val="auto"/>
                <w:sz w:val="21"/>
                <w:szCs w:val="21"/>
                <w:highlight w:val="none"/>
              </w:rPr>
            </w:pPr>
          </w:p>
        </w:tc>
      </w:tr>
    </w:tbl>
    <w:p w14:paraId="23DAE69B">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396"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cs="宋体"/>
          <w:color w:val="auto"/>
          <w:spacing w:val="-6"/>
          <w:sz w:val="21"/>
          <w:szCs w:val="21"/>
          <w:highlight w:val="none"/>
          <w:lang w:val="en-US" w:eastAsia="zh-CN"/>
        </w:rPr>
        <w:t xml:space="preserve"> </w:t>
      </w:r>
      <w:r>
        <w:rPr>
          <w:rFonts w:hint="eastAsia" w:ascii="宋体" w:hAnsi="宋体" w:eastAsia="宋体" w:cs="宋体"/>
          <w:color w:val="auto"/>
          <w:spacing w:val="-6"/>
          <w:sz w:val="21"/>
          <w:szCs w:val="21"/>
          <w:highlight w:val="none"/>
        </w:rPr>
        <w:t xml:space="preserve">1.投标人应根据招标文件第二章“投标人须知”第 </w:t>
      </w:r>
      <w:r>
        <w:rPr>
          <w:rFonts w:hint="eastAsia" w:ascii="宋体" w:hAnsi="宋体" w:eastAsia="宋体" w:cs="宋体"/>
          <w:color w:val="auto"/>
          <w:sz w:val="21"/>
          <w:szCs w:val="21"/>
          <w:highlight w:val="none"/>
        </w:rPr>
        <w:t>3.5.2</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6A7BCC48">
      <w:pPr>
        <w:keepNext w:val="0"/>
        <w:keepLines w:val="0"/>
        <w:pageBreakBefore w:val="0"/>
        <w:widowControl w:val="0"/>
        <w:kinsoku/>
        <w:wordWrap w:val="0"/>
        <w:overflowPunct/>
        <w:topLinePunct w:val="0"/>
        <w:autoSpaceDE/>
        <w:autoSpaceDN/>
        <w:bidi w:val="0"/>
        <w:adjustRightInd/>
        <w:snapToGrid/>
        <w:ind w:left="0" w:right="0" w:firstLine="840" w:firstLineChars="400"/>
        <w:jc w:val="left"/>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2.本表所列数据必须与本表各附件中的数据相一致。</w:t>
      </w:r>
    </w:p>
    <w:p w14:paraId="38EF0BEE">
      <w:pPr>
        <w:pStyle w:val="38"/>
        <w:keepNext w:val="0"/>
        <w:keepLines w:val="0"/>
        <w:pageBreakBefore w:val="0"/>
        <w:widowControl w:val="0"/>
        <w:kinsoku/>
        <w:wordWrap w:val="0"/>
        <w:overflowPunct/>
        <w:topLinePunct w:val="0"/>
        <w:autoSpaceDE/>
        <w:autoSpaceDN/>
        <w:bidi w:val="0"/>
        <w:snapToGrid/>
        <w:spacing w:before="119" w:line="240" w:lineRule="auto"/>
        <w:ind w:right="0"/>
        <w:jc w:val="left"/>
        <w:rPr>
          <w:rFonts w:hint="eastAsia" w:ascii="宋体" w:hAnsi="宋体" w:eastAsia="宋体" w:cs="宋体"/>
          <w:color w:val="auto"/>
          <w:sz w:val="21"/>
          <w:szCs w:val="21"/>
          <w:highlight w:val="none"/>
        </w:rPr>
        <w:sectPr>
          <w:headerReference r:id="rId9" w:type="default"/>
          <w:footerReference r:id="rId10" w:type="default"/>
          <w:pgSz w:w="11910" w:h="16850"/>
          <w:pgMar w:top="1587" w:right="1417" w:bottom="1417" w:left="1417" w:header="0" w:footer="1071" w:gutter="0"/>
          <w:pgNumType w:fmt="decimal"/>
          <w:cols w:space="0" w:num="1"/>
          <w:rtlGutter w:val="0"/>
          <w:docGrid w:linePitch="0" w:charSpace="0"/>
        </w:sectPr>
      </w:pPr>
    </w:p>
    <w:p w14:paraId="4B63835D">
      <w:pPr>
        <w:keepNext w:val="0"/>
        <w:keepLines w:val="0"/>
        <w:pageBreakBefore w:val="0"/>
        <w:widowControl w:val="0"/>
        <w:kinsoku/>
        <w:wordWrap w:val="0"/>
        <w:overflowPunct/>
        <w:topLinePunct w:val="0"/>
        <w:autoSpaceDE/>
        <w:autoSpaceDN/>
        <w:bidi w:val="0"/>
        <w:adjustRightInd w:val="0"/>
        <w:snapToGrid/>
        <w:spacing w:after="0" w:afterLines="100" w:line="360" w:lineRule="auto"/>
        <w:ind w:right="-34" w:rightChars="-16"/>
        <w:jc w:val="center"/>
        <w:textAlignment w:val="auto"/>
        <w:outlineLvl w:val="9"/>
        <w:rPr>
          <w:rFonts w:ascii="宋体" w:hAnsi="宋体" w:cs="宋体"/>
          <w:b/>
          <w:bCs/>
          <w:color w:val="auto"/>
          <w:kern w:val="0"/>
          <w:sz w:val="28"/>
          <w:szCs w:val="28"/>
          <w:highlight w:val="none"/>
        </w:rPr>
      </w:pPr>
      <w:bookmarkStart w:id="672" w:name="_Toc214434004"/>
      <w:bookmarkStart w:id="673" w:name="_Toc513740276"/>
      <w:bookmarkStart w:id="674" w:name="_Toc12036"/>
      <w:bookmarkStart w:id="675" w:name="_Toc227492360"/>
      <w:bookmarkStart w:id="676" w:name="_Toc37747015"/>
      <w:bookmarkStart w:id="677" w:name="_Toc38738913"/>
      <w:bookmarkStart w:id="678" w:name="_Toc228337213"/>
      <w:bookmarkStart w:id="679" w:name="_Toc272772684"/>
      <w:bookmarkStart w:id="680" w:name="_Toc227657602"/>
      <w:bookmarkStart w:id="681" w:name="_Toc228591772"/>
      <w:bookmarkStart w:id="682" w:name="_Toc500864554"/>
      <w:bookmarkStart w:id="683" w:name="_Toc37422299"/>
      <w:bookmarkStart w:id="684" w:name="_Toc26594"/>
      <w:bookmarkStart w:id="685" w:name="_Toc228589278"/>
      <w:bookmarkStart w:id="686" w:name="_Toc431367159"/>
      <w:bookmarkStart w:id="687" w:name="_Toc228881264"/>
      <w:bookmarkStart w:id="688" w:name="_Toc228591624"/>
      <w:r>
        <w:rPr>
          <w:rFonts w:hint="eastAsia" w:ascii="宋体" w:hAnsi="宋体" w:cs="宋体"/>
          <w:b/>
          <w:bCs/>
          <w:color w:val="auto"/>
          <w:kern w:val="0"/>
          <w:sz w:val="28"/>
          <w:szCs w:val="28"/>
          <w:highlight w:val="none"/>
        </w:rPr>
        <w:t>（</w:t>
      </w:r>
      <w:r>
        <w:rPr>
          <w:rFonts w:hint="eastAsia" w:ascii="宋体" w:hAnsi="宋体" w:cs="宋体"/>
          <w:b/>
          <w:bCs/>
          <w:color w:val="auto"/>
          <w:kern w:val="0"/>
          <w:sz w:val="28"/>
          <w:szCs w:val="28"/>
          <w:highlight w:val="none"/>
          <w:lang w:eastAsia="zh-CN"/>
        </w:rPr>
        <w:t>四</w:t>
      </w:r>
      <w:r>
        <w:rPr>
          <w:rFonts w:hint="eastAsia" w:ascii="宋体" w:hAnsi="宋体" w:cs="宋体"/>
          <w:b/>
          <w:bCs/>
          <w:color w:val="auto"/>
          <w:kern w:val="0"/>
          <w:sz w:val="28"/>
          <w:szCs w:val="28"/>
          <w:highlight w:val="none"/>
        </w:rPr>
        <w:t>）近年类似项目情况表</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8"/>
        <w:gridCol w:w="6688"/>
      </w:tblGrid>
      <w:tr w14:paraId="4204B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7DF03E0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项目名称</w:t>
            </w:r>
          </w:p>
        </w:tc>
        <w:tc>
          <w:tcPr>
            <w:tcW w:w="6688" w:type="dxa"/>
            <w:vAlign w:val="center"/>
          </w:tcPr>
          <w:p w14:paraId="38062A99">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6276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52AC8FF9">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项目所在地</w:t>
            </w:r>
          </w:p>
        </w:tc>
        <w:tc>
          <w:tcPr>
            <w:tcW w:w="6688" w:type="dxa"/>
            <w:vAlign w:val="center"/>
          </w:tcPr>
          <w:p w14:paraId="7EBD20C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58041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31697D9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发包人名称</w:t>
            </w:r>
          </w:p>
        </w:tc>
        <w:tc>
          <w:tcPr>
            <w:tcW w:w="6688" w:type="dxa"/>
            <w:vAlign w:val="center"/>
          </w:tcPr>
          <w:p w14:paraId="10FD368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763A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145A03A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发包人地址</w:t>
            </w:r>
          </w:p>
        </w:tc>
        <w:tc>
          <w:tcPr>
            <w:tcW w:w="6688" w:type="dxa"/>
            <w:vAlign w:val="center"/>
          </w:tcPr>
          <w:p w14:paraId="1B6E113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6D89D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13986D09">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发包人电话</w:t>
            </w:r>
          </w:p>
        </w:tc>
        <w:tc>
          <w:tcPr>
            <w:tcW w:w="6688" w:type="dxa"/>
            <w:vAlign w:val="center"/>
          </w:tcPr>
          <w:p w14:paraId="4B240B0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D06F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1CF16E58">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合同价格</w:t>
            </w:r>
          </w:p>
        </w:tc>
        <w:tc>
          <w:tcPr>
            <w:tcW w:w="6688" w:type="dxa"/>
            <w:vAlign w:val="center"/>
          </w:tcPr>
          <w:p w14:paraId="43BEE09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403B6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535ED2AB">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开工日期</w:t>
            </w:r>
          </w:p>
        </w:tc>
        <w:tc>
          <w:tcPr>
            <w:tcW w:w="6688" w:type="dxa"/>
            <w:vAlign w:val="center"/>
          </w:tcPr>
          <w:p w14:paraId="2F36444C">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D74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0AC5FA54">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竣工日期</w:t>
            </w:r>
          </w:p>
        </w:tc>
        <w:tc>
          <w:tcPr>
            <w:tcW w:w="6688" w:type="dxa"/>
            <w:vAlign w:val="center"/>
          </w:tcPr>
          <w:p w14:paraId="51FC8EEF">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229A9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154BC1A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承担的工作</w:t>
            </w:r>
          </w:p>
        </w:tc>
        <w:tc>
          <w:tcPr>
            <w:tcW w:w="6688" w:type="dxa"/>
            <w:vAlign w:val="center"/>
          </w:tcPr>
          <w:p w14:paraId="3DBF3D5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49B4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3FE1374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工程质量</w:t>
            </w:r>
          </w:p>
        </w:tc>
        <w:tc>
          <w:tcPr>
            <w:tcW w:w="6688" w:type="dxa"/>
            <w:vAlign w:val="center"/>
          </w:tcPr>
          <w:p w14:paraId="20F4A636">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4DF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3B7396BC">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项目经理</w:t>
            </w:r>
          </w:p>
        </w:tc>
        <w:tc>
          <w:tcPr>
            <w:tcW w:w="6688" w:type="dxa"/>
            <w:vAlign w:val="center"/>
          </w:tcPr>
          <w:p w14:paraId="3F252D81">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788E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678" w:type="dxa"/>
            <w:vAlign w:val="center"/>
          </w:tcPr>
          <w:p w14:paraId="38B23DC5">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技术负责人</w:t>
            </w:r>
          </w:p>
        </w:tc>
        <w:tc>
          <w:tcPr>
            <w:tcW w:w="6688" w:type="dxa"/>
            <w:vAlign w:val="center"/>
          </w:tcPr>
          <w:p w14:paraId="17BE8E7B">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76AB3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7A19ED52">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总监理工程师及电话</w:t>
            </w:r>
          </w:p>
        </w:tc>
        <w:tc>
          <w:tcPr>
            <w:tcW w:w="6688" w:type="dxa"/>
            <w:vAlign w:val="center"/>
          </w:tcPr>
          <w:p w14:paraId="239D9F2A">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71D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2678" w:type="dxa"/>
            <w:vAlign w:val="center"/>
          </w:tcPr>
          <w:p w14:paraId="7B48A45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项目描述</w:t>
            </w:r>
          </w:p>
        </w:tc>
        <w:tc>
          <w:tcPr>
            <w:tcW w:w="6688" w:type="dxa"/>
            <w:vAlign w:val="center"/>
          </w:tcPr>
          <w:p w14:paraId="33525B9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r w14:paraId="0F5B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678" w:type="dxa"/>
            <w:vAlign w:val="center"/>
          </w:tcPr>
          <w:p w14:paraId="3F59D1A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r>
              <w:rPr>
                <w:rFonts w:hint="eastAsia" w:ascii="宋体" w:hAnsi="宋体" w:cs="宋体"/>
                <w:color w:val="auto"/>
                <w:kern w:val="0"/>
                <w:highlight w:val="none"/>
              </w:rPr>
              <w:t>备注</w:t>
            </w:r>
          </w:p>
        </w:tc>
        <w:tc>
          <w:tcPr>
            <w:tcW w:w="6688" w:type="dxa"/>
            <w:vAlign w:val="center"/>
          </w:tcPr>
          <w:p w14:paraId="01DFE91E">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rPr>
                <w:rFonts w:ascii="宋体" w:hAnsi="宋体" w:cs="宋体"/>
                <w:color w:val="auto"/>
                <w:kern w:val="0"/>
                <w:highlight w:val="none"/>
              </w:rPr>
            </w:pPr>
          </w:p>
        </w:tc>
      </w:tr>
    </w:tbl>
    <w:p w14:paraId="0F817A89">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210" w:firstLineChars="100"/>
        <w:jc w:val="left"/>
        <w:textAlignment w:val="auto"/>
        <w:rPr>
          <w:rFonts w:hint="eastAsia" w:ascii="宋体" w:hAnsi="宋体" w:eastAsia="宋体" w:cs="宋体"/>
          <w:color w:val="auto"/>
          <w:sz w:val="21"/>
          <w:szCs w:val="21"/>
          <w:highlight w:val="none"/>
        </w:rPr>
      </w:pPr>
      <w:bookmarkStart w:id="689" w:name="_Toc228337214"/>
      <w:bookmarkStart w:id="690" w:name="_Toc227657603"/>
      <w:bookmarkStart w:id="691" w:name="_Toc272772685"/>
      <w:bookmarkStart w:id="692" w:name="_Toc228881265"/>
      <w:bookmarkStart w:id="693" w:name="_Toc228591625"/>
      <w:bookmarkStart w:id="694" w:name="_Toc214434005"/>
      <w:bookmarkStart w:id="695" w:name="_Toc228591773"/>
      <w:bookmarkStart w:id="696" w:name="_Toc431367160"/>
      <w:bookmarkStart w:id="697" w:name="_Toc227492361"/>
      <w:bookmarkStart w:id="698" w:name="_Toc228589279"/>
      <w:r>
        <w:rPr>
          <w:rFonts w:hint="eastAsia" w:ascii="宋体" w:hAnsi="宋体" w:eastAsia="宋体" w:cs="宋体"/>
          <w:color w:val="auto"/>
          <w:sz w:val="21"/>
          <w:szCs w:val="21"/>
          <w:highlight w:val="none"/>
        </w:rPr>
        <w:t>注：1.每张表格只填写一个项目，并标明序号。</w:t>
      </w:r>
    </w:p>
    <w:p w14:paraId="530501EC">
      <w:pPr>
        <w:keepNext w:val="0"/>
        <w:keepLines w:val="0"/>
        <w:pageBreakBefore w:val="0"/>
        <w:widowControl w:val="0"/>
        <w:kinsoku/>
        <w:wordWrap w:val="0"/>
        <w:overflowPunct/>
        <w:topLinePunct w:val="0"/>
        <w:autoSpaceDE/>
        <w:autoSpaceDN/>
        <w:bidi w:val="0"/>
        <w:adjustRightInd/>
        <w:snapToGrid/>
        <w:spacing w:line="360" w:lineRule="auto"/>
        <w:ind w:left="644" w:righ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2.投标人应根据招标文件第二章“投标人须知”第 </w:t>
      </w:r>
      <w:r>
        <w:rPr>
          <w:rFonts w:hint="eastAsia" w:ascii="宋体" w:hAnsi="宋体" w:eastAsia="宋体" w:cs="宋体"/>
          <w:color w:val="auto"/>
          <w:sz w:val="21"/>
          <w:szCs w:val="21"/>
          <w:highlight w:val="none"/>
        </w:rPr>
        <w:t>3.5.3</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z w:val="21"/>
          <w:szCs w:val="21"/>
          <w:highlight w:val="none"/>
        </w:rPr>
        <w:t>项的要求在本表后附相关证明材料。</w:t>
      </w:r>
    </w:p>
    <w:p w14:paraId="23BF4183">
      <w:pPr>
        <w:keepNext w:val="0"/>
        <w:keepLines w:val="0"/>
        <w:pageBreakBefore w:val="0"/>
        <w:widowControl w:val="0"/>
        <w:kinsoku/>
        <w:wordWrap w:val="0"/>
        <w:overflowPunct/>
        <w:topLinePunct w:val="0"/>
        <w:autoSpaceDE/>
        <w:autoSpaceDN/>
        <w:bidi w:val="0"/>
        <w:adjustRightInd/>
        <w:snapToGrid/>
        <w:spacing w:line="360" w:lineRule="auto"/>
        <w:ind w:left="812" w:right="0" w:hanging="16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3.如近年来</w:t>
      </w:r>
      <w:r>
        <w:rPr>
          <w:rFonts w:hint="eastAsia" w:ascii="宋体" w:hAnsi="宋体" w:eastAsia="宋体" w:cs="宋体"/>
          <w:color w:val="auto"/>
          <w:spacing w:val="-4"/>
          <w:sz w:val="21"/>
          <w:szCs w:val="21"/>
          <w:highlight w:val="none"/>
          <w:lang w:eastAsia="zh-CN"/>
        </w:rPr>
        <w:t>，</w:t>
      </w:r>
      <w:r>
        <w:rPr>
          <w:rFonts w:hint="eastAsia" w:ascii="宋体" w:hAnsi="宋体" w:eastAsia="宋体" w:cs="宋体"/>
          <w:color w:val="auto"/>
          <w:spacing w:val="-4"/>
          <w:sz w:val="21"/>
          <w:szCs w:val="21"/>
          <w:highlight w:val="none"/>
        </w:rPr>
        <w:t>投标人法人机构发生合法变更或重组或法人名称变更时，应提供相关部门的合</w:t>
      </w:r>
      <w:r>
        <w:rPr>
          <w:rFonts w:hint="eastAsia" w:ascii="宋体" w:hAnsi="宋体" w:eastAsia="宋体" w:cs="宋体"/>
          <w:color w:val="auto"/>
          <w:spacing w:val="-41"/>
          <w:sz w:val="21"/>
          <w:szCs w:val="21"/>
          <w:highlight w:val="none"/>
        </w:rPr>
        <w:t xml:space="preserve"> </w:t>
      </w:r>
      <w:r>
        <w:rPr>
          <w:rFonts w:hint="eastAsia" w:ascii="宋体" w:hAnsi="宋体" w:eastAsia="宋体" w:cs="宋体"/>
          <w:color w:val="auto"/>
          <w:sz w:val="21"/>
          <w:szCs w:val="21"/>
          <w:highlight w:val="none"/>
        </w:rPr>
        <w:t>法批件或其他相关证明材料来证明其所附业绩的继承性。</w:t>
      </w:r>
    </w:p>
    <w:bookmarkEnd w:id="689"/>
    <w:bookmarkEnd w:id="690"/>
    <w:bookmarkEnd w:id="691"/>
    <w:bookmarkEnd w:id="692"/>
    <w:bookmarkEnd w:id="693"/>
    <w:bookmarkEnd w:id="694"/>
    <w:bookmarkEnd w:id="695"/>
    <w:bookmarkEnd w:id="696"/>
    <w:bookmarkEnd w:id="697"/>
    <w:bookmarkEnd w:id="698"/>
    <w:p w14:paraId="2B48C6F9">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hint="eastAsia" w:ascii="宋体" w:hAnsi="宋体" w:eastAsia="宋体" w:cs="宋体"/>
          <w:b/>
          <w:bCs/>
          <w:color w:val="auto"/>
          <w:sz w:val="28"/>
          <w:szCs w:val="28"/>
          <w:highlight w:val="none"/>
        </w:rPr>
        <w:sectPr>
          <w:headerReference r:id="rId11" w:type="default"/>
          <w:pgSz w:w="11910" w:h="16850"/>
          <w:pgMar w:top="1587" w:right="1417" w:bottom="1417" w:left="1417" w:header="883" w:footer="845" w:gutter="0"/>
          <w:pgNumType w:fmt="decimal"/>
          <w:cols w:space="720" w:num="1"/>
        </w:sectPr>
      </w:pPr>
    </w:p>
    <w:p w14:paraId="74F98842">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ascii="黑体" w:hAnsi="黑体" w:eastAsia="黑体" w:cs="黑体"/>
          <w:color w:val="auto"/>
          <w:sz w:val="13"/>
          <w:szCs w:val="13"/>
          <w:highlight w:val="none"/>
        </w:rPr>
      </w:pPr>
      <w:r>
        <w:rPr>
          <w:rFonts w:hint="eastAsia" w:ascii="宋体" w:hAnsi="宋体" w:eastAsia="宋体" w:cs="宋体"/>
          <w:b/>
          <w:bCs/>
          <w:color w:val="auto"/>
          <w:sz w:val="28"/>
          <w:szCs w:val="28"/>
          <w:highlight w:val="none"/>
        </w:rPr>
        <w:t>（五）投标人的信誉情况表</w:t>
      </w:r>
    </w:p>
    <w:tbl>
      <w:tblPr>
        <w:tblStyle w:val="29"/>
        <w:tblW w:w="0" w:type="auto"/>
        <w:jc w:val="center"/>
        <w:tblLayout w:type="fixed"/>
        <w:tblCellMar>
          <w:top w:w="0" w:type="dxa"/>
          <w:left w:w="0" w:type="dxa"/>
          <w:bottom w:w="0" w:type="dxa"/>
          <w:right w:w="0" w:type="dxa"/>
        </w:tblCellMar>
      </w:tblPr>
      <w:tblGrid>
        <w:gridCol w:w="4261"/>
        <w:gridCol w:w="4263"/>
      </w:tblGrid>
      <w:tr w14:paraId="71E325F4">
        <w:tblPrEx>
          <w:tblCellMar>
            <w:top w:w="0" w:type="dxa"/>
            <w:left w:w="0" w:type="dxa"/>
            <w:bottom w:w="0" w:type="dxa"/>
            <w:right w:w="0" w:type="dxa"/>
          </w:tblCellMar>
        </w:tblPrEx>
        <w:trPr>
          <w:trHeight w:val="106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9B0F4B6">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B414173">
            <w:pPr>
              <w:pStyle w:val="38"/>
              <w:keepNext w:val="0"/>
              <w:keepLines w:val="0"/>
              <w:pageBreakBefore w:val="0"/>
              <w:widowControl w:val="0"/>
              <w:kinsoku/>
              <w:wordWrap w:val="0"/>
              <w:overflowPunct/>
              <w:topLinePunct w:val="0"/>
              <w:autoSpaceDE/>
              <w:autoSpaceDN/>
              <w:bidi w:val="0"/>
              <w:snapToGrid/>
              <w:spacing w:before="160" w:line="240" w:lineRule="auto"/>
              <w:ind w:left="1"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项</w:t>
            </w:r>
            <w:r>
              <w:rPr>
                <w:rFonts w:ascii="宋体" w:hAnsi="宋体" w:eastAsia="宋体" w:cs="宋体"/>
                <w:color w:val="auto"/>
                <w:spacing w:val="2"/>
                <w:sz w:val="21"/>
                <w:szCs w:val="21"/>
                <w:highlight w:val="none"/>
              </w:rPr>
              <w:t xml:space="preserve"> </w:t>
            </w:r>
            <w:r>
              <w:rPr>
                <w:rFonts w:ascii="宋体" w:hAnsi="宋体" w:eastAsia="宋体" w:cs="宋体"/>
                <w:color w:val="auto"/>
                <w:sz w:val="21"/>
                <w:szCs w:val="21"/>
                <w:highlight w:val="none"/>
              </w:rPr>
              <w:t>目</w:t>
            </w:r>
          </w:p>
        </w:tc>
        <w:tc>
          <w:tcPr>
            <w:tcW w:w="4263" w:type="dxa"/>
            <w:tcBorders>
              <w:top w:val="single" w:color="000000" w:sz="4" w:space="0"/>
              <w:left w:val="single" w:color="000000" w:sz="4" w:space="0"/>
              <w:bottom w:val="single" w:color="000000" w:sz="4" w:space="0"/>
              <w:right w:val="single" w:color="000000" w:sz="4" w:space="0"/>
            </w:tcBorders>
          </w:tcPr>
          <w:p w14:paraId="5D5A6198">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AEAC1C5">
            <w:pPr>
              <w:pStyle w:val="38"/>
              <w:keepNext w:val="0"/>
              <w:keepLines w:val="0"/>
              <w:pageBreakBefore w:val="0"/>
              <w:widowControl w:val="0"/>
              <w:kinsoku/>
              <w:wordWrap w:val="0"/>
              <w:overflowPunct/>
              <w:topLinePunct w:val="0"/>
              <w:autoSpaceDE/>
              <w:autoSpaceDN/>
              <w:bidi w:val="0"/>
              <w:snapToGrid/>
              <w:spacing w:before="160" w:line="240" w:lineRule="auto"/>
              <w:ind w:left="138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投标人情况说明</w:t>
            </w:r>
          </w:p>
        </w:tc>
      </w:tr>
      <w:tr w14:paraId="6C54621B">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12B1F5A">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58E2A0F7">
            <w:pPr>
              <w:keepNext w:val="0"/>
              <w:keepLines w:val="0"/>
              <w:pageBreakBefore w:val="0"/>
              <w:widowControl w:val="0"/>
              <w:kinsoku/>
              <w:wordWrap w:val="0"/>
              <w:overflowPunct/>
              <w:topLinePunct w:val="0"/>
              <w:autoSpaceDE/>
              <w:autoSpaceDN/>
              <w:bidi w:val="0"/>
              <w:snapToGrid/>
              <w:rPr>
                <w:color w:val="auto"/>
                <w:highlight w:val="none"/>
              </w:rPr>
            </w:pPr>
          </w:p>
        </w:tc>
      </w:tr>
      <w:tr w14:paraId="05439F99">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056D3B7A">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5EBEFA81">
            <w:pPr>
              <w:keepNext w:val="0"/>
              <w:keepLines w:val="0"/>
              <w:pageBreakBefore w:val="0"/>
              <w:widowControl w:val="0"/>
              <w:kinsoku/>
              <w:wordWrap w:val="0"/>
              <w:overflowPunct/>
              <w:topLinePunct w:val="0"/>
              <w:autoSpaceDE/>
              <w:autoSpaceDN/>
              <w:bidi w:val="0"/>
              <w:snapToGrid/>
              <w:rPr>
                <w:color w:val="auto"/>
                <w:highlight w:val="none"/>
              </w:rPr>
            </w:pPr>
          </w:p>
        </w:tc>
      </w:tr>
      <w:tr w14:paraId="64734BBB">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6A515965">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371D34B4">
            <w:pPr>
              <w:keepNext w:val="0"/>
              <w:keepLines w:val="0"/>
              <w:pageBreakBefore w:val="0"/>
              <w:widowControl w:val="0"/>
              <w:kinsoku/>
              <w:wordWrap w:val="0"/>
              <w:overflowPunct/>
              <w:topLinePunct w:val="0"/>
              <w:autoSpaceDE/>
              <w:autoSpaceDN/>
              <w:bidi w:val="0"/>
              <w:snapToGrid/>
              <w:rPr>
                <w:color w:val="auto"/>
                <w:highlight w:val="none"/>
              </w:rPr>
            </w:pPr>
          </w:p>
        </w:tc>
      </w:tr>
      <w:tr w14:paraId="07529F29">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1289E531">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6ABF8623">
            <w:pPr>
              <w:keepNext w:val="0"/>
              <w:keepLines w:val="0"/>
              <w:pageBreakBefore w:val="0"/>
              <w:widowControl w:val="0"/>
              <w:kinsoku/>
              <w:wordWrap w:val="0"/>
              <w:overflowPunct/>
              <w:topLinePunct w:val="0"/>
              <w:autoSpaceDE/>
              <w:autoSpaceDN/>
              <w:bidi w:val="0"/>
              <w:snapToGrid/>
              <w:rPr>
                <w:color w:val="auto"/>
                <w:highlight w:val="none"/>
              </w:rPr>
            </w:pPr>
          </w:p>
        </w:tc>
      </w:tr>
      <w:tr w14:paraId="54B66EC8">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312189ED">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6DBFF035">
            <w:pPr>
              <w:keepNext w:val="0"/>
              <w:keepLines w:val="0"/>
              <w:pageBreakBefore w:val="0"/>
              <w:widowControl w:val="0"/>
              <w:kinsoku/>
              <w:wordWrap w:val="0"/>
              <w:overflowPunct/>
              <w:topLinePunct w:val="0"/>
              <w:autoSpaceDE/>
              <w:autoSpaceDN/>
              <w:bidi w:val="0"/>
              <w:snapToGrid/>
              <w:rPr>
                <w:color w:val="auto"/>
                <w:highlight w:val="none"/>
              </w:rPr>
            </w:pPr>
          </w:p>
        </w:tc>
      </w:tr>
      <w:tr w14:paraId="765F7CE1">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5DCE6D2F">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74F42E13">
            <w:pPr>
              <w:keepNext w:val="0"/>
              <w:keepLines w:val="0"/>
              <w:pageBreakBefore w:val="0"/>
              <w:widowControl w:val="0"/>
              <w:kinsoku/>
              <w:wordWrap w:val="0"/>
              <w:overflowPunct/>
              <w:topLinePunct w:val="0"/>
              <w:autoSpaceDE/>
              <w:autoSpaceDN/>
              <w:bidi w:val="0"/>
              <w:snapToGrid/>
              <w:rPr>
                <w:color w:val="auto"/>
                <w:highlight w:val="none"/>
              </w:rPr>
            </w:pPr>
          </w:p>
        </w:tc>
      </w:tr>
      <w:tr w14:paraId="6D00411E">
        <w:tblPrEx>
          <w:tblCellMar>
            <w:top w:w="0" w:type="dxa"/>
            <w:left w:w="0" w:type="dxa"/>
            <w:bottom w:w="0" w:type="dxa"/>
            <w:right w:w="0" w:type="dxa"/>
          </w:tblCellMar>
        </w:tblPrEx>
        <w:trPr>
          <w:trHeight w:val="1136" w:hRule="exact"/>
          <w:jc w:val="center"/>
        </w:trPr>
        <w:tc>
          <w:tcPr>
            <w:tcW w:w="4261" w:type="dxa"/>
            <w:tcBorders>
              <w:top w:val="single" w:color="000000" w:sz="4" w:space="0"/>
              <w:left w:val="single" w:color="000000" w:sz="4" w:space="0"/>
              <w:bottom w:val="single" w:color="000000" w:sz="4" w:space="0"/>
              <w:right w:val="single" w:color="000000" w:sz="4" w:space="0"/>
            </w:tcBorders>
          </w:tcPr>
          <w:p w14:paraId="03BA6CE4">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4A3E117D">
            <w:pPr>
              <w:keepNext w:val="0"/>
              <w:keepLines w:val="0"/>
              <w:pageBreakBefore w:val="0"/>
              <w:widowControl w:val="0"/>
              <w:kinsoku/>
              <w:wordWrap w:val="0"/>
              <w:overflowPunct/>
              <w:topLinePunct w:val="0"/>
              <w:autoSpaceDE/>
              <w:autoSpaceDN/>
              <w:bidi w:val="0"/>
              <w:snapToGrid/>
              <w:rPr>
                <w:color w:val="auto"/>
                <w:highlight w:val="none"/>
              </w:rPr>
            </w:pPr>
          </w:p>
        </w:tc>
      </w:tr>
      <w:tr w14:paraId="58646726">
        <w:tblPrEx>
          <w:tblCellMar>
            <w:top w:w="0" w:type="dxa"/>
            <w:left w:w="0" w:type="dxa"/>
            <w:bottom w:w="0" w:type="dxa"/>
            <w:right w:w="0" w:type="dxa"/>
          </w:tblCellMar>
        </w:tblPrEx>
        <w:trPr>
          <w:trHeight w:val="1135" w:hRule="exact"/>
          <w:jc w:val="center"/>
        </w:trPr>
        <w:tc>
          <w:tcPr>
            <w:tcW w:w="4261" w:type="dxa"/>
            <w:tcBorders>
              <w:top w:val="single" w:color="000000" w:sz="4" w:space="0"/>
              <w:left w:val="single" w:color="000000" w:sz="4" w:space="0"/>
              <w:bottom w:val="single" w:color="000000" w:sz="4" w:space="0"/>
              <w:right w:val="single" w:color="000000" w:sz="4" w:space="0"/>
            </w:tcBorders>
          </w:tcPr>
          <w:p w14:paraId="6E19E035">
            <w:pPr>
              <w:keepNext w:val="0"/>
              <w:keepLines w:val="0"/>
              <w:pageBreakBefore w:val="0"/>
              <w:widowControl w:val="0"/>
              <w:kinsoku/>
              <w:wordWrap w:val="0"/>
              <w:overflowPunct/>
              <w:topLinePunct w:val="0"/>
              <w:autoSpaceDE/>
              <w:autoSpaceDN/>
              <w:bidi w:val="0"/>
              <w:snapToGrid/>
              <w:rPr>
                <w:color w:val="auto"/>
                <w:highlight w:val="none"/>
              </w:rPr>
            </w:pPr>
          </w:p>
        </w:tc>
        <w:tc>
          <w:tcPr>
            <w:tcW w:w="4263" w:type="dxa"/>
            <w:tcBorders>
              <w:top w:val="single" w:color="000000" w:sz="4" w:space="0"/>
              <w:left w:val="single" w:color="000000" w:sz="4" w:space="0"/>
              <w:bottom w:val="single" w:color="000000" w:sz="4" w:space="0"/>
              <w:right w:val="single" w:color="000000" w:sz="4" w:space="0"/>
            </w:tcBorders>
          </w:tcPr>
          <w:p w14:paraId="4BDA03C0">
            <w:pPr>
              <w:keepNext w:val="0"/>
              <w:keepLines w:val="0"/>
              <w:pageBreakBefore w:val="0"/>
              <w:widowControl w:val="0"/>
              <w:kinsoku/>
              <w:wordWrap w:val="0"/>
              <w:overflowPunct/>
              <w:topLinePunct w:val="0"/>
              <w:autoSpaceDE/>
              <w:autoSpaceDN/>
              <w:bidi w:val="0"/>
              <w:snapToGrid/>
              <w:rPr>
                <w:color w:val="auto"/>
                <w:highlight w:val="none"/>
              </w:rPr>
            </w:pPr>
          </w:p>
        </w:tc>
      </w:tr>
    </w:tbl>
    <w:p w14:paraId="1F607EE6">
      <w:pPr>
        <w:keepNext w:val="0"/>
        <w:keepLines w:val="0"/>
        <w:pageBreakBefore w:val="0"/>
        <w:widowControl w:val="0"/>
        <w:kinsoku/>
        <w:wordWrap w:val="0"/>
        <w:overflowPunct/>
        <w:topLinePunct w:val="0"/>
        <w:autoSpaceDE/>
        <w:autoSpaceDN/>
        <w:bidi w:val="0"/>
        <w:adjustRightInd/>
        <w:snapToGrid/>
        <w:spacing w:before="0" w:beforeLines="50" w:line="360" w:lineRule="auto"/>
        <w:ind w:left="1050" w:leftChars="200" w:right="0" w:hanging="630" w:hangingChars="3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注：1.投标人应按照招标文件第二章“投标人须知”前附表附录4和“投标人须知”正文第1.4.4项规定，逐条说明其信誉情况。</w:t>
      </w:r>
    </w:p>
    <w:p w14:paraId="7C3512FA">
      <w:pPr>
        <w:keepNext w:val="0"/>
        <w:keepLines w:val="0"/>
        <w:pageBreakBefore w:val="0"/>
        <w:widowControl w:val="0"/>
        <w:kinsoku/>
        <w:wordWrap w:val="0"/>
        <w:overflowPunct/>
        <w:topLinePunct w:val="0"/>
        <w:autoSpaceDE/>
        <w:autoSpaceDN/>
        <w:bidi w:val="0"/>
        <w:adjustRightInd/>
        <w:snapToGrid/>
        <w:spacing w:line="360" w:lineRule="auto"/>
        <w:ind w:left="1050" w:leftChars="400" w:right="102" w:hanging="210" w:hangingChars="1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2.投标人应根据招标文件第二章“投标人须知”第3.5.4项的要求在本表后附相关证明材料。</w:t>
      </w:r>
    </w:p>
    <w:p w14:paraId="5BC65389">
      <w:pPr>
        <w:keepNext w:val="0"/>
        <w:keepLines w:val="0"/>
        <w:pageBreakBefore w:val="0"/>
        <w:widowControl w:val="0"/>
        <w:kinsoku/>
        <w:wordWrap w:val="0"/>
        <w:overflowPunct/>
        <w:topLinePunct w:val="0"/>
        <w:autoSpaceDE/>
        <w:autoSpaceDN/>
        <w:bidi w:val="0"/>
        <w:adjustRightInd/>
        <w:snapToGrid/>
        <w:spacing w:line="360" w:lineRule="auto"/>
        <w:ind w:left="224" w:right="102" w:firstLine="0"/>
        <w:jc w:val="left"/>
        <w:textAlignment w:val="auto"/>
        <w:rPr>
          <w:rFonts w:hint="eastAsia" w:ascii="宋体" w:hAnsi="宋体" w:eastAsia="宋体" w:cs="宋体"/>
          <w:color w:val="auto"/>
          <w:sz w:val="21"/>
          <w:szCs w:val="21"/>
          <w:highlight w:val="none"/>
        </w:rPr>
      </w:pPr>
    </w:p>
    <w:p w14:paraId="65D6D120">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left"/>
        <w:rPr>
          <w:rFonts w:ascii="宋体" w:hAnsi="宋体" w:cs="宋体"/>
          <w:color w:val="auto"/>
          <w:kern w:val="0"/>
          <w:sz w:val="24"/>
          <w:highlight w:val="none"/>
        </w:rPr>
      </w:pPr>
    </w:p>
    <w:p w14:paraId="05F2590C">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left"/>
        <w:rPr>
          <w:rFonts w:ascii="宋体" w:hAnsi="宋体" w:cs="宋体"/>
          <w:color w:val="auto"/>
          <w:kern w:val="0"/>
          <w:sz w:val="24"/>
          <w:highlight w:val="none"/>
        </w:rPr>
      </w:pPr>
    </w:p>
    <w:p w14:paraId="24E90B53">
      <w:pPr>
        <w:pStyle w:val="10"/>
        <w:keepNext w:val="0"/>
        <w:keepLines w:val="0"/>
        <w:pageBreakBefore w:val="0"/>
        <w:widowControl w:val="0"/>
        <w:kinsoku/>
        <w:wordWrap w:val="0"/>
        <w:overflowPunct/>
        <w:topLinePunct w:val="0"/>
        <w:autoSpaceDE/>
        <w:autoSpaceDN/>
        <w:bidi w:val="0"/>
        <w:adjustRightInd/>
        <w:snapToGrid/>
        <w:spacing w:after="157" w:afterLines="50" w:line="360" w:lineRule="auto"/>
        <w:ind w:left="0" w:right="0"/>
        <w:jc w:val="center"/>
        <w:textAlignment w:val="auto"/>
        <w:rPr>
          <w:rFonts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（六）拟委任的项目经理和项目总工资历表</w:t>
      </w:r>
    </w:p>
    <w:tbl>
      <w:tblPr>
        <w:tblStyle w:val="29"/>
        <w:tblW w:w="0" w:type="auto"/>
        <w:jc w:val="center"/>
        <w:tblLayout w:type="fixed"/>
        <w:tblCellMar>
          <w:top w:w="0" w:type="dxa"/>
          <w:left w:w="0" w:type="dxa"/>
          <w:bottom w:w="0" w:type="dxa"/>
          <w:right w:w="0" w:type="dxa"/>
        </w:tblCellMar>
      </w:tblPr>
      <w:tblGrid>
        <w:gridCol w:w="1261"/>
        <w:gridCol w:w="1377"/>
        <w:gridCol w:w="103"/>
        <w:gridCol w:w="1061"/>
        <w:gridCol w:w="1380"/>
        <w:gridCol w:w="338"/>
        <w:gridCol w:w="1543"/>
        <w:gridCol w:w="387"/>
        <w:gridCol w:w="1282"/>
      </w:tblGrid>
      <w:tr w14:paraId="4F12AD71">
        <w:tblPrEx>
          <w:tblCellMar>
            <w:top w:w="0" w:type="dxa"/>
            <w:left w:w="0" w:type="dxa"/>
            <w:bottom w:w="0" w:type="dxa"/>
            <w:right w:w="0" w:type="dxa"/>
          </w:tblCellMar>
        </w:tblPrEx>
        <w:trPr>
          <w:trHeight w:val="562"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515250D6">
            <w:pPr>
              <w:pStyle w:val="38"/>
              <w:keepNext w:val="0"/>
              <w:keepLines w:val="0"/>
              <w:pageBreakBefore w:val="0"/>
              <w:widowControl w:val="0"/>
              <w:tabs>
                <w:tab w:val="left" w:pos="823"/>
              </w:tabs>
              <w:kinsoku/>
              <w:wordWrap w:val="0"/>
              <w:overflowPunct/>
              <w:topLinePunct w:val="0"/>
              <w:autoSpaceDE/>
              <w:autoSpaceDN/>
              <w:bidi w:val="0"/>
              <w:snapToGrid/>
              <w:spacing w:before="150"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姓</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名</w:t>
            </w:r>
          </w:p>
        </w:tc>
        <w:tc>
          <w:tcPr>
            <w:tcW w:w="1480" w:type="dxa"/>
            <w:gridSpan w:val="2"/>
            <w:tcBorders>
              <w:top w:val="single" w:color="000000" w:sz="4" w:space="0"/>
              <w:left w:val="single" w:color="000000" w:sz="4" w:space="0"/>
              <w:bottom w:val="single" w:color="000000" w:sz="4" w:space="0"/>
              <w:right w:val="single" w:color="000000" w:sz="4" w:space="0"/>
            </w:tcBorders>
            <w:vAlign w:val="center"/>
          </w:tcPr>
          <w:p w14:paraId="1DC19F7C">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vAlign w:val="center"/>
          </w:tcPr>
          <w:p w14:paraId="513F93CA">
            <w:pPr>
              <w:pStyle w:val="38"/>
              <w:keepNext w:val="0"/>
              <w:keepLines w:val="0"/>
              <w:pageBreakBefore w:val="0"/>
              <w:widowControl w:val="0"/>
              <w:tabs>
                <w:tab w:val="left" w:pos="736"/>
              </w:tabs>
              <w:kinsoku/>
              <w:wordWrap w:val="0"/>
              <w:overflowPunct/>
              <w:topLinePunct w:val="0"/>
              <w:autoSpaceDE/>
              <w:autoSpaceDN/>
              <w:bidi w:val="0"/>
              <w:snapToGrid/>
              <w:spacing w:before="150" w:line="240" w:lineRule="auto"/>
              <w:ind w:left="105"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龄</w:t>
            </w:r>
          </w:p>
        </w:tc>
        <w:tc>
          <w:tcPr>
            <w:tcW w:w="1380" w:type="dxa"/>
            <w:tcBorders>
              <w:top w:val="single" w:color="000000" w:sz="4" w:space="0"/>
              <w:left w:val="single" w:color="000000" w:sz="4" w:space="0"/>
              <w:bottom w:val="single" w:color="000000" w:sz="4" w:space="0"/>
              <w:right w:val="single" w:color="000000" w:sz="4" w:space="0"/>
            </w:tcBorders>
            <w:vAlign w:val="center"/>
          </w:tcPr>
          <w:p w14:paraId="6220547B">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06B27916">
            <w:pPr>
              <w:pStyle w:val="38"/>
              <w:keepNext w:val="0"/>
              <w:keepLines w:val="0"/>
              <w:pageBreakBefore w:val="0"/>
              <w:widowControl w:val="0"/>
              <w:tabs>
                <w:tab w:val="left" w:pos="1147"/>
              </w:tabs>
              <w:kinsoku/>
              <w:wordWrap w:val="0"/>
              <w:overflowPunct/>
              <w:topLinePunct w:val="0"/>
              <w:autoSpaceDE/>
              <w:autoSpaceDN/>
              <w:bidi w:val="0"/>
              <w:snapToGrid/>
              <w:spacing w:before="150"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专</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业</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520E01DA">
            <w:pPr>
              <w:keepNext w:val="0"/>
              <w:keepLines w:val="0"/>
              <w:pageBreakBefore w:val="0"/>
              <w:widowControl w:val="0"/>
              <w:kinsoku/>
              <w:wordWrap w:val="0"/>
              <w:overflowPunct/>
              <w:topLinePunct w:val="0"/>
              <w:autoSpaceDE/>
              <w:autoSpaceDN/>
              <w:bidi w:val="0"/>
              <w:snapToGrid/>
              <w:rPr>
                <w:color w:val="auto"/>
                <w:highlight w:val="none"/>
              </w:rPr>
            </w:pPr>
          </w:p>
        </w:tc>
      </w:tr>
      <w:tr w14:paraId="1448334C">
        <w:tblPrEx>
          <w:tblCellMar>
            <w:top w:w="0" w:type="dxa"/>
            <w:left w:w="0" w:type="dxa"/>
            <w:bottom w:w="0" w:type="dxa"/>
            <w:right w:w="0" w:type="dxa"/>
          </w:tblCellMar>
        </w:tblPrEx>
        <w:trPr>
          <w:trHeight w:val="84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9987CCA">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技术职称</w:t>
            </w:r>
          </w:p>
        </w:tc>
        <w:tc>
          <w:tcPr>
            <w:tcW w:w="1480" w:type="dxa"/>
            <w:gridSpan w:val="2"/>
            <w:tcBorders>
              <w:top w:val="single" w:color="000000" w:sz="4" w:space="0"/>
              <w:left w:val="single" w:color="000000" w:sz="4" w:space="0"/>
              <w:bottom w:val="single" w:color="000000" w:sz="4" w:space="0"/>
              <w:right w:val="single" w:color="000000" w:sz="4" w:space="0"/>
            </w:tcBorders>
            <w:vAlign w:val="center"/>
          </w:tcPr>
          <w:p w14:paraId="2068C3CA">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061" w:type="dxa"/>
            <w:tcBorders>
              <w:top w:val="single" w:color="000000" w:sz="4" w:space="0"/>
              <w:left w:val="single" w:color="000000" w:sz="4" w:space="0"/>
              <w:bottom w:val="single" w:color="000000" w:sz="4" w:space="0"/>
              <w:right w:val="single" w:color="000000" w:sz="4" w:space="0"/>
            </w:tcBorders>
            <w:vAlign w:val="center"/>
          </w:tcPr>
          <w:p w14:paraId="2D19DE57">
            <w:pPr>
              <w:pStyle w:val="38"/>
              <w:keepNext w:val="0"/>
              <w:keepLines w:val="0"/>
              <w:pageBreakBefore w:val="0"/>
              <w:widowControl w:val="0"/>
              <w:tabs>
                <w:tab w:val="left" w:pos="736"/>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学</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历</w:t>
            </w:r>
          </w:p>
        </w:tc>
        <w:tc>
          <w:tcPr>
            <w:tcW w:w="1380" w:type="dxa"/>
            <w:tcBorders>
              <w:top w:val="single" w:color="000000" w:sz="4" w:space="0"/>
              <w:left w:val="single" w:color="000000" w:sz="4" w:space="0"/>
              <w:bottom w:val="single" w:color="000000" w:sz="4" w:space="0"/>
              <w:right w:val="single" w:color="000000" w:sz="4" w:space="0"/>
            </w:tcBorders>
            <w:vAlign w:val="center"/>
          </w:tcPr>
          <w:p w14:paraId="7B78AF28">
            <w:pPr>
              <w:keepNext w:val="0"/>
              <w:keepLines w:val="0"/>
              <w:pageBreakBefore w:val="0"/>
              <w:widowControl w:val="0"/>
              <w:kinsoku/>
              <w:wordWrap w:val="0"/>
              <w:overflowPunct/>
              <w:topLinePunct w:val="0"/>
              <w:autoSpaceDE/>
              <w:autoSpaceDN/>
              <w:bidi w:val="0"/>
              <w:snapToGrid/>
              <w:jc w:val="center"/>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5FB8197A">
            <w:pPr>
              <w:pStyle w:val="38"/>
              <w:keepNext w:val="0"/>
              <w:keepLines w:val="0"/>
              <w:pageBreakBefore w:val="0"/>
              <w:widowControl w:val="0"/>
              <w:kinsoku/>
              <w:wordWrap w:val="0"/>
              <w:overflowPunct/>
              <w:topLinePunct w:val="0"/>
              <w:autoSpaceDE/>
              <w:autoSpaceDN/>
              <w:bidi w:val="0"/>
              <w:snapToGrid/>
              <w:spacing w:before="32" w:line="240" w:lineRule="auto"/>
              <w:ind w:left="515" w:right="405" w:hanging="106"/>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拟在本标段</w:t>
            </w:r>
            <w:r>
              <w:rPr>
                <w:rFonts w:ascii="宋体" w:hAnsi="宋体" w:eastAsia="宋体" w:cs="宋体"/>
                <w:color w:val="auto"/>
                <w:spacing w:val="-102"/>
                <w:sz w:val="21"/>
                <w:szCs w:val="21"/>
                <w:highlight w:val="none"/>
              </w:rPr>
              <w:t xml:space="preserve"> </w:t>
            </w:r>
            <w:r>
              <w:rPr>
                <w:rFonts w:ascii="宋体" w:hAnsi="宋体" w:eastAsia="宋体" w:cs="宋体"/>
                <w:color w:val="auto"/>
                <w:sz w:val="21"/>
                <w:szCs w:val="21"/>
                <w:highlight w:val="none"/>
              </w:rPr>
              <w:t>工程任职</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1F9C5B45">
            <w:pPr>
              <w:keepNext w:val="0"/>
              <w:keepLines w:val="0"/>
              <w:pageBreakBefore w:val="0"/>
              <w:widowControl w:val="0"/>
              <w:kinsoku/>
              <w:wordWrap w:val="0"/>
              <w:overflowPunct/>
              <w:topLinePunct w:val="0"/>
              <w:autoSpaceDE/>
              <w:autoSpaceDN/>
              <w:bidi w:val="0"/>
              <w:snapToGrid/>
              <w:rPr>
                <w:color w:val="auto"/>
                <w:highlight w:val="none"/>
              </w:rPr>
            </w:pPr>
          </w:p>
        </w:tc>
      </w:tr>
      <w:tr w14:paraId="7DF2F8A7">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27837A9">
            <w:pPr>
              <w:pStyle w:val="38"/>
              <w:keepNext w:val="0"/>
              <w:keepLines w:val="0"/>
              <w:pageBreakBefore w:val="0"/>
              <w:widowControl w:val="0"/>
              <w:kinsoku/>
              <w:wordWrap w:val="0"/>
              <w:overflowPunct/>
              <w:topLinePunct w:val="0"/>
              <w:autoSpaceDE/>
              <w:autoSpaceDN/>
              <w:bidi w:val="0"/>
              <w:snapToGrid/>
              <w:spacing w:before="150" w:line="240" w:lineRule="auto"/>
              <w:ind w:left="19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工作年限</w:t>
            </w:r>
          </w:p>
        </w:tc>
        <w:tc>
          <w:tcPr>
            <w:tcW w:w="3921" w:type="dxa"/>
            <w:gridSpan w:val="4"/>
            <w:tcBorders>
              <w:top w:val="single" w:color="000000" w:sz="4" w:space="0"/>
              <w:left w:val="single" w:color="000000" w:sz="4" w:space="0"/>
              <w:bottom w:val="single" w:color="000000" w:sz="4" w:space="0"/>
              <w:right w:val="single" w:color="000000" w:sz="4" w:space="0"/>
            </w:tcBorders>
            <w:vAlign w:val="center"/>
          </w:tcPr>
          <w:p w14:paraId="4ECE13E7">
            <w:pPr>
              <w:keepNext w:val="0"/>
              <w:keepLines w:val="0"/>
              <w:pageBreakBefore w:val="0"/>
              <w:widowControl w:val="0"/>
              <w:kinsoku/>
              <w:wordWrap w:val="0"/>
              <w:overflowPunct/>
              <w:topLinePunct w:val="0"/>
              <w:autoSpaceDE/>
              <w:autoSpaceDN/>
              <w:bidi w:val="0"/>
              <w:snapToGrid/>
              <w:rPr>
                <w:color w:val="auto"/>
                <w:highlight w:val="none"/>
              </w:rPr>
            </w:pPr>
          </w:p>
        </w:tc>
        <w:tc>
          <w:tcPr>
            <w:tcW w:w="1882" w:type="dxa"/>
            <w:gridSpan w:val="2"/>
            <w:tcBorders>
              <w:top w:val="single" w:color="000000" w:sz="4" w:space="0"/>
              <w:left w:val="single" w:color="000000" w:sz="4" w:space="0"/>
              <w:bottom w:val="single" w:color="000000" w:sz="4" w:space="0"/>
              <w:right w:val="single" w:color="000000" w:sz="4" w:space="0"/>
            </w:tcBorders>
            <w:vAlign w:val="center"/>
          </w:tcPr>
          <w:p w14:paraId="78A8F6E3">
            <w:pPr>
              <w:pStyle w:val="38"/>
              <w:keepNext w:val="0"/>
              <w:keepLines w:val="0"/>
              <w:pageBreakBefore w:val="0"/>
              <w:widowControl w:val="0"/>
              <w:kinsoku/>
              <w:wordWrap w:val="0"/>
              <w:overflowPunct/>
              <w:topLinePunct w:val="0"/>
              <w:autoSpaceDE/>
              <w:autoSpaceDN/>
              <w:bidi w:val="0"/>
              <w:snapToGrid/>
              <w:spacing w:before="150" w:line="240" w:lineRule="auto"/>
              <w:ind w:left="95"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类似施工经验年限</w:t>
            </w:r>
          </w:p>
        </w:tc>
        <w:tc>
          <w:tcPr>
            <w:tcW w:w="1669" w:type="dxa"/>
            <w:gridSpan w:val="2"/>
            <w:tcBorders>
              <w:top w:val="single" w:color="000000" w:sz="4" w:space="0"/>
              <w:left w:val="single" w:color="000000" w:sz="4" w:space="0"/>
              <w:bottom w:val="single" w:color="000000" w:sz="4" w:space="0"/>
              <w:right w:val="single" w:color="000000" w:sz="4" w:space="0"/>
            </w:tcBorders>
            <w:vAlign w:val="center"/>
          </w:tcPr>
          <w:p w14:paraId="1C82C08F">
            <w:pPr>
              <w:keepNext w:val="0"/>
              <w:keepLines w:val="0"/>
              <w:pageBreakBefore w:val="0"/>
              <w:widowControl w:val="0"/>
              <w:kinsoku/>
              <w:wordWrap w:val="0"/>
              <w:overflowPunct/>
              <w:topLinePunct w:val="0"/>
              <w:autoSpaceDE/>
              <w:autoSpaceDN/>
              <w:bidi w:val="0"/>
              <w:snapToGrid/>
              <w:rPr>
                <w:color w:val="auto"/>
                <w:highlight w:val="none"/>
              </w:rPr>
            </w:pPr>
          </w:p>
        </w:tc>
      </w:tr>
      <w:tr w14:paraId="629FDF41">
        <w:tblPrEx>
          <w:tblCellMar>
            <w:top w:w="0" w:type="dxa"/>
            <w:left w:w="0" w:type="dxa"/>
            <w:bottom w:w="0" w:type="dxa"/>
            <w:right w:w="0" w:type="dxa"/>
          </w:tblCellMar>
        </w:tblPrEx>
        <w:trPr>
          <w:trHeight w:val="531"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7776D90">
            <w:pPr>
              <w:pStyle w:val="38"/>
              <w:keepNext w:val="0"/>
              <w:keepLines w:val="0"/>
              <w:pageBreakBefore w:val="0"/>
              <w:widowControl w:val="0"/>
              <w:kinsoku/>
              <w:wordWrap w:val="0"/>
              <w:overflowPunct/>
              <w:topLinePunct w:val="0"/>
              <w:autoSpaceDE/>
              <w:autoSpaceDN/>
              <w:bidi w:val="0"/>
              <w:snapToGrid/>
              <w:spacing w:before="151" w:line="240" w:lineRule="auto"/>
              <w:ind w:left="19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毕业学校</w:t>
            </w:r>
          </w:p>
        </w:tc>
        <w:tc>
          <w:tcPr>
            <w:tcW w:w="7472" w:type="dxa"/>
            <w:gridSpan w:val="8"/>
            <w:tcBorders>
              <w:top w:val="single" w:color="000000" w:sz="4" w:space="0"/>
              <w:left w:val="single" w:color="000000" w:sz="4" w:space="0"/>
              <w:bottom w:val="single" w:color="000000" w:sz="4" w:space="0"/>
              <w:right w:val="single" w:color="000000" w:sz="4" w:space="0"/>
            </w:tcBorders>
            <w:vAlign w:val="center"/>
          </w:tcPr>
          <w:p w14:paraId="2494A745">
            <w:pPr>
              <w:pStyle w:val="38"/>
              <w:keepNext w:val="0"/>
              <w:keepLines w:val="0"/>
              <w:pageBreakBefore w:val="0"/>
              <w:widowControl w:val="0"/>
              <w:tabs>
                <w:tab w:val="left" w:pos="526"/>
                <w:tab w:val="left" w:pos="1052"/>
                <w:tab w:val="left" w:pos="3887"/>
                <w:tab w:val="left" w:pos="5462"/>
                <w:tab w:val="left" w:pos="7140"/>
              </w:tabs>
              <w:kinsoku/>
              <w:wordWrap w:val="0"/>
              <w:overflowPunct/>
              <w:topLinePunct w:val="0"/>
              <w:autoSpaceDE/>
              <w:autoSpaceDN/>
              <w:bidi w:val="0"/>
              <w:snapToGrid/>
              <w:spacing w:before="151" w:line="240" w:lineRule="auto"/>
              <w:ind w:left="1" w:right="0" w:firstLine="210" w:firstLineChars="100"/>
              <w:jc w:val="both"/>
              <w:rPr>
                <w:rFonts w:ascii="宋体" w:hAnsi="宋体" w:eastAsia="宋体" w:cs="宋体"/>
                <w:color w:val="auto"/>
                <w:sz w:val="21"/>
                <w:szCs w:val="21"/>
                <w:highlight w:val="none"/>
              </w:rPr>
            </w:pPr>
            <w:r>
              <w:rPr>
                <w:rFonts w:ascii="Times New Roman" w:hAnsi="Times New Roman" w:eastAsia="Times New Roman" w:cs="Times New Roman"/>
                <w:color w:val="auto"/>
                <w:w w:val="100"/>
                <w:sz w:val="21"/>
                <w:szCs w:val="21"/>
                <w:highlight w:val="none"/>
                <w:u w:val="single" w:color="000000"/>
              </w:rPr>
              <w:t xml:space="preserve"> </w:t>
            </w:r>
            <w:r>
              <w:rPr>
                <w:rFonts w:hint="eastAsia" w:ascii="Times New Roman" w:hAnsi="Times New Roman" w:eastAsia="宋体" w:cs="Times New Roman"/>
                <w:color w:val="auto"/>
                <w:w w:val="100"/>
                <w:sz w:val="21"/>
                <w:szCs w:val="21"/>
                <w:highlight w:val="none"/>
                <w:u w:val="single" w:color="000000"/>
                <w:lang w:val="en-US" w:eastAsia="zh-CN"/>
              </w:rPr>
              <w:t xml:space="preserve">     </w:t>
            </w:r>
            <w:r>
              <w:rPr>
                <w:rFonts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pacing w:val="-2"/>
                <w:sz w:val="21"/>
                <w:szCs w:val="21"/>
                <w:highlight w:val="none"/>
              </w:rPr>
              <w:t>月毕业于</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pacing w:val="-2"/>
                <w:sz w:val="21"/>
                <w:szCs w:val="21"/>
                <w:highlight w:val="none"/>
              </w:rPr>
              <w:t>学校</w:t>
            </w:r>
            <w:r>
              <w:rPr>
                <w:rFonts w:ascii="Times New Roman" w:hAnsi="Times New Roman" w:eastAsia="Times New Roman" w:cs="Times New Roman"/>
                <w:color w:val="auto"/>
                <w:spacing w:val="-2"/>
                <w:sz w:val="21"/>
                <w:szCs w:val="21"/>
                <w:highlight w:val="none"/>
                <w:u w:val="single" w:color="000000"/>
              </w:rPr>
              <w:tab/>
            </w:r>
            <w:r>
              <w:rPr>
                <w:rFonts w:ascii="宋体" w:hAnsi="宋体" w:eastAsia="宋体" w:cs="宋体"/>
                <w:color w:val="auto"/>
                <w:spacing w:val="-2"/>
                <w:sz w:val="21"/>
                <w:szCs w:val="21"/>
                <w:highlight w:val="none"/>
              </w:rPr>
              <w:t>专业，学制</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z w:val="21"/>
                <w:szCs w:val="21"/>
                <w:highlight w:val="none"/>
              </w:rPr>
              <w:t>年</w:t>
            </w:r>
          </w:p>
        </w:tc>
      </w:tr>
      <w:tr w14:paraId="0012EEFD">
        <w:tblPrEx>
          <w:tblCellMar>
            <w:top w:w="0" w:type="dxa"/>
            <w:left w:w="0" w:type="dxa"/>
            <w:bottom w:w="0" w:type="dxa"/>
            <w:right w:w="0" w:type="dxa"/>
          </w:tblCellMar>
        </w:tblPrEx>
        <w:trPr>
          <w:trHeight w:val="528" w:hRule="exact"/>
          <w:jc w:val="center"/>
        </w:trPr>
        <w:tc>
          <w:tcPr>
            <w:tcW w:w="8733" w:type="dxa"/>
            <w:gridSpan w:val="9"/>
            <w:tcBorders>
              <w:top w:val="single" w:color="000000" w:sz="4" w:space="0"/>
              <w:left w:val="single" w:color="000000" w:sz="4" w:space="0"/>
              <w:bottom w:val="single" w:color="000000" w:sz="4" w:space="0"/>
              <w:right w:val="single" w:color="000000" w:sz="4" w:space="0"/>
            </w:tcBorders>
            <w:vAlign w:val="center"/>
          </w:tcPr>
          <w:p w14:paraId="4E8B0125">
            <w:pPr>
              <w:pStyle w:val="38"/>
              <w:keepNext w:val="0"/>
              <w:keepLines w:val="0"/>
              <w:pageBreakBefore w:val="0"/>
              <w:widowControl w:val="0"/>
              <w:tabs>
                <w:tab w:val="left" w:pos="1161"/>
              </w:tabs>
              <w:kinsoku/>
              <w:wordWrap w:val="0"/>
              <w:overflowPunct/>
              <w:topLinePunct w:val="0"/>
              <w:autoSpaceDE/>
              <w:autoSpaceDN/>
              <w:bidi w:val="0"/>
              <w:snapToGrid/>
              <w:spacing w:before="150" w:line="240" w:lineRule="auto"/>
              <w:ind w:left="4"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经</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历</w:t>
            </w:r>
          </w:p>
        </w:tc>
      </w:tr>
      <w:tr w14:paraId="56776681">
        <w:tblPrEx>
          <w:tblCellMar>
            <w:top w:w="0" w:type="dxa"/>
            <w:left w:w="0" w:type="dxa"/>
            <w:bottom w:w="0" w:type="dxa"/>
            <w:right w:w="0" w:type="dxa"/>
          </w:tblCellMar>
        </w:tblPrEx>
        <w:trPr>
          <w:trHeight w:val="931"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984AAE8">
            <w:pPr>
              <w:pStyle w:val="38"/>
              <w:keepNext w:val="0"/>
              <w:keepLines w:val="0"/>
              <w:pageBreakBefore w:val="0"/>
              <w:widowControl w:val="0"/>
              <w:tabs>
                <w:tab w:val="left" w:pos="743"/>
              </w:tabs>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时</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间</w:t>
            </w: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1C751FED">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参加过的类似工程项目名称</w:t>
            </w: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1A4F6768">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担任职务</w:t>
            </w:r>
          </w:p>
        </w:tc>
        <w:tc>
          <w:tcPr>
            <w:tcW w:w="1282" w:type="dxa"/>
            <w:tcBorders>
              <w:top w:val="single" w:color="000000" w:sz="4" w:space="0"/>
              <w:left w:val="single" w:color="000000" w:sz="4" w:space="0"/>
              <w:bottom w:val="single" w:color="000000" w:sz="4" w:space="0"/>
              <w:right w:val="single" w:color="000000" w:sz="4" w:space="0"/>
            </w:tcBorders>
            <w:vAlign w:val="center"/>
          </w:tcPr>
          <w:p w14:paraId="7CF31F8F">
            <w:pPr>
              <w:pStyle w:val="38"/>
              <w:keepNext w:val="0"/>
              <w:keepLines w:val="0"/>
              <w:pageBreakBefore w:val="0"/>
              <w:widowControl w:val="0"/>
              <w:kinsoku/>
              <w:wordWrap w:val="0"/>
              <w:overflowPunct/>
              <w:topLinePunct w:val="0"/>
              <w:autoSpaceDE/>
              <w:autoSpaceDN/>
              <w:bidi w:val="0"/>
              <w:snapToGrid/>
              <w:spacing w:before="153" w:line="240" w:lineRule="auto"/>
              <w:ind w:right="108"/>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发包人及联</w:t>
            </w:r>
            <w:r>
              <w:rPr>
                <w:rFonts w:ascii="宋体" w:hAnsi="宋体" w:eastAsia="宋体" w:cs="宋体"/>
                <w:color w:val="auto"/>
                <w:spacing w:val="-102"/>
                <w:sz w:val="21"/>
                <w:szCs w:val="21"/>
                <w:highlight w:val="none"/>
              </w:rPr>
              <w:t xml:space="preserve"> </w:t>
            </w:r>
            <w:r>
              <w:rPr>
                <w:rFonts w:ascii="宋体" w:hAnsi="宋体" w:eastAsia="宋体" w:cs="宋体"/>
                <w:color w:val="auto"/>
                <w:sz w:val="21"/>
                <w:szCs w:val="21"/>
                <w:highlight w:val="none"/>
              </w:rPr>
              <w:t>系电话</w:t>
            </w:r>
          </w:p>
        </w:tc>
      </w:tr>
      <w:tr w14:paraId="365CA396">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3D89141">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339C9B03">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5D571464">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23E221E5">
            <w:pPr>
              <w:keepNext w:val="0"/>
              <w:keepLines w:val="0"/>
              <w:pageBreakBefore w:val="0"/>
              <w:widowControl w:val="0"/>
              <w:kinsoku/>
              <w:wordWrap w:val="0"/>
              <w:overflowPunct/>
              <w:topLinePunct w:val="0"/>
              <w:autoSpaceDE/>
              <w:autoSpaceDN/>
              <w:bidi w:val="0"/>
              <w:snapToGrid/>
              <w:rPr>
                <w:color w:val="auto"/>
                <w:highlight w:val="none"/>
              </w:rPr>
            </w:pPr>
          </w:p>
        </w:tc>
      </w:tr>
      <w:tr w14:paraId="2728EC1B">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26A08A74">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2F225880">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19862686">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6A0BBDA1">
            <w:pPr>
              <w:keepNext w:val="0"/>
              <w:keepLines w:val="0"/>
              <w:pageBreakBefore w:val="0"/>
              <w:widowControl w:val="0"/>
              <w:kinsoku/>
              <w:wordWrap w:val="0"/>
              <w:overflowPunct/>
              <w:topLinePunct w:val="0"/>
              <w:autoSpaceDE/>
              <w:autoSpaceDN/>
              <w:bidi w:val="0"/>
              <w:snapToGrid/>
              <w:rPr>
                <w:color w:val="auto"/>
                <w:highlight w:val="none"/>
              </w:rPr>
            </w:pPr>
          </w:p>
        </w:tc>
      </w:tr>
      <w:tr w14:paraId="101524B2">
        <w:tblPrEx>
          <w:tblCellMar>
            <w:top w:w="0" w:type="dxa"/>
            <w:left w:w="0" w:type="dxa"/>
            <w:bottom w:w="0" w:type="dxa"/>
            <w:right w:w="0" w:type="dxa"/>
          </w:tblCellMar>
        </w:tblPrEx>
        <w:trPr>
          <w:trHeight w:val="528"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1F19CF2C">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1E707BC6">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73F9F36A">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2A62B12C">
            <w:pPr>
              <w:keepNext w:val="0"/>
              <w:keepLines w:val="0"/>
              <w:pageBreakBefore w:val="0"/>
              <w:widowControl w:val="0"/>
              <w:kinsoku/>
              <w:wordWrap w:val="0"/>
              <w:overflowPunct/>
              <w:topLinePunct w:val="0"/>
              <w:autoSpaceDE/>
              <w:autoSpaceDN/>
              <w:bidi w:val="0"/>
              <w:snapToGrid/>
              <w:rPr>
                <w:color w:val="auto"/>
                <w:highlight w:val="none"/>
              </w:rPr>
            </w:pPr>
          </w:p>
        </w:tc>
      </w:tr>
      <w:tr w14:paraId="32E4FB47">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4165CFA1">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205EA387">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0FE88491">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4A6C48D3">
            <w:pPr>
              <w:keepNext w:val="0"/>
              <w:keepLines w:val="0"/>
              <w:pageBreakBefore w:val="0"/>
              <w:widowControl w:val="0"/>
              <w:kinsoku/>
              <w:wordWrap w:val="0"/>
              <w:overflowPunct/>
              <w:topLinePunct w:val="0"/>
              <w:autoSpaceDE/>
              <w:autoSpaceDN/>
              <w:bidi w:val="0"/>
              <w:snapToGrid/>
              <w:rPr>
                <w:color w:val="auto"/>
                <w:highlight w:val="none"/>
              </w:rPr>
            </w:pPr>
          </w:p>
        </w:tc>
      </w:tr>
      <w:tr w14:paraId="66D8F8EA">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6A54A030">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02AD17DB">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7DD45708">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4F0EE959">
            <w:pPr>
              <w:keepNext w:val="0"/>
              <w:keepLines w:val="0"/>
              <w:pageBreakBefore w:val="0"/>
              <w:widowControl w:val="0"/>
              <w:kinsoku/>
              <w:wordWrap w:val="0"/>
              <w:overflowPunct/>
              <w:topLinePunct w:val="0"/>
              <w:autoSpaceDE/>
              <w:autoSpaceDN/>
              <w:bidi w:val="0"/>
              <w:snapToGrid/>
              <w:rPr>
                <w:color w:val="auto"/>
                <w:highlight w:val="none"/>
              </w:rPr>
            </w:pPr>
          </w:p>
        </w:tc>
      </w:tr>
      <w:tr w14:paraId="46276B8C">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717B7753">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135C8E54">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31A53D96">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712F3C03">
            <w:pPr>
              <w:keepNext w:val="0"/>
              <w:keepLines w:val="0"/>
              <w:pageBreakBefore w:val="0"/>
              <w:widowControl w:val="0"/>
              <w:kinsoku/>
              <w:wordWrap w:val="0"/>
              <w:overflowPunct/>
              <w:topLinePunct w:val="0"/>
              <w:autoSpaceDE/>
              <w:autoSpaceDN/>
              <w:bidi w:val="0"/>
              <w:snapToGrid/>
              <w:rPr>
                <w:color w:val="auto"/>
                <w:highlight w:val="none"/>
              </w:rPr>
            </w:pPr>
          </w:p>
        </w:tc>
      </w:tr>
      <w:tr w14:paraId="03A0C007">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0A024024">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24443029">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45B828E0">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643C135B">
            <w:pPr>
              <w:keepNext w:val="0"/>
              <w:keepLines w:val="0"/>
              <w:pageBreakBefore w:val="0"/>
              <w:widowControl w:val="0"/>
              <w:kinsoku/>
              <w:wordWrap w:val="0"/>
              <w:overflowPunct/>
              <w:topLinePunct w:val="0"/>
              <w:autoSpaceDE/>
              <w:autoSpaceDN/>
              <w:bidi w:val="0"/>
              <w:snapToGrid/>
              <w:rPr>
                <w:color w:val="auto"/>
                <w:highlight w:val="none"/>
              </w:rPr>
            </w:pPr>
          </w:p>
        </w:tc>
      </w:tr>
      <w:tr w14:paraId="03A59DB5">
        <w:tblPrEx>
          <w:tblCellMar>
            <w:top w:w="0" w:type="dxa"/>
            <w:left w:w="0" w:type="dxa"/>
            <w:bottom w:w="0" w:type="dxa"/>
            <w:right w:w="0" w:type="dxa"/>
          </w:tblCellMar>
        </w:tblPrEx>
        <w:trPr>
          <w:trHeight w:val="530"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5CF1F8EB">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78207540">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54DD4308">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75D99734">
            <w:pPr>
              <w:keepNext w:val="0"/>
              <w:keepLines w:val="0"/>
              <w:pageBreakBefore w:val="0"/>
              <w:widowControl w:val="0"/>
              <w:kinsoku/>
              <w:wordWrap w:val="0"/>
              <w:overflowPunct/>
              <w:topLinePunct w:val="0"/>
              <w:autoSpaceDE/>
              <w:autoSpaceDN/>
              <w:bidi w:val="0"/>
              <w:snapToGrid/>
              <w:rPr>
                <w:color w:val="auto"/>
                <w:highlight w:val="none"/>
              </w:rPr>
            </w:pPr>
          </w:p>
        </w:tc>
      </w:tr>
      <w:tr w14:paraId="5E8AD849">
        <w:tblPrEx>
          <w:tblCellMar>
            <w:top w:w="0" w:type="dxa"/>
            <w:left w:w="0" w:type="dxa"/>
            <w:bottom w:w="0" w:type="dxa"/>
            <w:right w:w="0" w:type="dxa"/>
          </w:tblCellMar>
        </w:tblPrEx>
        <w:trPr>
          <w:trHeight w:val="529" w:hRule="exact"/>
          <w:jc w:val="center"/>
        </w:trPr>
        <w:tc>
          <w:tcPr>
            <w:tcW w:w="1261" w:type="dxa"/>
            <w:tcBorders>
              <w:top w:val="single" w:color="000000" w:sz="4" w:space="0"/>
              <w:left w:val="single" w:color="000000" w:sz="4" w:space="0"/>
              <w:bottom w:val="single" w:color="000000" w:sz="4" w:space="0"/>
              <w:right w:val="single" w:color="000000" w:sz="4" w:space="0"/>
            </w:tcBorders>
            <w:vAlign w:val="center"/>
          </w:tcPr>
          <w:p w14:paraId="6E67EC03">
            <w:pPr>
              <w:keepNext w:val="0"/>
              <w:keepLines w:val="0"/>
              <w:pageBreakBefore w:val="0"/>
              <w:widowControl w:val="0"/>
              <w:kinsoku/>
              <w:wordWrap w:val="0"/>
              <w:overflowPunct/>
              <w:topLinePunct w:val="0"/>
              <w:autoSpaceDE/>
              <w:autoSpaceDN/>
              <w:bidi w:val="0"/>
              <w:snapToGrid/>
              <w:rPr>
                <w:color w:val="auto"/>
                <w:highlight w:val="none"/>
              </w:rPr>
            </w:pPr>
          </w:p>
        </w:tc>
        <w:tc>
          <w:tcPr>
            <w:tcW w:w="4260" w:type="dxa"/>
            <w:gridSpan w:val="5"/>
            <w:tcBorders>
              <w:top w:val="single" w:color="000000" w:sz="4" w:space="0"/>
              <w:left w:val="single" w:color="000000" w:sz="4" w:space="0"/>
              <w:bottom w:val="single" w:color="000000" w:sz="4" w:space="0"/>
              <w:right w:val="single" w:color="000000" w:sz="4" w:space="0"/>
            </w:tcBorders>
            <w:vAlign w:val="center"/>
          </w:tcPr>
          <w:p w14:paraId="0030CC4C">
            <w:pPr>
              <w:keepNext w:val="0"/>
              <w:keepLines w:val="0"/>
              <w:pageBreakBefore w:val="0"/>
              <w:widowControl w:val="0"/>
              <w:kinsoku/>
              <w:wordWrap w:val="0"/>
              <w:overflowPunct/>
              <w:topLinePunct w:val="0"/>
              <w:autoSpaceDE/>
              <w:autoSpaceDN/>
              <w:bidi w:val="0"/>
              <w:snapToGrid/>
              <w:rPr>
                <w:color w:val="auto"/>
                <w:highlight w:val="none"/>
              </w:rPr>
            </w:pPr>
          </w:p>
        </w:tc>
        <w:tc>
          <w:tcPr>
            <w:tcW w:w="1930" w:type="dxa"/>
            <w:gridSpan w:val="2"/>
            <w:tcBorders>
              <w:top w:val="single" w:color="000000" w:sz="4" w:space="0"/>
              <w:left w:val="single" w:color="000000" w:sz="4" w:space="0"/>
              <w:bottom w:val="single" w:color="000000" w:sz="4" w:space="0"/>
              <w:right w:val="single" w:color="000000" w:sz="4" w:space="0"/>
            </w:tcBorders>
            <w:vAlign w:val="center"/>
          </w:tcPr>
          <w:p w14:paraId="41FE696E">
            <w:pPr>
              <w:keepNext w:val="0"/>
              <w:keepLines w:val="0"/>
              <w:pageBreakBefore w:val="0"/>
              <w:widowControl w:val="0"/>
              <w:kinsoku/>
              <w:wordWrap w:val="0"/>
              <w:overflowPunct/>
              <w:topLinePunct w:val="0"/>
              <w:autoSpaceDE/>
              <w:autoSpaceDN/>
              <w:bidi w:val="0"/>
              <w:snapToGrid/>
              <w:rPr>
                <w:color w:val="auto"/>
                <w:highlight w:val="none"/>
              </w:rPr>
            </w:pPr>
          </w:p>
        </w:tc>
        <w:tc>
          <w:tcPr>
            <w:tcW w:w="1282" w:type="dxa"/>
            <w:tcBorders>
              <w:top w:val="single" w:color="000000" w:sz="4" w:space="0"/>
              <w:left w:val="single" w:color="000000" w:sz="4" w:space="0"/>
              <w:bottom w:val="single" w:color="000000" w:sz="4" w:space="0"/>
              <w:right w:val="single" w:color="000000" w:sz="4" w:space="0"/>
            </w:tcBorders>
            <w:vAlign w:val="center"/>
          </w:tcPr>
          <w:p w14:paraId="01F7DEE8">
            <w:pPr>
              <w:keepNext w:val="0"/>
              <w:keepLines w:val="0"/>
              <w:pageBreakBefore w:val="0"/>
              <w:widowControl w:val="0"/>
              <w:kinsoku/>
              <w:wordWrap w:val="0"/>
              <w:overflowPunct/>
              <w:topLinePunct w:val="0"/>
              <w:autoSpaceDE/>
              <w:autoSpaceDN/>
              <w:bidi w:val="0"/>
              <w:snapToGrid/>
              <w:rPr>
                <w:color w:val="auto"/>
                <w:highlight w:val="none"/>
              </w:rPr>
            </w:pPr>
          </w:p>
        </w:tc>
      </w:tr>
      <w:tr w14:paraId="6A0EF85F">
        <w:tblPrEx>
          <w:tblCellMar>
            <w:top w:w="0" w:type="dxa"/>
            <w:left w:w="0" w:type="dxa"/>
            <w:bottom w:w="0" w:type="dxa"/>
            <w:right w:w="0" w:type="dxa"/>
          </w:tblCellMar>
        </w:tblPrEx>
        <w:trPr>
          <w:trHeight w:val="530"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6667EECB">
            <w:pPr>
              <w:pStyle w:val="38"/>
              <w:keepNext w:val="0"/>
              <w:keepLines w:val="0"/>
              <w:pageBreakBefore w:val="0"/>
              <w:widowControl w:val="0"/>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获奖情况</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0EB74166">
            <w:pPr>
              <w:keepNext w:val="0"/>
              <w:keepLines w:val="0"/>
              <w:pageBreakBefore w:val="0"/>
              <w:widowControl w:val="0"/>
              <w:kinsoku/>
              <w:wordWrap w:val="0"/>
              <w:overflowPunct/>
              <w:topLinePunct w:val="0"/>
              <w:autoSpaceDE/>
              <w:autoSpaceDN/>
              <w:bidi w:val="0"/>
              <w:snapToGrid/>
              <w:rPr>
                <w:color w:val="auto"/>
                <w:highlight w:val="none"/>
              </w:rPr>
            </w:pPr>
          </w:p>
        </w:tc>
      </w:tr>
      <w:tr w14:paraId="1731184C">
        <w:tblPrEx>
          <w:tblCellMar>
            <w:top w:w="0" w:type="dxa"/>
            <w:left w:w="0" w:type="dxa"/>
            <w:bottom w:w="0" w:type="dxa"/>
            <w:right w:w="0" w:type="dxa"/>
          </w:tblCellMar>
        </w:tblPrEx>
        <w:trPr>
          <w:trHeight w:val="1383"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1839C136">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5F90E03F">
            <w:pPr>
              <w:pStyle w:val="38"/>
              <w:keepNext w:val="0"/>
              <w:keepLines w:val="0"/>
              <w:pageBreakBefore w:val="0"/>
              <w:widowControl w:val="0"/>
              <w:kinsoku/>
              <w:wordWrap w:val="0"/>
              <w:overflowPunct/>
              <w:topLinePunct w:val="0"/>
              <w:autoSpaceDE/>
              <w:autoSpaceDN/>
              <w:bidi w:val="0"/>
              <w:snapToGrid/>
              <w:spacing w:before="1" w:line="240" w:lineRule="auto"/>
              <w:ind w:right="0"/>
              <w:jc w:val="left"/>
              <w:rPr>
                <w:rFonts w:ascii="黑体" w:hAnsi="黑体" w:eastAsia="黑体" w:cs="黑体"/>
                <w:color w:val="auto"/>
                <w:sz w:val="16"/>
                <w:szCs w:val="16"/>
                <w:highlight w:val="none"/>
              </w:rPr>
            </w:pPr>
          </w:p>
          <w:p w14:paraId="4C891161">
            <w:pPr>
              <w:pStyle w:val="38"/>
              <w:keepNext w:val="0"/>
              <w:keepLines w:val="0"/>
              <w:pageBreakBefore w:val="0"/>
              <w:widowControl w:val="0"/>
              <w:kinsoku/>
              <w:wordWrap w:val="0"/>
              <w:overflowPunct/>
              <w:topLinePunct w:val="0"/>
              <w:autoSpaceDE/>
              <w:autoSpaceDN/>
              <w:bidi w:val="0"/>
              <w:snapToGrid/>
              <w:spacing w:line="240" w:lineRule="auto"/>
              <w:ind w:left="683"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说明在岗情况</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0D59D3ED">
            <w:pPr>
              <w:pStyle w:val="38"/>
              <w:keepNext w:val="0"/>
              <w:keepLines w:val="0"/>
              <w:pageBreakBefore w:val="0"/>
              <w:widowControl w:val="0"/>
              <w:tabs>
                <w:tab w:val="left" w:pos="5775"/>
              </w:tabs>
              <w:kinsoku/>
              <w:wordWrap w:val="0"/>
              <w:overflowPunct/>
              <w:topLinePunct w:val="0"/>
              <w:autoSpaceDE/>
              <w:autoSpaceDN/>
              <w:bidi w:val="0"/>
              <w:snapToGrid/>
              <w:spacing w:before="54" w:line="240" w:lineRule="auto"/>
              <w:ind w:left="103" w:right="0"/>
              <w:jc w:val="left"/>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□目前未在其他项目上任职，现从事工作为：</w:t>
            </w:r>
            <w:r>
              <w:rPr>
                <w:rFonts w:ascii="Times New Roman" w:hAnsi="Times New Roman" w:eastAsia="Times New Roman" w:cs="Times New Roman"/>
                <w:color w:val="auto"/>
                <w:spacing w:val="-2"/>
                <w:sz w:val="21"/>
                <w:szCs w:val="21"/>
                <w:highlight w:val="none"/>
                <w:u w:val="single" w:color="000000"/>
              </w:rPr>
              <w:tab/>
            </w:r>
          </w:p>
          <w:p w14:paraId="19E56F7E">
            <w:pPr>
              <w:pStyle w:val="38"/>
              <w:keepNext w:val="0"/>
              <w:keepLines w:val="0"/>
              <w:pageBreakBefore w:val="0"/>
              <w:widowControl w:val="0"/>
              <w:tabs>
                <w:tab w:val="left" w:pos="3621"/>
                <w:tab w:val="left" w:pos="5878"/>
              </w:tabs>
              <w:kinsoku/>
              <w:wordWrap w:val="0"/>
              <w:overflowPunct/>
              <w:topLinePunct w:val="0"/>
              <w:autoSpaceDE/>
              <w:autoSpaceDN/>
              <w:bidi w:val="0"/>
              <w:snapToGrid/>
              <w:spacing w:before="46" w:line="400" w:lineRule="exact"/>
              <w:ind w:left="103" w:right="-5"/>
              <w:jc w:val="left"/>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□目前虽在其他项目上任职，但本项目中标后能够从该项目撤</w:t>
            </w:r>
            <w:r>
              <w:rPr>
                <w:rFonts w:ascii="宋体" w:hAnsi="宋体" w:eastAsia="宋体" w:cs="宋体"/>
                <w:color w:val="auto"/>
                <w:spacing w:val="-39"/>
                <w:sz w:val="21"/>
                <w:szCs w:val="21"/>
                <w:highlight w:val="none"/>
              </w:rPr>
              <w:t xml:space="preserve"> </w:t>
            </w:r>
            <w:r>
              <w:rPr>
                <w:rFonts w:ascii="宋体" w:hAnsi="宋体" w:eastAsia="宋体" w:cs="宋体"/>
                <w:color w:val="auto"/>
                <w:spacing w:val="-10"/>
                <w:sz w:val="21"/>
                <w:szCs w:val="21"/>
                <w:highlight w:val="none"/>
              </w:rPr>
              <w:t>离，目前任职</w:t>
            </w:r>
            <w:r>
              <w:rPr>
                <w:rFonts w:ascii="宋体" w:hAnsi="宋体" w:eastAsia="宋体" w:cs="宋体"/>
                <w:color w:val="auto"/>
                <w:spacing w:val="-10"/>
                <w:sz w:val="21"/>
                <w:szCs w:val="21"/>
                <w:highlight w:val="none"/>
                <w:u w:val="none" w:color="auto"/>
              </w:rPr>
              <w:t>项目</w:t>
            </w:r>
            <w:r>
              <w:rPr>
                <w:rFonts w:hint="eastAsia" w:ascii="宋体" w:hAnsi="宋体" w:eastAsia="宋体" w:cs="宋体"/>
                <w:color w:val="auto"/>
                <w:spacing w:val="-10"/>
                <w:sz w:val="21"/>
                <w:szCs w:val="21"/>
                <w:highlight w:val="none"/>
                <w:u w:val="none" w:color="auto"/>
                <w:lang w:eastAsia="zh-CN"/>
              </w:rPr>
              <w:t>：</w:t>
            </w:r>
            <w:r>
              <w:rPr>
                <w:rFonts w:hint="eastAsia" w:ascii="宋体" w:hAnsi="宋体" w:eastAsia="宋体" w:cs="宋体"/>
                <w:color w:val="auto"/>
                <w:spacing w:val="-10"/>
                <w:sz w:val="21"/>
                <w:szCs w:val="21"/>
                <w:highlight w:val="none"/>
                <w:u w:val="single" w:color="auto"/>
                <w:lang w:val="en-US" w:eastAsia="zh-CN"/>
              </w:rPr>
              <w:t xml:space="preserve">           </w:t>
            </w:r>
            <w:r>
              <w:rPr>
                <w:rFonts w:ascii="宋体" w:hAnsi="宋体" w:eastAsia="宋体" w:cs="宋体"/>
                <w:color w:val="auto"/>
                <w:spacing w:val="-15"/>
                <w:sz w:val="21"/>
                <w:szCs w:val="21"/>
                <w:highlight w:val="none"/>
              </w:rPr>
              <w:t>，</w:t>
            </w:r>
            <w:r>
              <w:rPr>
                <w:rFonts w:ascii="宋体" w:hAnsi="宋体" w:eastAsia="宋体" w:cs="宋体"/>
                <w:color w:val="auto"/>
                <w:spacing w:val="-10"/>
                <w:sz w:val="21"/>
                <w:szCs w:val="21"/>
                <w:highlight w:val="none"/>
                <w:u w:val="none" w:color="auto"/>
              </w:rPr>
              <w:t>担任职位</w:t>
            </w:r>
            <w:r>
              <w:rPr>
                <w:rFonts w:hint="eastAsia" w:ascii="宋体" w:hAnsi="宋体" w:eastAsia="宋体" w:cs="宋体"/>
                <w:color w:val="auto"/>
                <w:spacing w:val="-10"/>
                <w:sz w:val="21"/>
                <w:szCs w:val="21"/>
                <w:highlight w:val="none"/>
                <w:u w:val="none" w:color="auto"/>
                <w:lang w:eastAsia="zh-CN"/>
              </w:rPr>
              <w:t>：</w:t>
            </w:r>
            <w:r>
              <w:rPr>
                <w:rFonts w:hint="eastAsia" w:ascii="宋体" w:hAnsi="宋体" w:eastAsia="宋体" w:cs="宋体"/>
                <w:color w:val="auto"/>
                <w:spacing w:val="-15"/>
                <w:sz w:val="21"/>
                <w:szCs w:val="21"/>
                <w:highlight w:val="none"/>
                <w:u w:val="single"/>
                <w:lang w:val="en-US" w:eastAsia="zh-CN"/>
              </w:rPr>
              <w:t xml:space="preserve">              </w:t>
            </w:r>
          </w:p>
        </w:tc>
      </w:tr>
      <w:tr w14:paraId="4B1FA1F5">
        <w:tblPrEx>
          <w:tblCellMar>
            <w:top w:w="0" w:type="dxa"/>
            <w:left w:w="0" w:type="dxa"/>
            <w:bottom w:w="0" w:type="dxa"/>
            <w:right w:w="0" w:type="dxa"/>
          </w:tblCellMar>
        </w:tblPrEx>
        <w:trPr>
          <w:trHeight w:val="1145" w:hRule="exact"/>
          <w:jc w:val="center"/>
        </w:trPr>
        <w:tc>
          <w:tcPr>
            <w:tcW w:w="2638" w:type="dxa"/>
            <w:gridSpan w:val="2"/>
            <w:tcBorders>
              <w:top w:val="single" w:color="000000" w:sz="4" w:space="0"/>
              <w:left w:val="single" w:color="000000" w:sz="4" w:space="0"/>
              <w:bottom w:val="single" w:color="000000" w:sz="4" w:space="0"/>
              <w:right w:val="single" w:color="000000" w:sz="4" w:space="0"/>
            </w:tcBorders>
            <w:vAlign w:val="center"/>
          </w:tcPr>
          <w:p w14:paraId="3B3057D5">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F6CD387">
            <w:pPr>
              <w:pStyle w:val="38"/>
              <w:keepNext w:val="0"/>
              <w:keepLines w:val="0"/>
              <w:pageBreakBefore w:val="0"/>
              <w:widowControl w:val="0"/>
              <w:kinsoku/>
              <w:wordWrap w:val="0"/>
              <w:overflowPunct/>
              <w:topLinePunct w:val="0"/>
              <w:autoSpaceDE/>
              <w:autoSpaceDN/>
              <w:bidi w:val="0"/>
              <w:snapToGrid/>
              <w:spacing w:before="13" w:line="240" w:lineRule="auto"/>
              <w:ind w:right="0"/>
              <w:jc w:val="left"/>
              <w:rPr>
                <w:rFonts w:ascii="黑体" w:hAnsi="黑体" w:eastAsia="黑体" w:cs="黑体"/>
                <w:color w:val="auto"/>
                <w:sz w:val="14"/>
                <w:szCs w:val="14"/>
                <w:highlight w:val="none"/>
              </w:rPr>
            </w:pPr>
          </w:p>
          <w:p w14:paraId="27350A66">
            <w:pPr>
              <w:pStyle w:val="38"/>
              <w:keepNext w:val="0"/>
              <w:keepLines w:val="0"/>
              <w:pageBreakBefore w:val="0"/>
              <w:widowControl w:val="0"/>
              <w:tabs>
                <w:tab w:val="left" w:pos="1576"/>
              </w:tabs>
              <w:kinsoku/>
              <w:wordWrap w:val="0"/>
              <w:overflowPunct/>
              <w:topLinePunct w:val="0"/>
              <w:autoSpaceDE/>
              <w:autoSpaceDN/>
              <w:bidi w:val="0"/>
              <w:snapToGrid/>
              <w:spacing w:line="240" w:lineRule="auto"/>
              <w:ind w:left="839"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备</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注</w:t>
            </w:r>
          </w:p>
        </w:tc>
        <w:tc>
          <w:tcPr>
            <w:tcW w:w="6095" w:type="dxa"/>
            <w:gridSpan w:val="7"/>
            <w:tcBorders>
              <w:top w:val="single" w:color="000000" w:sz="4" w:space="0"/>
              <w:left w:val="single" w:color="000000" w:sz="4" w:space="0"/>
              <w:bottom w:val="single" w:color="000000" w:sz="4" w:space="0"/>
              <w:right w:val="single" w:color="000000" w:sz="4" w:space="0"/>
            </w:tcBorders>
            <w:vAlign w:val="center"/>
          </w:tcPr>
          <w:p w14:paraId="463E90D9">
            <w:pPr>
              <w:keepNext w:val="0"/>
              <w:keepLines w:val="0"/>
              <w:pageBreakBefore w:val="0"/>
              <w:widowControl w:val="0"/>
              <w:kinsoku/>
              <w:wordWrap w:val="0"/>
              <w:overflowPunct/>
              <w:topLinePunct w:val="0"/>
              <w:autoSpaceDE/>
              <w:autoSpaceDN/>
              <w:bidi w:val="0"/>
              <w:snapToGrid/>
              <w:rPr>
                <w:color w:val="auto"/>
                <w:highlight w:val="none"/>
              </w:rPr>
            </w:pPr>
          </w:p>
        </w:tc>
      </w:tr>
    </w:tbl>
    <w:p w14:paraId="28F56F8A">
      <w:pPr>
        <w:keepNext w:val="0"/>
        <w:keepLines w:val="0"/>
        <w:pageBreakBefore w:val="0"/>
        <w:widowControl w:val="0"/>
        <w:kinsoku/>
        <w:wordWrap w:val="0"/>
        <w:overflowPunct/>
        <w:topLinePunct w:val="0"/>
        <w:autoSpaceDE/>
        <w:autoSpaceDN/>
        <w:bidi w:val="0"/>
        <w:adjustRightInd/>
        <w:snapToGrid/>
        <w:spacing w:before="0" w:beforeLines="50" w:line="360" w:lineRule="auto"/>
        <w:ind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1.本表应填写项目经理和项目总工相关情况。</w:t>
      </w:r>
    </w:p>
    <w:p w14:paraId="534D27E9">
      <w:pPr>
        <w:keepNext w:val="0"/>
        <w:keepLines w:val="0"/>
        <w:pageBreakBefore w:val="0"/>
        <w:widowControl w:val="0"/>
        <w:kinsoku/>
        <w:wordWrap w:val="0"/>
        <w:overflowPunct/>
        <w:topLinePunct w:val="0"/>
        <w:autoSpaceDE/>
        <w:autoSpaceDN/>
        <w:bidi w:val="0"/>
        <w:adjustRightInd/>
        <w:snapToGrid/>
        <w:spacing w:line="360" w:lineRule="auto"/>
        <w:ind w:right="0" w:firstLine="792" w:firstLineChars="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2.投标人应根据招标文件第二章“投标人须知”第 </w:t>
      </w:r>
      <w:r>
        <w:rPr>
          <w:rFonts w:hint="eastAsia" w:ascii="宋体" w:hAnsi="宋体" w:eastAsia="宋体" w:cs="宋体"/>
          <w:color w:val="auto"/>
          <w:sz w:val="21"/>
          <w:szCs w:val="21"/>
          <w:highlight w:val="none"/>
        </w:rPr>
        <w:t>3.5.5项的要求在本表后附相关证明材料。</w:t>
      </w:r>
    </w:p>
    <w:p w14:paraId="4406EB8D">
      <w:pPr>
        <w:keepNext w:val="0"/>
        <w:keepLines w:val="0"/>
        <w:pageBreakBefore w:val="0"/>
        <w:widowControl w:val="0"/>
        <w:kinsoku/>
        <w:wordWrap w:val="0"/>
        <w:overflowPunct/>
        <w:topLinePunct w:val="0"/>
        <w:autoSpaceDE/>
        <w:autoSpaceDN/>
        <w:bidi w:val="0"/>
        <w:adjustRightInd w:val="0"/>
        <w:snapToGrid/>
        <w:spacing w:line="400" w:lineRule="exact"/>
        <w:ind w:right="-34" w:rightChars="-16"/>
        <w:jc w:val="center"/>
        <w:outlineLvl w:val="9"/>
        <w:rPr>
          <w:rFonts w:hint="eastAsia" w:ascii="宋体" w:hAnsi="宋体" w:cs="宋体"/>
          <w:color w:val="auto"/>
          <w:kern w:val="0"/>
          <w:sz w:val="28"/>
          <w:highlight w:val="none"/>
          <w:lang w:eastAsia="zh-CN"/>
        </w:rPr>
        <w:sectPr>
          <w:headerReference r:id="rId12" w:type="default"/>
          <w:pgSz w:w="11910" w:h="16850"/>
          <w:pgMar w:top="1587" w:right="1417" w:bottom="1417" w:left="1417" w:header="883" w:footer="845" w:gutter="0"/>
          <w:pgNumType w:fmt="decimal"/>
          <w:cols w:space="720" w:num="1"/>
        </w:sectPr>
      </w:pPr>
      <w:bookmarkStart w:id="699" w:name="_Toc431367174"/>
      <w:bookmarkStart w:id="700" w:name="_Toc24409"/>
      <w:bookmarkStart w:id="701" w:name="_Toc37422302"/>
      <w:bookmarkStart w:id="702" w:name="_Toc6890"/>
      <w:bookmarkStart w:id="703" w:name="_Toc500864557"/>
      <w:bookmarkStart w:id="704" w:name="_Toc37747018"/>
    </w:p>
    <w:p w14:paraId="71B08FBF">
      <w:pPr>
        <w:pStyle w:val="4"/>
        <w:keepNext/>
        <w:keepLines/>
        <w:autoSpaceDE/>
        <w:autoSpaceDN/>
        <w:adjustRightInd/>
        <w:spacing w:line="360" w:lineRule="auto"/>
        <w:ind w:left="0" w:leftChars="0" w:right="0" w:rightChars="0" w:firstLine="0" w:firstLineChars="0"/>
        <w:jc w:val="center"/>
        <w:outlineLvl w:val="9"/>
      </w:pPr>
      <w:bookmarkStart w:id="705" w:name="_Toc29313"/>
      <w:bookmarkStart w:id="706" w:name="_Toc7786"/>
      <w:r>
        <w:rPr>
          <w:rFonts w:hint="eastAsia" w:ascii="宋体" w:hAnsi="宋体" w:eastAsia="宋体" w:cs="宋体"/>
          <w:b/>
          <w:bCs/>
          <w:color w:val="auto"/>
          <w:sz w:val="28"/>
          <w:szCs w:val="28"/>
          <w:highlight w:val="none"/>
        </w:rPr>
        <w:t>（七）拟委任的</w:t>
      </w:r>
      <w:r>
        <w:rPr>
          <w:rFonts w:hint="default" w:ascii="宋体" w:hAnsi="宋体" w:eastAsia="宋体" w:cs="宋体"/>
          <w:b/>
          <w:bCs/>
          <w:color w:val="auto"/>
          <w:sz w:val="28"/>
          <w:szCs w:val="28"/>
          <w:highlight w:val="none"/>
        </w:rPr>
        <w:t>主要人员汇总表</w:t>
      </w:r>
      <w:bookmarkEnd w:id="705"/>
      <w:bookmarkEnd w:id="706"/>
    </w:p>
    <w:tbl>
      <w:tblPr>
        <w:tblStyle w:val="29"/>
        <w:tblW w:w="9376"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8"/>
        <w:gridCol w:w="1266"/>
        <w:gridCol w:w="1152"/>
        <w:gridCol w:w="933"/>
        <w:gridCol w:w="569"/>
        <w:gridCol w:w="1322"/>
        <w:gridCol w:w="829"/>
        <w:gridCol w:w="1019"/>
        <w:gridCol w:w="1328"/>
      </w:tblGrid>
      <w:tr w14:paraId="07170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58" w:type="dxa"/>
            <w:vMerge w:val="restart"/>
            <w:tcBorders>
              <w:bottom w:val="nil"/>
            </w:tcBorders>
            <w:noWrap w:val="0"/>
            <w:vAlign w:val="center"/>
          </w:tcPr>
          <w:p w14:paraId="2F6FC069">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1266" w:type="dxa"/>
            <w:vMerge w:val="restart"/>
            <w:tcBorders>
              <w:bottom w:val="nil"/>
            </w:tcBorders>
            <w:noWrap w:val="0"/>
            <w:vAlign w:val="center"/>
          </w:tcPr>
          <w:p w14:paraId="30ED7CF8">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本项目任职</w:t>
            </w:r>
          </w:p>
        </w:tc>
        <w:tc>
          <w:tcPr>
            <w:tcW w:w="1152" w:type="dxa"/>
            <w:vMerge w:val="restart"/>
            <w:tcBorders>
              <w:bottom w:val="nil"/>
            </w:tcBorders>
            <w:noWrap w:val="0"/>
            <w:vAlign w:val="center"/>
          </w:tcPr>
          <w:p w14:paraId="51E852FD">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姓名</w:t>
            </w:r>
          </w:p>
        </w:tc>
        <w:tc>
          <w:tcPr>
            <w:tcW w:w="933" w:type="dxa"/>
            <w:vMerge w:val="restart"/>
            <w:tcBorders>
              <w:bottom w:val="nil"/>
            </w:tcBorders>
            <w:noWrap w:val="0"/>
            <w:textDirection w:val="tbRlV"/>
            <w:vAlign w:val="center"/>
          </w:tcPr>
          <w:p w14:paraId="60EFBDF9">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职  称</w:t>
            </w:r>
          </w:p>
        </w:tc>
        <w:tc>
          <w:tcPr>
            <w:tcW w:w="569" w:type="dxa"/>
            <w:vMerge w:val="restart"/>
            <w:tcBorders>
              <w:bottom w:val="nil"/>
            </w:tcBorders>
            <w:noWrap w:val="0"/>
            <w:textDirection w:val="tbRlV"/>
            <w:vAlign w:val="center"/>
          </w:tcPr>
          <w:p w14:paraId="490572AA">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专  业</w:t>
            </w:r>
          </w:p>
        </w:tc>
        <w:tc>
          <w:tcPr>
            <w:tcW w:w="3170" w:type="dxa"/>
            <w:gridSpan w:val="3"/>
            <w:noWrap w:val="0"/>
            <w:vAlign w:val="center"/>
          </w:tcPr>
          <w:p w14:paraId="4C2760CA">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执业或职业资格证明</w:t>
            </w:r>
          </w:p>
        </w:tc>
        <w:tc>
          <w:tcPr>
            <w:tcW w:w="1328" w:type="dxa"/>
            <w:noWrap w:val="0"/>
            <w:vAlign w:val="center"/>
          </w:tcPr>
          <w:p w14:paraId="7DAEACBE">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14:paraId="5C4B0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vMerge w:val="continue"/>
            <w:tcBorders>
              <w:top w:val="nil"/>
            </w:tcBorders>
            <w:noWrap w:val="0"/>
            <w:vAlign w:val="center"/>
          </w:tcPr>
          <w:p w14:paraId="414E8DB4">
            <w:pPr>
              <w:jc w:val="center"/>
              <w:rPr>
                <w:rFonts w:hint="default" w:ascii="Times New Roman" w:hAnsi="Times New Roman" w:eastAsia="宋体" w:cs="Times New Roman"/>
                <w:color w:val="auto"/>
                <w:sz w:val="21"/>
                <w:szCs w:val="21"/>
              </w:rPr>
            </w:pPr>
          </w:p>
        </w:tc>
        <w:tc>
          <w:tcPr>
            <w:tcW w:w="1266" w:type="dxa"/>
            <w:vMerge w:val="continue"/>
            <w:tcBorders>
              <w:top w:val="nil"/>
            </w:tcBorders>
            <w:noWrap w:val="0"/>
            <w:vAlign w:val="center"/>
          </w:tcPr>
          <w:p w14:paraId="3803E76B">
            <w:pPr>
              <w:jc w:val="center"/>
              <w:rPr>
                <w:rFonts w:hint="default" w:ascii="Times New Roman" w:hAnsi="Times New Roman" w:eastAsia="宋体" w:cs="Times New Roman"/>
                <w:color w:val="auto"/>
                <w:sz w:val="21"/>
                <w:szCs w:val="21"/>
              </w:rPr>
            </w:pPr>
          </w:p>
        </w:tc>
        <w:tc>
          <w:tcPr>
            <w:tcW w:w="1152" w:type="dxa"/>
            <w:vMerge w:val="continue"/>
            <w:tcBorders>
              <w:top w:val="nil"/>
            </w:tcBorders>
            <w:noWrap w:val="0"/>
            <w:vAlign w:val="center"/>
          </w:tcPr>
          <w:p w14:paraId="256101C2">
            <w:pPr>
              <w:jc w:val="center"/>
              <w:rPr>
                <w:rFonts w:hint="default" w:ascii="Times New Roman" w:hAnsi="Times New Roman" w:eastAsia="宋体" w:cs="Times New Roman"/>
                <w:color w:val="auto"/>
                <w:sz w:val="21"/>
                <w:szCs w:val="21"/>
              </w:rPr>
            </w:pPr>
          </w:p>
        </w:tc>
        <w:tc>
          <w:tcPr>
            <w:tcW w:w="933" w:type="dxa"/>
            <w:vMerge w:val="continue"/>
            <w:tcBorders>
              <w:top w:val="nil"/>
            </w:tcBorders>
            <w:noWrap w:val="0"/>
            <w:textDirection w:val="tbRlV"/>
            <w:vAlign w:val="center"/>
          </w:tcPr>
          <w:p w14:paraId="7D5FC1DA">
            <w:pPr>
              <w:jc w:val="center"/>
              <w:rPr>
                <w:rFonts w:hint="default" w:ascii="Times New Roman" w:hAnsi="Times New Roman" w:eastAsia="宋体" w:cs="Times New Roman"/>
                <w:color w:val="auto"/>
                <w:sz w:val="21"/>
                <w:szCs w:val="21"/>
              </w:rPr>
            </w:pPr>
          </w:p>
        </w:tc>
        <w:tc>
          <w:tcPr>
            <w:tcW w:w="569" w:type="dxa"/>
            <w:vMerge w:val="continue"/>
            <w:tcBorders>
              <w:top w:val="nil"/>
            </w:tcBorders>
            <w:noWrap w:val="0"/>
            <w:textDirection w:val="tbRlV"/>
            <w:vAlign w:val="center"/>
          </w:tcPr>
          <w:p w14:paraId="306865FB">
            <w:pPr>
              <w:jc w:val="center"/>
              <w:rPr>
                <w:rFonts w:hint="default" w:ascii="Times New Roman" w:hAnsi="Times New Roman" w:eastAsia="宋体" w:cs="Times New Roman"/>
                <w:color w:val="auto"/>
                <w:sz w:val="21"/>
                <w:szCs w:val="21"/>
              </w:rPr>
            </w:pPr>
          </w:p>
        </w:tc>
        <w:tc>
          <w:tcPr>
            <w:tcW w:w="1322" w:type="dxa"/>
            <w:noWrap w:val="0"/>
            <w:vAlign w:val="center"/>
          </w:tcPr>
          <w:p w14:paraId="54AC2141">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证书名称</w:t>
            </w:r>
          </w:p>
        </w:tc>
        <w:tc>
          <w:tcPr>
            <w:tcW w:w="829" w:type="dxa"/>
            <w:noWrap w:val="0"/>
            <w:vAlign w:val="center"/>
          </w:tcPr>
          <w:p w14:paraId="2B29D2C3">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级别</w:t>
            </w:r>
          </w:p>
        </w:tc>
        <w:tc>
          <w:tcPr>
            <w:tcW w:w="1019" w:type="dxa"/>
            <w:noWrap w:val="0"/>
            <w:vAlign w:val="center"/>
          </w:tcPr>
          <w:p w14:paraId="5A9A1C5E">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证号</w:t>
            </w:r>
          </w:p>
        </w:tc>
        <w:tc>
          <w:tcPr>
            <w:tcW w:w="1328" w:type="dxa"/>
            <w:noWrap w:val="0"/>
            <w:vAlign w:val="center"/>
          </w:tcPr>
          <w:p w14:paraId="45928DCC">
            <w:pPr>
              <w:jc w:val="center"/>
              <w:rPr>
                <w:rFonts w:hint="default" w:ascii="Times New Roman" w:hAnsi="Times New Roman" w:eastAsia="宋体" w:cs="Times New Roman"/>
                <w:color w:val="auto"/>
                <w:sz w:val="21"/>
                <w:szCs w:val="21"/>
              </w:rPr>
            </w:pPr>
          </w:p>
        </w:tc>
      </w:tr>
      <w:tr w14:paraId="75ED5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3E4BF504">
            <w:pPr>
              <w:jc w:val="center"/>
              <w:rPr>
                <w:rFonts w:hint="default" w:ascii="Times New Roman" w:hAnsi="Times New Roman" w:eastAsia="宋体" w:cs="Times New Roman"/>
                <w:color w:val="auto"/>
                <w:sz w:val="21"/>
                <w:szCs w:val="21"/>
              </w:rPr>
            </w:pPr>
          </w:p>
        </w:tc>
        <w:tc>
          <w:tcPr>
            <w:tcW w:w="1266" w:type="dxa"/>
            <w:noWrap w:val="0"/>
            <w:vAlign w:val="center"/>
          </w:tcPr>
          <w:p w14:paraId="2187F655">
            <w:pPr>
              <w:jc w:val="center"/>
              <w:rPr>
                <w:rFonts w:hint="default" w:ascii="Times New Roman" w:hAnsi="Times New Roman" w:eastAsia="宋体" w:cs="Times New Roman"/>
                <w:color w:val="auto"/>
                <w:sz w:val="21"/>
                <w:szCs w:val="21"/>
              </w:rPr>
            </w:pPr>
          </w:p>
        </w:tc>
        <w:tc>
          <w:tcPr>
            <w:tcW w:w="1152" w:type="dxa"/>
            <w:noWrap w:val="0"/>
            <w:vAlign w:val="center"/>
          </w:tcPr>
          <w:p w14:paraId="74B969BE">
            <w:pPr>
              <w:jc w:val="center"/>
              <w:rPr>
                <w:rFonts w:hint="default" w:ascii="Times New Roman" w:hAnsi="Times New Roman" w:eastAsia="宋体" w:cs="Times New Roman"/>
                <w:color w:val="auto"/>
                <w:sz w:val="21"/>
                <w:szCs w:val="21"/>
              </w:rPr>
            </w:pPr>
          </w:p>
        </w:tc>
        <w:tc>
          <w:tcPr>
            <w:tcW w:w="933" w:type="dxa"/>
            <w:noWrap w:val="0"/>
            <w:vAlign w:val="center"/>
          </w:tcPr>
          <w:p w14:paraId="3180081D">
            <w:pPr>
              <w:jc w:val="center"/>
              <w:rPr>
                <w:rFonts w:hint="default" w:ascii="Times New Roman" w:hAnsi="Times New Roman" w:eastAsia="宋体" w:cs="Times New Roman"/>
                <w:color w:val="auto"/>
                <w:sz w:val="21"/>
                <w:szCs w:val="21"/>
              </w:rPr>
            </w:pPr>
          </w:p>
        </w:tc>
        <w:tc>
          <w:tcPr>
            <w:tcW w:w="569" w:type="dxa"/>
            <w:noWrap w:val="0"/>
            <w:vAlign w:val="center"/>
          </w:tcPr>
          <w:p w14:paraId="670B1B79">
            <w:pPr>
              <w:jc w:val="center"/>
              <w:rPr>
                <w:rFonts w:hint="default" w:ascii="Times New Roman" w:hAnsi="Times New Roman" w:eastAsia="宋体" w:cs="Times New Roman"/>
                <w:color w:val="auto"/>
                <w:sz w:val="21"/>
                <w:szCs w:val="21"/>
              </w:rPr>
            </w:pPr>
          </w:p>
        </w:tc>
        <w:tc>
          <w:tcPr>
            <w:tcW w:w="1322" w:type="dxa"/>
            <w:noWrap w:val="0"/>
            <w:vAlign w:val="center"/>
          </w:tcPr>
          <w:p w14:paraId="4B112007">
            <w:pPr>
              <w:jc w:val="center"/>
              <w:rPr>
                <w:rFonts w:hint="default" w:ascii="Times New Roman" w:hAnsi="Times New Roman" w:eastAsia="宋体" w:cs="Times New Roman"/>
                <w:color w:val="auto"/>
                <w:sz w:val="21"/>
                <w:szCs w:val="21"/>
              </w:rPr>
            </w:pPr>
          </w:p>
        </w:tc>
        <w:tc>
          <w:tcPr>
            <w:tcW w:w="829" w:type="dxa"/>
            <w:noWrap w:val="0"/>
            <w:vAlign w:val="center"/>
          </w:tcPr>
          <w:p w14:paraId="14394C96">
            <w:pPr>
              <w:jc w:val="center"/>
              <w:rPr>
                <w:rFonts w:hint="default" w:ascii="Times New Roman" w:hAnsi="Times New Roman" w:eastAsia="宋体" w:cs="Times New Roman"/>
                <w:color w:val="auto"/>
                <w:sz w:val="21"/>
                <w:szCs w:val="21"/>
              </w:rPr>
            </w:pPr>
          </w:p>
        </w:tc>
        <w:tc>
          <w:tcPr>
            <w:tcW w:w="1019" w:type="dxa"/>
            <w:noWrap w:val="0"/>
            <w:vAlign w:val="center"/>
          </w:tcPr>
          <w:p w14:paraId="37FB8254">
            <w:pPr>
              <w:jc w:val="center"/>
              <w:rPr>
                <w:rFonts w:hint="default" w:ascii="Times New Roman" w:hAnsi="Times New Roman" w:eastAsia="宋体" w:cs="Times New Roman"/>
                <w:color w:val="auto"/>
                <w:sz w:val="21"/>
                <w:szCs w:val="21"/>
              </w:rPr>
            </w:pPr>
          </w:p>
        </w:tc>
        <w:tc>
          <w:tcPr>
            <w:tcW w:w="1328" w:type="dxa"/>
            <w:noWrap w:val="0"/>
            <w:vAlign w:val="center"/>
          </w:tcPr>
          <w:p w14:paraId="3D092E6E">
            <w:pPr>
              <w:jc w:val="center"/>
              <w:rPr>
                <w:rFonts w:hint="default" w:ascii="Times New Roman" w:hAnsi="Times New Roman" w:eastAsia="宋体" w:cs="Times New Roman"/>
                <w:color w:val="auto"/>
                <w:sz w:val="21"/>
                <w:szCs w:val="21"/>
              </w:rPr>
            </w:pPr>
          </w:p>
        </w:tc>
      </w:tr>
      <w:tr w14:paraId="25F2A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326CB994">
            <w:pPr>
              <w:jc w:val="center"/>
              <w:rPr>
                <w:rFonts w:hint="default" w:ascii="Times New Roman" w:hAnsi="Times New Roman" w:eastAsia="宋体" w:cs="Times New Roman"/>
                <w:color w:val="auto"/>
                <w:sz w:val="21"/>
                <w:szCs w:val="21"/>
              </w:rPr>
            </w:pPr>
          </w:p>
        </w:tc>
        <w:tc>
          <w:tcPr>
            <w:tcW w:w="1266" w:type="dxa"/>
            <w:noWrap w:val="0"/>
            <w:vAlign w:val="center"/>
          </w:tcPr>
          <w:p w14:paraId="1A55273F">
            <w:pPr>
              <w:jc w:val="center"/>
              <w:rPr>
                <w:rFonts w:hint="default" w:ascii="Times New Roman" w:hAnsi="Times New Roman" w:eastAsia="宋体" w:cs="Times New Roman"/>
                <w:color w:val="auto"/>
                <w:sz w:val="21"/>
                <w:szCs w:val="21"/>
              </w:rPr>
            </w:pPr>
          </w:p>
        </w:tc>
        <w:tc>
          <w:tcPr>
            <w:tcW w:w="1152" w:type="dxa"/>
            <w:noWrap w:val="0"/>
            <w:vAlign w:val="center"/>
          </w:tcPr>
          <w:p w14:paraId="143DCDA8">
            <w:pPr>
              <w:jc w:val="center"/>
              <w:rPr>
                <w:rFonts w:hint="default" w:ascii="Times New Roman" w:hAnsi="Times New Roman" w:eastAsia="宋体" w:cs="Times New Roman"/>
                <w:color w:val="auto"/>
                <w:sz w:val="21"/>
                <w:szCs w:val="21"/>
              </w:rPr>
            </w:pPr>
          </w:p>
        </w:tc>
        <w:tc>
          <w:tcPr>
            <w:tcW w:w="933" w:type="dxa"/>
            <w:noWrap w:val="0"/>
            <w:vAlign w:val="center"/>
          </w:tcPr>
          <w:p w14:paraId="29EDB55B">
            <w:pPr>
              <w:jc w:val="center"/>
              <w:rPr>
                <w:rFonts w:hint="default" w:ascii="Times New Roman" w:hAnsi="Times New Roman" w:eastAsia="宋体" w:cs="Times New Roman"/>
                <w:color w:val="auto"/>
                <w:sz w:val="21"/>
                <w:szCs w:val="21"/>
              </w:rPr>
            </w:pPr>
          </w:p>
        </w:tc>
        <w:tc>
          <w:tcPr>
            <w:tcW w:w="569" w:type="dxa"/>
            <w:noWrap w:val="0"/>
            <w:vAlign w:val="center"/>
          </w:tcPr>
          <w:p w14:paraId="19CCA8D5">
            <w:pPr>
              <w:jc w:val="center"/>
              <w:rPr>
                <w:rFonts w:hint="default" w:ascii="Times New Roman" w:hAnsi="Times New Roman" w:eastAsia="宋体" w:cs="Times New Roman"/>
                <w:color w:val="auto"/>
                <w:sz w:val="21"/>
                <w:szCs w:val="21"/>
              </w:rPr>
            </w:pPr>
          </w:p>
        </w:tc>
        <w:tc>
          <w:tcPr>
            <w:tcW w:w="1322" w:type="dxa"/>
            <w:noWrap w:val="0"/>
            <w:vAlign w:val="center"/>
          </w:tcPr>
          <w:p w14:paraId="223B803A">
            <w:pPr>
              <w:jc w:val="center"/>
              <w:rPr>
                <w:rFonts w:hint="default" w:ascii="Times New Roman" w:hAnsi="Times New Roman" w:eastAsia="宋体" w:cs="Times New Roman"/>
                <w:color w:val="auto"/>
                <w:sz w:val="21"/>
                <w:szCs w:val="21"/>
              </w:rPr>
            </w:pPr>
          </w:p>
        </w:tc>
        <w:tc>
          <w:tcPr>
            <w:tcW w:w="829" w:type="dxa"/>
            <w:noWrap w:val="0"/>
            <w:vAlign w:val="center"/>
          </w:tcPr>
          <w:p w14:paraId="10629AA1">
            <w:pPr>
              <w:jc w:val="center"/>
              <w:rPr>
                <w:rFonts w:hint="default" w:ascii="Times New Roman" w:hAnsi="Times New Roman" w:eastAsia="宋体" w:cs="Times New Roman"/>
                <w:color w:val="auto"/>
                <w:sz w:val="21"/>
                <w:szCs w:val="21"/>
              </w:rPr>
            </w:pPr>
          </w:p>
        </w:tc>
        <w:tc>
          <w:tcPr>
            <w:tcW w:w="1019" w:type="dxa"/>
            <w:noWrap w:val="0"/>
            <w:vAlign w:val="center"/>
          </w:tcPr>
          <w:p w14:paraId="51D1316C">
            <w:pPr>
              <w:jc w:val="center"/>
              <w:rPr>
                <w:rFonts w:hint="default" w:ascii="Times New Roman" w:hAnsi="Times New Roman" w:eastAsia="宋体" w:cs="Times New Roman"/>
                <w:color w:val="auto"/>
                <w:sz w:val="21"/>
                <w:szCs w:val="21"/>
              </w:rPr>
            </w:pPr>
          </w:p>
        </w:tc>
        <w:tc>
          <w:tcPr>
            <w:tcW w:w="1328" w:type="dxa"/>
            <w:noWrap w:val="0"/>
            <w:vAlign w:val="center"/>
          </w:tcPr>
          <w:p w14:paraId="58AB2F14">
            <w:pPr>
              <w:jc w:val="center"/>
              <w:rPr>
                <w:rFonts w:hint="default" w:ascii="Times New Roman" w:hAnsi="Times New Roman" w:eastAsia="宋体" w:cs="Times New Roman"/>
                <w:color w:val="auto"/>
                <w:sz w:val="21"/>
                <w:szCs w:val="21"/>
              </w:rPr>
            </w:pPr>
          </w:p>
        </w:tc>
      </w:tr>
      <w:tr w14:paraId="4BBB7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451DCB93">
            <w:pPr>
              <w:jc w:val="center"/>
              <w:rPr>
                <w:rFonts w:hint="default" w:ascii="Times New Roman" w:hAnsi="Times New Roman" w:eastAsia="宋体" w:cs="Times New Roman"/>
                <w:color w:val="auto"/>
                <w:sz w:val="21"/>
                <w:szCs w:val="21"/>
              </w:rPr>
            </w:pPr>
          </w:p>
        </w:tc>
        <w:tc>
          <w:tcPr>
            <w:tcW w:w="1266" w:type="dxa"/>
            <w:noWrap w:val="0"/>
            <w:vAlign w:val="center"/>
          </w:tcPr>
          <w:p w14:paraId="2E56BACF">
            <w:pPr>
              <w:jc w:val="center"/>
              <w:rPr>
                <w:rFonts w:hint="default" w:ascii="Times New Roman" w:hAnsi="Times New Roman" w:eastAsia="宋体" w:cs="Times New Roman"/>
                <w:color w:val="auto"/>
                <w:sz w:val="21"/>
                <w:szCs w:val="21"/>
              </w:rPr>
            </w:pPr>
          </w:p>
        </w:tc>
        <w:tc>
          <w:tcPr>
            <w:tcW w:w="1152" w:type="dxa"/>
            <w:noWrap w:val="0"/>
            <w:vAlign w:val="center"/>
          </w:tcPr>
          <w:p w14:paraId="211DC3D1">
            <w:pPr>
              <w:jc w:val="center"/>
              <w:rPr>
                <w:rFonts w:hint="default" w:ascii="Times New Roman" w:hAnsi="Times New Roman" w:eastAsia="宋体" w:cs="Times New Roman"/>
                <w:color w:val="auto"/>
                <w:sz w:val="21"/>
                <w:szCs w:val="21"/>
              </w:rPr>
            </w:pPr>
          </w:p>
        </w:tc>
        <w:tc>
          <w:tcPr>
            <w:tcW w:w="933" w:type="dxa"/>
            <w:noWrap w:val="0"/>
            <w:vAlign w:val="center"/>
          </w:tcPr>
          <w:p w14:paraId="21DC3C61">
            <w:pPr>
              <w:jc w:val="center"/>
              <w:rPr>
                <w:rFonts w:hint="default" w:ascii="Times New Roman" w:hAnsi="Times New Roman" w:eastAsia="宋体" w:cs="Times New Roman"/>
                <w:color w:val="auto"/>
                <w:sz w:val="21"/>
                <w:szCs w:val="21"/>
              </w:rPr>
            </w:pPr>
          </w:p>
        </w:tc>
        <w:tc>
          <w:tcPr>
            <w:tcW w:w="569" w:type="dxa"/>
            <w:noWrap w:val="0"/>
            <w:vAlign w:val="center"/>
          </w:tcPr>
          <w:p w14:paraId="26DDE532">
            <w:pPr>
              <w:jc w:val="center"/>
              <w:rPr>
                <w:rFonts w:hint="default" w:ascii="Times New Roman" w:hAnsi="Times New Roman" w:eastAsia="宋体" w:cs="Times New Roman"/>
                <w:color w:val="auto"/>
                <w:sz w:val="21"/>
                <w:szCs w:val="21"/>
              </w:rPr>
            </w:pPr>
          </w:p>
        </w:tc>
        <w:tc>
          <w:tcPr>
            <w:tcW w:w="1322" w:type="dxa"/>
            <w:noWrap w:val="0"/>
            <w:vAlign w:val="center"/>
          </w:tcPr>
          <w:p w14:paraId="6BB7DFDC">
            <w:pPr>
              <w:jc w:val="center"/>
              <w:rPr>
                <w:rFonts w:hint="default" w:ascii="Times New Roman" w:hAnsi="Times New Roman" w:eastAsia="宋体" w:cs="Times New Roman"/>
                <w:color w:val="auto"/>
                <w:sz w:val="21"/>
                <w:szCs w:val="21"/>
              </w:rPr>
            </w:pPr>
          </w:p>
        </w:tc>
        <w:tc>
          <w:tcPr>
            <w:tcW w:w="829" w:type="dxa"/>
            <w:noWrap w:val="0"/>
            <w:vAlign w:val="center"/>
          </w:tcPr>
          <w:p w14:paraId="439314B4">
            <w:pPr>
              <w:jc w:val="center"/>
              <w:rPr>
                <w:rFonts w:hint="default" w:ascii="Times New Roman" w:hAnsi="Times New Roman" w:eastAsia="宋体" w:cs="Times New Roman"/>
                <w:color w:val="auto"/>
                <w:sz w:val="21"/>
                <w:szCs w:val="21"/>
              </w:rPr>
            </w:pPr>
          </w:p>
        </w:tc>
        <w:tc>
          <w:tcPr>
            <w:tcW w:w="1019" w:type="dxa"/>
            <w:noWrap w:val="0"/>
            <w:vAlign w:val="center"/>
          </w:tcPr>
          <w:p w14:paraId="257479B1">
            <w:pPr>
              <w:jc w:val="center"/>
              <w:rPr>
                <w:rFonts w:hint="default" w:ascii="Times New Roman" w:hAnsi="Times New Roman" w:eastAsia="宋体" w:cs="Times New Roman"/>
                <w:color w:val="auto"/>
                <w:sz w:val="21"/>
                <w:szCs w:val="21"/>
              </w:rPr>
            </w:pPr>
          </w:p>
        </w:tc>
        <w:tc>
          <w:tcPr>
            <w:tcW w:w="1328" w:type="dxa"/>
            <w:noWrap w:val="0"/>
            <w:vAlign w:val="center"/>
          </w:tcPr>
          <w:p w14:paraId="4ABFCF6C">
            <w:pPr>
              <w:jc w:val="center"/>
              <w:rPr>
                <w:rFonts w:hint="default" w:ascii="Times New Roman" w:hAnsi="Times New Roman" w:eastAsia="宋体" w:cs="Times New Roman"/>
                <w:color w:val="auto"/>
                <w:sz w:val="21"/>
                <w:szCs w:val="21"/>
              </w:rPr>
            </w:pPr>
          </w:p>
        </w:tc>
      </w:tr>
      <w:tr w14:paraId="316869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8" w:type="dxa"/>
            <w:noWrap w:val="0"/>
            <w:vAlign w:val="center"/>
          </w:tcPr>
          <w:p w14:paraId="7A273446">
            <w:pPr>
              <w:jc w:val="center"/>
              <w:rPr>
                <w:rFonts w:hint="default" w:ascii="Times New Roman" w:hAnsi="Times New Roman" w:eastAsia="宋体" w:cs="Times New Roman"/>
                <w:color w:val="auto"/>
                <w:sz w:val="21"/>
                <w:szCs w:val="21"/>
              </w:rPr>
            </w:pPr>
          </w:p>
        </w:tc>
        <w:tc>
          <w:tcPr>
            <w:tcW w:w="1266" w:type="dxa"/>
            <w:noWrap w:val="0"/>
            <w:vAlign w:val="center"/>
          </w:tcPr>
          <w:p w14:paraId="0E50F303">
            <w:pPr>
              <w:jc w:val="center"/>
              <w:rPr>
                <w:rFonts w:hint="default" w:ascii="Times New Roman" w:hAnsi="Times New Roman" w:eastAsia="宋体" w:cs="Times New Roman"/>
                <w:color w:val="auto"/>
                <w:sz w:val="21"/>
                <w:szCs w:val="21"/>
              </w:rPr>
            </w:pPr>
          </w:p>
        </w:tc>
        <w:tc>
          <w:tcPr>
            <w:tcW w:w="1152" w:type="dxa"/>
            <w:noWrap w:val="0"/>
            <w:vAlign w:val="center"/>
          </w:tcPr>
          <w:p w14:paraId="3E995CF4">
            <w:pPr>
              <w:jc w:val="center"/>
              <w:rPr>
                <w:rFonts w:hint="default" w:ascii="Times New Roman" w:hAnsi="Times New Roman" w:eastAsia="宋体" w:cs="Times New Roman"/>
                <w:color w:val="auto"/>
                <w:sz w:val="21"/>
                <w:szCs w:val="21"/>
              </w:rPr>
            </w:pPr>
          </w:p>
        </w:tc>
        <w:tc>
          <w:tcPr>
            <w:tcW w:w="933" w:type="dxa"/>
            <w:noWrap w:val="0"/>
            <w:vAlign w:val="center"/>
          </w:tcPr>
          <w:p w14:paraId="4569A394">
            <w:pPr>
              <w:jc w:val="center"/>
              <w:rPr>
                <w:rFonts w:hint="default" w:ascii="Times New Roman" w:hAnsi="Times New Roman" w:eastAsia="宋体" w:cs="Times New Roman"/>
                <w:color w:val="auto"/>
                <w:sz w:val="21"/>
                <w:szCs w:val="21"/>
              </w:rPr>
            </w:pPr>
          </w:p>
        </w:tc>
        <w:tc>
          <w:tcPr>
            <w:tcW w:w="569" w:type="dxa"/>
            <w:noWrap w:val="0"/>
            <w:vAlign w:val="center"/>
          </w:tcPr>
          <w:p w14:paraId="609E2D11">
            <w:pPr>
              <w:jc w:val="center"/>
              <w:rPr>
                <w:rFonts w:hint="default" w:ascii="Times New Roman" w:hAnsi="Times New Roman" w:eastAsia="宋体" w:cs="Times New Roman"/>
                <w:color w:val="auto"/>
                <w:sz w:val="21"/>
                <w:szCs w:val="21"/>
              </w:rPr>
            </w:pPr>
          </w:p>
        </w:tc>
        <w:tc>
          <w:tcPr>
            <w:tcW w:w="1322" w:type="dxa"/>
            <w:noWrap w:val="0"/>
            <w:vAlign w:val="center"/>
          </w:tcPr>
          <w:p w14:paraId="10360598">
            <w:pPr>
              <w:jc w:val="center"/>
              <w:rPr>
                <w:rFonts w:hint="default" w:ascii="Times New Roman" w:hAnsi="Times New Roman" w:eastAsia="宋体" w:cs="Times New Roman"/>
                <w:color w:val="auto"/>
                <w:sz w:val="21"/>
                <w:szCs w:val="21"/>
              </w:rPr>
            </w:pPr>
          </w:p>
        </w:tc>
        <w:tc>
          <w:tcPr>
            <w:tcW w:w="829" w:type="dxa"/>
            <w:noWrap w:val="0"/>
            <w:vAlign w:val="center"/>
          </w:tcPr>
          <w:p w14:paraId="350994B3">
            <w:pPr>
              <w:jc w:val="center"/>
              <w:rPr>
                <w:rFonts w:hint="default" w:ascii="Times New Roman" w:hAnsi="Times New Roman" w:eastAsia="宋体" w:cs="Times New Roman"/>
                <w:color w:val="auto"/>
                <w:sz w:val="21"/>
                <w:szCs w:val="21"/>
              </w:rPr>
            </w:pPr>
          </w:p>
        </w:tc>
        <w:tc>
          <w:tcPr>
            <w:tcW w:w="1019" w:type="dxa"/>
            <w:noWrap w:val="0"/>
            <w:vAlign w:val="center"/>
          </w:tcPr>
          <w:p w14:paraId="78003ADD">
            <w:pPr>
              <w:jc w:val="center"/>
              <w:rPr>
                <w:rFonts w:hint="default" w:ascii="Times New Roman" w:hAnsi="Times New Roman" w:eastAsia="宋体" w:cs="Times New Roman"/>
                <w:color w:val="auto"/>
                <w:sz w:val="21"/>
                <w:szCs w:val="21"/>
              </w:rPr>
            </w:pPr>
          </w:p>
        </w:tc>
        <w:tc>
          <w:tcPr>
            <w:tcW w:w="1328" w:type="dxa"/>
            <w:noWrap w:val="0"/>
            <w:vAlign w:val="center"/>
          </w:tcPr>
          <w:p w14:paraId="736713B3">
            <w:pPr>
              <w:jc w:val="center"/>
              <w:rPr>
                <w:rFonts w:hint="default" w:ascii="Times New Roman" w:hAnsi="Times New Roman" w:eastAsia="宋体" w:cs="Times New Roman"/>
                <w:color w:val="auto"/>
                <w:sz w:val="21"/>
                <w:szCs w:val="21"/>
              </w:rPr>
            </w:pPr>
          </w:p>
        </w:tc>
      </w:tr>
      <w:tr w14:paraId="48C9C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22BF0989">
            <w:pPr>
              <w:jc w:val="center"/>
              <w:rPr>
                <w:rFonts w:hint="default" w:ascii="Times New Roman" w:hAnsi="Times New Roman" w:eastAsia="宋体" w:cs="Times New Roman"/>
                <w:color w:val="auto"/>
                <w:sz w:val="21"/>
                <w:szCs w:val="21"/>
              </w:rPr>
            </w:pPr>
          </w:p>
        </w:tc>
        <w:tc>
          <w:tcPr>
            <w:tcW w:w="1266" w:type="dxa"/>
            <w:noWrap w:val="0"/>
            <w:vAlign w:val="center"/>
          </w:tcPr>
          <w:p w14:paraId="42659CA2">
            <w:pPr>
              <w:jc w:val="center"/>
              <w:rPr>
                <w:rFonts w:hint="default" w:ascii="Times New Roman" w:hAnsi="Times New Roman" w:eastAsia="宋体" w:cs="Times New Roman"/>
                <w:color w:val="auto"/>
                <w:sz w:val="21"/>
                <w:szCs w:val="21"/>
              </w:rPr>
            </w:pPr>
          </w:p>
        </w:tc>
        <w:tc>
          <w:tcPr>
            <w:tcW w:w="1152" w:type="dxa"/>
            <w:noWrap w:val="0"/>
            <w:vAlign w:val="center"/>
          </w:tcPr>
          <w:p w14:paraId="6ABB5E87">
            <w:pPr>
              <w:jc w:val="center"/>
              <w:rPr>
                <w:rFonts w:hint="default" w:ascii="Times New Roman" w:hAnsi="Times New Roman" w:eastAsia="宋体" w:cs="Times New Roman"/>
                <w:color w:val="auto"/>
                <w:sz w:val="21"/>
                <w:szCs w:val="21"/>
              </w:rPr>
            </w:pPr>
          </w:p>
        </w:tc>
        <w:tc>
          <w:tcPr>
            <w:tcW w:w="933" w:type="dxa"/>
            <w:noWrap w:val="0"/>
            <w:vAlign w:val="center"/>
          </w:tcPr>
          <w:p w14:paraId="18295FE8">
            <w:pPr>
              <w:jc w:val="center"/>
              <w:rPr>
                <w:rFonts w:hint="default" w:ascii="Times New Roman" w:hAnsi="Times New Roman" w:eastAsia="宋体" w:cs="Times New Roman"/>
                <w:color w:val="auto"/>
                <w:sz w:val="21"/>
                <w:szCs w:val="21"/>
              </w:rPr>
            </w:pPr>
          </w:p>
        </w:tc>
        <w:tc>
          <w:tcPr>
            <w:tcW w:w="569" w:type="dxa"/>
            <w:noWrap w:val="0"/>
            <w:vAlign w:val="center"/>
          </w:tcPr>
          <w:p w14:paraId="515C7F99">
            <w:pPr>
              <w:jc w:val="center"/>
              <w:rPr>
                <w:rFonts w:hint="default" w:ascii="Times New Roman" w:hAnsi="Times New Roman" w:eastAsia="宋体" w:cs="Times New Roman"/>
                <w:color w:val="auto"/>
                <w:sz w:val="21"/>
                <w:szCs w:val="21"/>
              </w:rPr>
            </w:pPr>
          </w:p>
        </w:tc>
        <w:tc>
          <w:tcPr>
            <w:tcW w:w="1322" w:type="dxa"/>
            <w:noWrap w:val="0"/>
            <w:vAlign w:val="center"/>
          </w:tcPr>
          <w:p w14:paraId="76C45893">
            <w:pPr>
              <w:jc w:val="center"/>
              <w:rPr>
                <w:rFonts w:hint="default" w:ascii="Times New Roman" w:hAnsi="Times New Roman" w:eastAsia="宋体" w:cs="Times New Roman"/>
                <w:color w:val="auto"/>
                <w:sz w:val="21"/>
                <w:szCs w:val="21"/>
              </w:rPr>
            </w:pPr>
          </w:p>
        </w:tc>
        <w:tc>
          <w:tcPr>
            <w:tcW w:w="829" w:type="dxa"/>
            <w:noWrap w:val="0"/>
            <w:vAlign w:val="center"/>
          </w:tcPr>
          <w:p w14:paraId="588CB909">
            <w:pPr>
              <w:jc w:val="center"/>
              <w:rPr>
                <w:rFonts w:hint="default" w:ascii="Times New Roman" w:hAnsi="Times New Roman" w:eastAsia="宋体" w:cs="Times New Roman"/>
                <w:color w:val="auto"/>
                <w:sz w:val="21"/>
                <w:szCs w:val="21"/>
              </w:rPr>
            </w:pPr>
          </w:p>
        </w:tc>
        <w:tc>
          <w:tcPr>
            <w:tcW w:w="1019" w:type="dxa"/>
            <w:noWrap w:val="0"/>
            <w:vAlign w:val="center"/>
          </w:tcPr>
          <w:p w14:paraId="60E43B07">
            <w:pPr>
              <w:jc w:val="center"/>
              <w:rPr>
                <w:rFonts w:hint="default" w:ascii="Times New Roman" w:hAnsi="Times New Roman" w:eastAsia="宋体" w:cs="Times New Roman"/>
                <w:color w:val="auto"/>
                <w:sz w:val="21"/>
                <w:szCs w:val="21"/>
              </w:rPr>
            </w:pPr>
          </w:p>
        </w:tc>
        <w:tc>
          <w:tcPr>
            <w:tcW w:w="1328" w:type="dxa"/>
            <w:noWrap w:val="0"/>
            <w:vAlign w:val="center"/>
          </w:tcPr>
          <w:p w14:paraId="5EAAE31D">
            <w:pPr>
              <w:jc w:val="center"/>
              <w:rPr>
                <w:rFonts w:hint="default" w:ascii="Times New Roman" w:hAnsi="Times New Roman" w:eastAsia="宋体" w:cs="Times New Roman"/>
                <w:color w:val="auto"/>
                <w:sz w:val="21"/>
                <w:szCs w:val="21"/>
              </w:rPr>
            </w:pPr>
          </w:p>
        </w:tc>
      </w:tr>
      <w:tr w14:paraId="56711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8" w:type="dxa"/>
            <w:noWrap w:val="0"/>
            <w:vAlign w:val="center"/>
          </w:tcPr>
          <w:p w14:paraId="77CFE23B">
            <w:pPr>
              <w:jc w:val="center"/>
              <w:rPr>
                <w:rFonts w:hint="default" w:ascii="Times New Roman" w:hAnsi="Times New Roman" w:eastAsia="宋体" w:cs="Times New Roman"/>
                <w:color w:val="auto"/>
                <w:sz w:val="21"/>
                <w:szCs w:val="21"/>
              </w:rPr>
            </w:pPr>
          </w:p>
        </w:tc>
        <w:tc>
          <w:tcPr>
            <w:tcW w:w="1266" w:type="dxa"/>
            <w:noWrap w:val="0"/>
            <w:vAlign w:val="center"/>
          </w:tcPr>
          <w:p w14:paraId="628AF4CB">
            <w:pPr>
              <w:jc w:val="center"/>
              <w:rPr>
                <w:rFonts w:hint="default" w:ascii="Times New Roman" w:hAnsi="Times New Roman" w:eastAsia="宋体" w:cs="Times New Roman"/>
                <w:color w:val="auto"/>
                <w:sz w:val="21"/>
                <w:szCs w:val="21"/>
              </w:rPr>
            </w:pPr>
          </w:p>
        </w:tc>
        <w:tc>
          <w:tcPr>
            <w:tcW w:w="1152" w:type="dxa"/>
            <w:noWrap w:val="0"/>
            <w:vAlign w:val="center"/>
          </w:tcPr>
          <w:p w14:paraId="7BB60C57">
            <w:pPr>
              <w:jc w:val="center"/>
              <w:rPr>
                <w:rFonts w:hint="default" w:ascii="Times New Roman" w:hAnsi="Times New Roman" w:eastAsia="宋体" w:cs="Times New Roman"/>
                <w:color w:val="auto"/>
                <w:sz w:val="21"/>
                <w:szCs w:val="21"/>
              </w:rPr>
            </w:pPr>
          </w:p>
        </w:tc>
        <w:tc>
          <w:tcPr>
            <w:tcW w:w="933" w:type="dxa"/>
            <w:noWrap w:val="0"/>
            <w:vAlign w:val="center"/>
          </w:tcPr>
          <w:p w14:paraId="5C50215E">
            <w:pPr>
              <w:jc w:val="center"/>
              <w:rPr>
                <w:rFonts w:hint="default" w:ascii="Times New Roman" w:hAnsi="Times New Roman" w:eastAsia="宋体" w:cs="Times New Roman"/>
                <w:color w:val="auto"/>
                <w:sz w:val="21"/>
                <w:szCs w:val="21"/>
              </w:rPr>
            </w:pPr>
          </w:p>
        </w:tc>
        <w:tc>
          <w:tcPr>
            <w:tcW w:w="569" w:type="dxa"/>
            <w:noWrap w:val="0"/>
            <w:vAlign w:val="center"/>
          </w:tcPr>
          <w:p w14:paraId="6C1B9E31">
            <w:pPr>
              <w:jc w:val="center"/>
              <w:rPr>
                <w:rFonts w:hint="default" w:ascii="Times New Roman" w:hAnsi="Times New Roman" w:eastAsia="宋体" w:cs="Times New Roman"/>
                <w:color w:val="auto"/>
                <w:sz w:val="21"/>
                <w:szCs w:val="21"/>
              </w:rPr>
            </w:pPr>
          </w:p>
        </w:tc>
        <w:tc>
          <w:tcPr>
            <w:tcW w:w="1322" w:type="dxa"/>
            <w:noWrap w:val="0"/>
            <w:vAlign w:val="center"/>
          </w:tcPr>
          <w:p w14:paraId="733A39B1">
            <w:pPr>
              <w:jc w:val="center"/>
              <w:rPr>
                <w:rFonts w:hint="default" w:ascii="Times New Roman" w:hAnsi="Times New Roman" w:eastAsia="宋体" w:cs="Times New Roman"/>
                <w:color w:val="auto"/>
                <w:sz w:val="21"/>
                <w:szCs w:val="21"/>
              </w:rPr>
            </w:pPr>
          </w:p>
        </w:tc>
        <w:tc>
          <w:tcPr>
            <w:tcW w:w="829" w:type="dxa"/>
            <w:noWrap w:val="0"/>
            <w:vAlign w:val="center"/>
          </w:tcPr>
          <w:p w14:paraId="0B977FCF">
            <w:pPr>
              <w:jc w:val="center"/>
              <w:rPr>
                <w:rFonts w:hint="default" w:ascii="Times New Roman" w:hAnsi="Times New Roman" w:eastAsia="宋体" w:cs="Times New Roman"/>
                <w:color w:val="auto"/>
                <w:sz w:val="21"/>
                <w:szCs w:val="21"/>
              </w:rPr>
            </w:pPr>
          </w:p>
        </w:tc>
        <w:tc>
          <w:tcPr>
            <w:tcW w:w="1019" w:type="dxa"/>
            <w:noWrap w:val="0"/>
            <w:vAlign w:val="center"/>
          </w:tcPr>
          <w:p w14:paraId="69AD6FCA">
            <w:pPr>
              <w:jc w:val="center"/>
              <w:rPr>
                <w:rFonts w:hint="default" w:ascii="Times New Roman" w:hAnsi="Times New Roman" w:eastAsia="宋体" w:cs="Times New Roman"/>
                <w:color w:val="auto"/>
                <w:sz w:val="21"/>
                <w:szCs w:val="21"/>
              </w:rPr>
            </w:pPr>
          </w:p>
        </w:tc>
        <w:tc>
          <w:tcPr>
            <w:tcW w:w="1328" w:type="dxa"/>
            <w:noWrap w:val="0"/>
            <w:vAlign w:val="center"/>
          </w:tcPr>
          <w:p w14:paraId="4EBEBC05">
            <w:pPr>
              <w:jc w:val="center"/>
              <w:rPr>
                <w:rFonts w:hint="default" w:ascii="Times New Roman" w:hAnsi="Times New Roman" w:eastAsia="宋体" w:cs="Times New Roman"/>
                <w:color w:val="auto"/>
                <w:sz w:val="21"/>
                <w:szCs w:val="21"/>
              </w:rPr>
            </w:pPr>
          </w:p>
        </w:tc>
      </w:tr>
      <w:tr w14:paraId="6853E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7FA5A174">
            <w:pPr>
              <w:jc w:val="center"/>
              <w:rPr>
                <w:rFonts w:hint="default" w:ascii="Times New Roman" w:hAnsi="Times New Roman" w:eastAsia="宋体" w:cs="Times New Roman"/>
                <w:color w:val="auto"/>
                <w:sz w:val="21"/>
                <w:szCs w:val="21"/>
              </w:rPr>
            </w:pPr>
          </w:p>
        </w:tc>
        <w:tc>
          <w:tcPr>
            <w:tcW w:w="1266" w:type="dxa"/>
            <w:noWrap w:val="0"/>
            <w:vAlign w:val="center"/>
          </w:tcPr>
          <w:p w14:paraId="2D5481E8">
            <w:pPr>
              <w:jc w:val="center"/>
              <w:rPr>
                <w:rFonts w:hint="default" w:ascii="Times New Roman" w:hAnsi="Times New Roman" w:eastAsia="宋体" w:cs="Times New Roman"/>
                <w:color w:val="auto"/>
                <w:sz w:val="21"/>
                <w:szCs w:val="21"/>
              </w:rPr>
            </w:pPr>
          </w:p>
        </w:tc>
        <w:tc>
          <w:tcPr>
            <w:tcW w:w="1152" w:type="dxa"/>
            <w:noWrap w:val="0"/>
            <w:vAlign w:val="center"/>
          </w:tcPr>
          <w:p w14:paraId="799CFA87">
            <w:pPr>
              <w:jc w:val="center"/>
              <w:rPr>
                <w:rFonts w:hint="default" w:ascii="Times New Roman" w:hAnsi="Times New Roman" w:eastAsia="宋体" w:cs="Times New Roman"/>
                <w:color w:val="auto"/>
                <w:sz w:val="21"/>
                <w:szCs w:val="21"/>
              </w:rPr>
            </w:pPr>
          </w:p>
        </w:tc>
        <w:tc>
          <w:tcPr>
            <w:tcW w:w="933" w:type="dxa"/>
            <w:noWrap w:val="0"/>
            <w:vAlign w:val="center"/>
          </w:tcPr>
          <w:p w14:paraId="4076E08A">
            <w:pPr>
              <w:jc w:val="center"/>
              <w:rPr>
                <w:rFonts w:hint="default" w:ascii="Times New Roman" w:hAnsi="Times New Roman" w:eastAsia="宋体" w:cs="Times New Roman"/>
                <w:color w:val="auto"/>
                <w:sz w:val="21"/>
                <w:szCs w:val="21"/>
              </w:rPr>
            </w:pPr>
          </w:p>
        </w:tc>
        <w:tc>
          <w:tcPr>
            <w:tcW w:w="569" w:type="dxa"/>
            <w:noWrap w:val="0"/>
            <w:vAlign w:val="center"/>
          </w:tcPr>
          <w:p w14:paraId="5B3110AE">
            <w:pPr>
              <w:jc w:val="center"/>
              <w:rPr>
                <w:rFonts w:hint="default" w:ascii="Times New Roman" w:hAnsi="Times New Roman" w:eastAsia="宋体" w:cs="Times New Roman"/>
                <w:color w:val="auto"/>
                <w:sz w:val="21"/>
                <w:szCs w:val="21"/>
              </w:rPr>
            </w:pPr>
          </w:p>
        </w:tc>
        <w:tc>
          <w:tcPr>
            <w:tcW w:w="1322" w:type="dxa"/>
            <w:noWrap w:val="0"/>
            <w:vAlign w:val="center"/>
          </w:tcPr>
          <w:p w14:paraId="451A71E8">
            <w:pPr>
              <w:jc w:val="center"/>
              <w:rPr>
                <w:rFonts w:hint="default" w:ascii="Times New Roman" w:hAnsi="Times New Roman" w:eastAsia="宋体" w:cs="Times New Roman"/>
                <w:color w:val="auto"/>
                <w:sz w:val="21"/>
                <w:szCs w:val="21"/>
              </w:rPr>
            </w:pPr>
          </w:p>
        </w:tc>
        <w:tc>
          <w:tcPr>
            <w:tcW w:w="829" w:type="dxa"/>
            <w:noWrap w:val="0"/>
            <w:vAlign w:val="center"/>
          </w:tcPr>
          <w:p w14:paraId="2B9A1E85">
            <w:pPr>
              <w:jc w:val="center"/>
              <w:rPr>
                <w:rFonts w:hint="default" w:ascii="Times New Roman" w:hAnsi="Times New Roman" w:eastAsia="宋体" w:cs="Times New Roman"/>
                <w:color w:val="auto"/>
                <w:sz w:val="21"/>
                <w:szCs w:val="21"/>
              </w:rPr>
            </w:pPr>
          </w:p>
        </w:tc>
        <w:tc>
          <w:tcPr>
            <w:tcW w:w="1019" w:type="dxa"/>
            <w:noWrap w:val="0"/>
            <w:vAlign w:val="center"/>
          </w:tcPr>
          <w:p w14:paraId="45F5070C">
            <w:pPr>
              <w:jc w:val="center"/>
              <w:rPr>
                <w:rFonts w:hint="default" w:ascii="Times New Roman" w:hAnsi="Times New Roman" w:eastAsia="宋体" w:cs="Times New Roman"/>
                <w:color w:val="auto"/>
                <w:sz w:val="21"/>
                <w:szCs w:val="21"/>
              </w:rPr>
            </w:pPr>
          </w:p>
        </w:tc>
        <w:tc>
          <w:tcPr>
            <w:tcW w:w="1328" w:type="dxa"/>
            <w:noWrap w:val="0"/>
            <w:vAlign w:val="center"/>
          </w:tcPr>
          <w:p w14:paraId="11FF6B07">
            <w:pPr>
              <w:jc w:val="center"/>
              <w:rPr>
                <w:rFonts w:hint="default" w:ascii="Times New Roman" w:hAnsi="Times New Roman" w:eastAsia="宋体" w:cs="Times New Roman"/>
                <w:color w:val="auto"/>
                <w:sz w:val="21"/>
                <w:szCs w:val="21"/>
              </w:rPr>
            </w:pPr>
          </w:p>
        </w:tc>
      </w:tr>
      <w:tr w14:paraId="61E78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8" w:type="dxa"/>
            <w:noWrap w:val="0"/>
            <w:vAlign w:val="center"/>
          </w:tcPr>
          <w:p w14:paraId="1BA6DD3E">
            <w:pPr>
              <w:jc w:val="center"/>
              <w:rPr>
                <w:rFonts w:hint="default" w:ascii="Times New Roman" w:hAnsi="Times New Roman" w:eastAsia="宋体" w:cs="Times New Roman"/>
                <w:color w:val="auto"/>
                <w:sz w:val="21"/>
                <w:szCs w:val="21"/>
              </w:rPr>
            </w:pPr>
          </w:p>
        </w:tc>
        <w:tc>
          <w:tcPr>
            <w:tcW w:w="1266" w:type="dxa"/>
            <w:noWrap w:val="0"/>
            <w:vAlign w:val="center"/>
          </w:tcPr>
          <w:p w14:paraId="626CE130">
            <w:pPr>
              <w:jc w:val="center"/>
              <w:rPr>
                <w:rFonts w:hint="default" w:ascii="Times New Roman" w:hAnsi="Times New Roman" w:eastAsia="宋体" w:cs="Times New Roman"/>
                <w:color w:val="auto"/>
                <w:sz w:val="21"/>
                <w:szCs w:val="21"/>
              </w:rPr>
            </w:pPr>
          </w:p>
        </w:tc>
        <w:tc>
          <w:tcPr>
            <w:tcW w:w="1152" w:type="dxa"/>
            <w:noWrap w:val="0"/>
            <w:vAlign w:val="center"/>
          </w:tcPr>
          <w:p w14:paraId="17AA8BB3">
            <w:pPr>
              <w:jc w:val="center"/>
              <w:rPr>
                <w:rFonts w:hint="default" w:ascii="Times New Roman" w:hAnsi="Times New Roman" w:eastAsia="宋体" w:cs="Times New Roman"/>
                <w:color w:val="auto"/>
                <w:sz w:val="21"/>
                <w:szCs w:val="21"/>
              </w:rPr>
            </w:pPr>
          </w:p>
        </w:tc>
        <w:tc>
          <w:tcPr>
            <w:tcW w:w="933" w:type="dxa"/>
            <w:noWrap w:val="0"/>
            <w:vAlign w:val="center"/>
          </w:tcPr>
          <w:p w14:paraId="54802AD4">
            <w:pPr>
              <w:jc w:val="center"/>
              <w:rPr>
                <w:rFonts w:hint="default" w:ascii="Times New Roman" w:hAnsi="Times New Roman" w:eastAsia="宋体" w:cs="Times New Roman"/>
                <w:color w:val="auto"/>
                <w:sz w:val="21"/>
                <w:szCs w:val="21"/>
              </w:rPr>
            </w:pPr>
          </w:p>
        </w:tc>
        <w:tc>
          <w:tcPr>
            <w:tcW w:w="569" w:type="dxa"/>
            <w:noWrap w:val="0"/>
            <w:vAlign w:val="center"/>
          </w:tcPr>
          <w:p w14:paraId="1A3773E7">
            <w:pPr>
              <w:jc w:val="center"/>
              <w:rPr>
                <w:rFonts w:hint="default" w:ascii="Times New Roman" w:hAnsi="Times New Roman" w:eastAsia="宋体" w:cs="Times New Roman"/>
                <w:color w:val="auto"/>
                <w:sz w:val="21"/>
                <w:szCs w:val="21"/>
              </w:rPr>
            </w:pPr>
          </w:p>
        </w:tc>
        <w:tc>
          <w:tcPr>
            <w:tcW w:w="1322" w:type="dxa"/>
            <w:noWrap w:val="0"/>
            <w:vAlign w:val="center"/>
          </w:tcPr>
          <w:p w14:paraId="2EF51C6E">
            <w:pPr>
              <w:jc w:val="center"/>
              <w:rPr>
                <w:rFonts w:hint="default" w:ascii="Times New Roman" w:hAnsi="Times New Roman" w:eastAsia="宋体" w:cs="Times New Roman"/>
                <w:color w:val="auto"/>
                <w:sz w:val="21"/>
                <w:szCs w:val="21"/>
              </w:rPr>
            </w:pPr>
          </w:p>
        </w:tc>
        <w:tc>
          <w:tcPr>
            <w:tcW w:w="829" w:type="dxa"/>
            <w:noWrap w:val="0"/>
            <w:vAlign w:val="center"/>
          </w:tcPr>
          <w:p w14:paraId="3D2B86B6">
            <w:pPr>
              <w:jc w:val="center"/>
              <w:rPr>
                <w:rFonts w:hint="default" w:ascii="Times New Roman" w:hAnsi="Times New Roman" w:eastAsia="宋体" w:cs="Times New Roman"/>
                <w:color w:val="auto"/>
                <w:sz w:val="21"/>
                <w:szCs w:val="21"/>
              </w:rPr>
            </w:pPr>
          </w:p>
        </w:tc>
        <w:tc>
          <w:tcPr>
            <w:tcW w:w="1019" w:type="dxa"/>
            <w:noWrap w:val="0"/>
            <w:vAlign w:val="center"/>
          </w:tcPr>
          <w:p w14:paraId="25971496">
            <w:pPr>
              <w:jc w:val="center"/>
              <w:rPr>
                <w:rFonts w:hint="default" w:ascii="Times New Roman" w:hAnsi="Times New Roman" w:eastAsia="宋体" w:cs="Times New Roman"/>
                <w:color w:val="auto"/>
                <w:sz w:val="21"/>
                <w:szCs w:val="21"/>
              </w:rPr>
            </w:pPr>
          </w:p>
        </w:tc>
        <w:tc>
          <w:tcPr>
            <w:tcW w:w="1328" w:type="dxa"/>
            <w:noWrap w:val="0"/>
            <w:vAlign w:val="center"/>
          </w:tcPr>
          <w:p w14:paraId="7E0CE8E2">
            <w:pPr>
              <w:jc w:val="center"/>
              <w:rPr>
                <w:rFonts w:hint="default" w:ascii="Times New Roman" w:hAnsi="Times New Roman" w:eastAsia="宋体" w:cs="Times New Roman"/>
                <w:color w:val="auto"/>
                <w:sz w:val="21"/>
                <w:szCs w:val="21"/>
              </w:rPr>
            </w:pPr>
          </w:p>
        </w:tc>
      </w:tr>
      <w:tr w14:paraId="45D0B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2A13457C">
            <w:pPr>
              <w:jc w:val="center"/>
              <w:rPr>
                <w:rFonts w:hint="default" w:ascii="Times New Roman" w:hAnsi="Times New Roman" w:eastAsia="宋体" w:cs="Times New Roman"/>
                <w:color w:val="auto"/>
                <w:sz w:val="21"/>
                <w:szCs w:val="21"/>
              </w:rPr>
            </w:pPr>
          </w:p>
        </w:tc>
        <w:tc>
          <w:tcPr>
            <w:tcW w:w="1266" w:type="dxa"/>
            <w:noWrap w:val="0"/>
            <w:vAlign w:val="center"/>
          </w:tcPr>
          <w:p w14:paraId="3034ADDF">
            <w:pPr>
              <w:jc w:val="center"/>
              <w:rPr>
                <w:rFonts w:hint="default" w:ascii="Times New Roman" w:hAnsi="Times New Roman" w:eastAsia="宋体" w:cs="Times New Roman"/>
                <w:color w:val="auto"/>
                <w:sz w:val="21"/>
                <w:szCs w:val="21"/>
              </w:rPr>
            </w:pPr>
          </w:p>
        </w:tc>
        <w:tc>
          <w:tcPr>
            <w:tcW w:w="1152" w:type="dxa"/>
            <w:noWrap w:val="0"/>
            <w:vAlign w:val="center"/>
          </w:tcPr>
          <w:p w14:paraId="22249FE8">
            <w:pPr>
              <w:jc w:val="center"/>
              <w:rPr>
                <w:rFonts w:hint="default" w:ascii="Times New Roman" w:hAnsi="Times New Roman" w:eastAsia="宋体" w:cs="Times New Roman"/>
                <w:color w:val="auto"/>
                <w:sz w:val="21"/>
                <w:szCs w:val="21"/>
              </w:rPr>
            </w:pPr>
          </w:p>
        </w:tc>
        <w:tc>
          <w:tcPr>
            <w:tcW w:w="933" w:type="dxa"/>
            <w:noWrap w:val="0"/>
            <w:vAlign w:val="center"/>
          </w:tcPr>
          <w:p w14:paraId="67BC277D">
            <w:pPr>
              <w:jc w:val="center"/>
              <w:rPr>
                <w:rFonts w:hint="default" w:ascii="Times New Roman" w:hAnsi="Times New Roman" w:eastAsia="宋体" w:cs="Times New Roman"/>
                <w:color w:val="auto"/>
                <w:sz w:val="21"/>
                <w:szCs w:val="21"/>
              </w:rPr>
            </w:pPr>
          </w:p>
        </w:tc>
        <w:tc>
          <w:tcPr>
            <w:tcW w:w="569" w:type="dxa"/>
            <w:noWrap w:val="0"/>
            <w:vAlign w:val="center"/>
          </w:tcPr>
          <w:p w14:paraId="28FA9468">
            <w:pPr>
              <w:jc w:val="center"/>
              <w:rPr>
                <w:rFonts w:hint="default" w:ascii="Times New Roman" w:hAnsi="Times New Roman" w:eastAsia="宋体" w:cs="Times New Roman"/>
                <w:color w:val="auto"/>
                <w:sz w:val="21"/>
                <w:szCs w:val="21"/>
              </w:rPr>
            </w:pPr>
          </w:p>
        </w:tc>
        <w:tc>
          <w:tcPr>
            <w:tcW w:w="1322" w:type="dxa"/>
            <w:noWrap w:val="0"/>
            <w:vAlign w:val="center"/>
          </w:tcPr>
          <w:p w14:paraId="1C67465A">
            <w:pPr>
              <w:jc w:val="center"/>
              <w:rPr>
                <w:rFonts w:hint="default" w:ascii="Times New Roman" w:hAnsi="Times New Roman" w:eastAsia="宋体" w:cs="Times New Roman"/>
                <w:color w:val="auto"/>
                <w:sz w:val="21"/>
                <w:szCs w:val="21"/>
              </w:rPr>
            </w:pPr>
          </w:p>
        </w:tc>
        <w:tc>
          <w:tcPr>
            <w:tcW w:w="829" w:type="dxa"/>
            <w:noWrap w:val="0"/>
            <w:vAlign w:val="center"/>
          </w:tcPr>
          <w:p w14:paraId="7681C1A3">
            <w:pPr>
              <w:jc w:val="center"/>
              <w:rPr>
                <w:rFonts w:hint="default" w:ascii="Times New Roman" w:hAnsi="Times New Roman" w:eastAsia="宋体" w:cs="Times New Roman"/>
                <w:color w:val="auto"/>
                <w:sz w:val="21"/>
                <w:szCs w:val="21"/>
              </w:rPr>
            </w:pPr>
          </w:p>
        </w:tc>
        <w:tc>
          <w:tcPr>
            <w:tcW w:w="1019" w:type="dxa"/>
            <w:noWrap w:val="0"/>
            <w:vAlign w:val="center"/>
          </w:tcPr>
          <w:p w14:paraId="43CE8B76">
            <w:pPr>
              <w:jc w:val="center"/>
              <w:rPr>
                <w:rFonts w:hint="default" w:ascii="Times New Roman" w:hAnsi="Times New Roman" w:eastAsia="宋体" w:cs="Times New Roman"/>
                <w:color w:val="auto"/>
                <w:sz w:val="21"/>
                <w:szCs w:val="21"/>
              </w:rPr>
            </w:pPr>
          </w:p>
        </w:tc>
        <w:tc>
          <w:tcPr>
            <w:tcW w:w="1328" w:type="dxa"/>
            <w:noWrap w:val="0"/>
            <w:vAlign w:val="center"/>
          </w:tcPr>
          <w:p w14:paraId="189478DD">
            <w:pPr>
              <w:jc w:val="center"/>
              <w:rPr>
                <w:rFonts w:hint="default" w:ascii="Times New Roman" w:hAnsi="Times New Roman" w:eastAsia="宋体" w:cs="Times New Roman"/>
                <w:color w:val="auto"/>
                <w:sz w:val="21"/>
                <w:szCs w:val="21"/>
              </w:rPr>
            </w:pPr>
          </w:p>
        </w:tc>
      </w:tr>
      <w:tr w14:paraId="5BA29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4D62D851">
            <w:pPr>
              <w:jc w:val="center"/>
              <w:rPr>
                <w:rFonts w:hint="default" w:ascii="Times New Roman" w:hAnsi="Times New Roman" w:eastAsia="宋体" w:cs="Times New Roman"/>
                <w:color w:val="auto"/>
                <w:sz w:val="21"/>
                <w:szCs w:val="21"/>
              </w:rPr>
            </w:pPr>
          </w:p>
        </w:tc>
        <w:tc>
          <w:tcPr>
            <w:tcW w:w="1266" w:type="dxa"/>
            <w:noWrap w:val="0"/>
            <w:vAlign w:val="center"/>
          </w:tcPr>
          <w:p w14:paraId="4029C114">
            <w:pPr>
              <w:jc w:val="center"/>
              <w:rPr>
                <w:rFonts w:hint="default" w:ascii="Times New Roman" w:hAnsi="Times New Roman" w:eastAsia="宋体" w:cs="Times New Roman"/>
                <w:color w:val="auto"/>
                <w:sz w:val="21"/>
                <w:szCs w:val="21"/>
              </w:rPr>
            </w:pPr>
          </w:p>
        </w:tc>
        <w:tc>
          <w:tcPr>
            <w:tcW w:w="1152" w:type="dxa"/>
            <w:noWrap w:val="0"/>
            <w:vAlign w:val="center"/>
          </w:tcPr>
          <w:p w14:paraId="6C798DF3">
            <w:pPr>
              <w:jc w:val="center"/>
              <w:rPr>
                <w:rFonts w:hint="default" w:ascii="Times New Roman" w:hAnsi="Times New Roman" w:eastAsia="宋体" w:cs="Times New Roman"/>
                <w:color w:val="auto"/>
                <w:sz w:val="21"/>
                <w:szCs w:val="21"/>
              </w:rPr>
            </w:pPr>
          </w:p>
        </w:tc>
        <w:tc>
          <w:tcPr>
            <w:tcW w:w="933" w:type="dxa"/>
            <w:noWrap w:val="0"/>
            <w:vAlign w:val="center"/>
          </w:tcPr>
          <w:p w14:paraId="2BCAEC3F">
            <w:pPr>
              <w:jc w:val="center"/>
              <w:rPr>
                <w:rFonts w:hint="default" w:ascii="Times New Roman" w:hAnsi="Times New Roman" w:eastAsia="宋体" w:cs="Times New Roman"/>
                <w:color w:val="auto"/>
                <w:sz w:val="21"/>
                <w:szCs w:val="21"/>
              </w:rPr>
            </w:pPr>
          </w:p>
        </w:tc>
        <w:tc>
          <w:tcPr>
            <w:tcW w:w="569" w:type="dxa"/>
            <w:noWrap w:val="0"/>
            <w:vAlign w:val="center"/>
          </w:tcPr>
          <w:p w14:paraId="4AD24C23">
            <w:pPr>
              <w:jc w:val="center"/>
              <w:rPr>
                <w:rFonts w:hint="default" w:ascii="Times New Roman" w:hAnsi="Times New Roman" w:eastAsia="宋体" w:cs="Times New Roman"/>
                <w:color w:val="auto"/>
                <w:sz w:val="21"/>
                <w:szCs w:val="21"/>
              </w:rPr>
            </w:pPr>
          </w:p>
        </w:tc>
        <w:tc>
          <w:tcPr>
            <w:tcW w:w="1322" w:type="dxa"/>
            <w:noWrap w:val="0"/>
            <w:vAlign w:val="center"/>
          </w:tcPr>
          <w:p w14:paraId="3ECCF1D5">
            <w:pPr>
              <w:jc w:val="center"/>
              <w:rPr>
                <w:rFonts w:hint="default" w:ascii="Times New Roman" w:hAnsi="Times New Roman" w:eastAsia="宋体" w:cs="Times New Roman"/>
                <w:color w:val="auto"/>
                <w:sz w:val="21"/>
                <w:szCs w:val="21"/>
              </w:rPr>
            </w:pPr>
          </w:p>
        </w:tc>
        <w:tc>
          <w:tcPr>
            <w:tcW w:w="829" w:type="dxa"/>
            <w:noWrap w:val="0"/>
            <w:vAlign w:val="center"/>
          </w:tcPr>
          <w:p w14:paraId="618994F7">
            <w:pPr>
              <w:jc w:val="center"/>
              <w:rPr>
                <w:rFonts w:hint="default" w:ascii="Times New Roman" w:hAnsi="Times New Roman" w:eastAsia="宋体" w:cs="Times New Roman"/>
                <w:color w:val="auto"/>
                <w:sz w:val="21"/>
                <w:szCs w:val="21"/>
              </w:rPr>
            </w:pPr>
          </w:p>
        </w:tc>
        <w:tc>
          <w:tcPr>
            <w:tcW w:w="1019" w:type="dxa"/>
            <w:noWrap w:val="0"/>
            <w:vAlign w:val="center"/>
          </w:tcPr>
          <w:p w14:paraId="03303EB9">
            <w:pPr>
              <w:jc w:val="center"/>
              <w:rPr>
                <w:rFonts w:hint="default" w:ascii="Times New Roman" w:hAnsi="Times New Roman" w:eastAsia="宋体" w:cs="Times New Roman"/>
                <w:color w:val="auto"/>
                <w:sz w:val="21"/>
                <w:szCs w:val="21"/>
              </w:rPr>
            </w:pPr>
          </w:p>
        </w:tc>
        <w:tc>
          <w:tcPr>
            <w:tcW w:w="1328" w:type="dxa"/>
            <w:noWrap w:val="0"/>
            <w:vAlign w:val="center"/>
          </w:tcPr>
          <w:p w14:paraId="4ABD1EB2">
            <w:pPr>
              <w:jc w:val="center"/>
              <w:rPr>
                <w:rFonts w:hint="default" w:ascii="Times New Roman" w:hAnsi="Times New Roman" w:eastAsia="宋体" w:cs="Times New Roman"/>
                <w:color w:val="auto"/>
                <w:sz w:val="21"/>
                <w:szCs w:val="21"/>
              </w:rPr>
            </w:pPr>
          </w:p>
        </w:tc>
      </w:tr>
      <w:tr w14:paraId="2C0AB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0D62A0BD">
            <w:pPr>
              <w:jc w:val="center"/>
              <w:rPr>
                <w:rFonts w:hint="default" w:ascii="Times New Roman" w:hAnsi="Times New Roman" w:eastAsia="宋体" w:cs="Times New Roman"/>
                <w:color w:val="auto"/>
                <w:sz w:val="21"/>
                <w:szCs w:val="21"/>
              </w:rPr>
            </w:pPr>
          </w:p>
        </w:tc>
        <w:tc>
          <w:tcPr>
            <w:tcW w:w="1266" w:type="dxa"/>
            <w:noWrap w:val="0"/>
            <w:vAlign w:val="center"/>
          </w:tcPr>
          <w:p w14:paraId="2C49F4FA">
            <w:pPr>
              <w:jc w:val="center"/>
              <w:rPr>
                <w:rFonts w:hint="default" w:ascii="Times New Roman" w:hAnsi="Times New Roman" w:eastAsia="宋体" w:cs="Times New Roman"/>
                <w:color w:val="auto"/>
                <w:sz w:val="21"/>
                <w:szCs w:val="21"/>
              </w:rPr>
            </w:pPr>
          </w:p>
        </w:tc>
        <w:tc>
          <w:tcPr>
            <w:tcW w:w="1152" w:type="dxa"/>
            <w:noWrap w:val="0"/>
            <w:vAlign w:val="center"/>
          </w:tcPr>
          <w:p w14:paraId="7989A9F7">
            <w:pPr>
              <w:jc w:val="center"/>
              <w:rPr>
                <w:rFonts w:hint="default" w:ascii="Times New Roman" w:hAnsi="Times New Roman" w:eastAsia="宋体" w:cs="Times New Roman"/>
                <w:color w:val="auto"/>
                <w:sz w:val="21"/>
                <w:szCs w:val="21"/>
              </w:rPr>
            </w:pPr>
          </w:p>
        </w:tc>
        <w:tc>
          <w:tcPr>
            <w:tcW w:w="933" w:type="dxa"/>
            <w:noWrap w:val="0"/>
            <w:vAlign w:val="center"/>
          </w:tcPr>
          <w:p w14:paraId="73AF3E27">
            <w:pPr>
              <w:jc w:val="center"/>
              <w:rPr>
                <w:rFonts w:hint="default" w:ascii="Times New Roman" w:hAnsi="Times New Roman" w:eastAsia="宋体" w:cs="Times New Roman"/>
                <w:color w:val="auto"/>
                <w:sz w:val="21"/>
                <w:szCs w:val="21"/>
              </w:rPr>
            </w:pPr>
          </w:p>
        </w:tc>
        <w:tc>
          <w:tcPr>
            <w:tcW w:w="569" w:type="dxa"/>
            <w:noWrap w:val="0"/>
            <w:vAlign w:val="center"/>
          </w:tcPr>
          <w:p w14:paraId="4E107E9F">
            <w:pPr>
              <w:jc w:val="center"/>
              <w:rPr>
                <w:rFonts w:hint="default" w:ascii="Times New Roman" w:hAnsi="Times New Roman" w:eastAsia="宋体" w:cs="Times New Roman"/>
                <w:color w:val="auto"/>
                <w:sz w:val="21"/>
                <w:szCs w:val="21"/>
              </w:rPr>
            </w:pPr>
          </w:p>
        </w:tc>
        <w:tc>
          <w:tcPr>
            <w:tcW w:w="1322" w:type="dxa"/>
            <w:noWrap w:val="0"/>
            <w:vAlign w:val="center"/>
          </w:tcPr>
          <w:p w14:paraId="61B91C35">
            <w:pPr>
              <w:jc w:val="center"/>
              <w:rPr>
                <w:rFonts w:hint="default" w:ascii="Times New Roman" w:hAnsi="Times New Roman" w:eastAsia="宋体" w:cs="Times New Roman"/>
                <w:color w:val="auto"/>
                <w:sz w:val="21"/>
                <w:szCs w:val="21"/>
              </w:rPr>
            </w:pPr>
          </w:p>
        </w:tc>
        <w:tc>
          <w:tcPr>
            <w:tcW w:w="829" w:type="dxa"/>
            <w:noWrap w:val="0"/>
            <w:vAlign w:val="center"/>
          </w:tcPr>
          <w:p w14:paraId="462B9AF3">
            <w:pPr>
              <w:jc w:val="center"/>
              <w:rPr>
                <w:rFonts w:hint="default" w:ascii="Times New Roman" w:hAnsi="Times New Roman" w:eastAsia="宋体" w:cs="Times New Roman"/>
                <w:color w:val="auto"/>
                <w:sz w:val="21"/>
                <w:szCs w:val="21"/>
              </w:rPr>
            </w:pPr>
          </w:p>
        </w:tc>
        <w:tc>
          <w:tcPr>
            <w:tcW w:w="1019" w:type="dxa"/>
            <w:noWrap w:val="0"/>
            <w:vAlign w:val="center"/>
          </w:tcPr>
          <w:p w14:paraId="2AB27059">
            <w:pPr>
              <w:jc w:val="center"/>
              <w:rPr>
                <w:rFonts w:hint="default" w:ascii="Times New Roman" w:hAnsi="Times New Roman" w:eastAsia="宋体" w:cs="Times New Roman"/>
                <w:color w:val="auto"/>
                <w:sz w:val="21"/>
                <w:szCs w:val="21"/>
              </w:rPr>
            </w:pPr>
          </w:p>
        </w:tc>
        <w:tc>
          <w:tcPr>
            <w:tcW w:w="1328" w:type="dxa"/>
            <w:noWrap w:val="0"/>
            <w:vAlign w:val="center"/>
          </w:tcPr>
          <w:p w14:paraId="16929FEA">
            <w:pPr>
              <w:jc w:val="center"/>
              <w:rPr>
                <w:rFonts w:hint="default" w:ascii="Times New Roman" w:hAnsi="Times New Roman" w:eastAsia="宋体" w:cs="Times New Roman"/>
                <w:color w:val="auto"/>
                <w:sz w:val="21"/>
                <w:szCs w:val="21"/>
              </w:rPr>
            </w:pPr>
          </w:p>
        </w:tc>
      </w:tr>
      <w:tr w14:paraId="1A2EA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8" w:type="dxa"/>
            <w:noWrap w:val="0"/>
            <w:vAlign w:val="center"/>
          </w:tcPr>
          <w:p w14:paraId="11E8BF00">
            <w:pPr>
              <w:jc w:val="center"/>
              <w:rPr>
                <w:rFonts w:hint="default" w:ascii="Times New Roman" w:hAnsi="Times New Roman" w:eastAsia="宋体" w:cs="Times New Roman"/>
                <w:color w:val="auto"/>
                <w:sz w:val="21"/>
                <w:szCs w:val="21"/>
              </w:rPr>
            </w:pPr>
          </w:p>
        </w:tc>
        <w:tc>
          <w:tcPr>
            <w:tcW w:w="1266" w:type="dxa"/>
            <w:noWrap w:val="0"/>
            <w:vAlign w:val="center"/>
          </w:tcPr>
          <w:p w14:paraId="14D983C2">
            <w:pPr>
              <w:jc w:val="center"/>
              <w:rPr>
                <w:rFonts w:hint="default" w:ascii="Times New Roman" w:hAnsi="Times New Roman" w:eastAsia="宋体" w:cs="Times New Roman"/>
                <w:color w:val="auto"/>
                <w:sz w:val="21"/>
                <w:szCs w:val="21"/>
              </w:rPr>
            </w:pPr>
          </w:p>
        </w:tc>
        <w:tc>
          <w:tcPr>
            <w:tcW w:w="1152" w:type="dxa"/>
            <w:noWrap w:val="0"/>
            <w:vAlign w:val="center"/>
          </w:tcPr>
          <w:p w14:paraId="578D3373">
            <w:pPr>
              <w:jc w:val="center"/>
              <w:rPr>
                <w:rFonts w:hint="default" w:ascii="Times New Roman" w:hAnsi="Times New Roman" w:eastAsia="宋体" w:cs="Times New Roman"/>
                <w:color w:val="auto"/>
                <w:sz w:val="21"/>
                <w:szCs w:val="21"/>
              </w:rPr>
            </w:pPr>
          </w:p>
        </w:tc>
        <w:tc>
          <w:tcPr>
            <w:tcW w:w="933" w:type="dxa"/>
            <w:noWrap w:val="0"/>
            <w:vAlign w:val="center"/>
          </w:tcPr>
          <w:p w14:paraId="092DED45">
            <w:pPr>
              <w:jc w:val="center"/>
              <w:rPr>
                <w:rFonts w:hint="default" w:ascii="Times New Roman" w:hAnsi="Times New Roman" w:eastAsia="宋体" w:cs="Times New Roman"/>
                <w:color w:val="auto"/>
                <w:sz w:val="21"/>
                <w:szCs w:val="21"/>
              </w:rPr>
            </w:pPr>
          </w:p>
        </w:tc>
        <w:tc>
          <w:tcPr>
            <w:tcW w:w="569" w:type="dxa"/>
            <w:noWrap w:val="0"/>
            <w:vAlign w:val="center"/>
          </w:tcPr>
          <w:p w14:paraId="7D832A39">
            <w:pPr>
              <w:jc w:val="center"/>
              <w:rPr>
                <w:rFonts w:hint="default" w:ascii="Times New Roman" w:hAnsi="Times New Roman" w:eastAsia="宋体" w:cs="Times New Roman"/>
                <w:color w:val="auto"/>
                <w:sz w:val="21"/>
                <w:szCs w:val="21"/>
              </w:rPr>
            </w:pPr>
          </w:p>
        </w:tc>
        <w:tc>
          <w:tcPr>
            <w:tcW w:w="1322" w:type="dxa"/>
            <w:noWrap w:val="0"/>
            <w:vAlign w:val="center"/>
          </w:tcPr>
          <w:p w14:paraId="2161AE6D">
            <w:pPr>
              <w:jc w:val="center"/>
              <w:rPr>
                <w:rFonts w:hint="default" w:ascii="Times New Roman" w:hAnsi="Times New Roman" w:eastAsia="宋体" w:cs="Times New Roman"/>
                <w:color w:val="auto"/>
                <w:sz w:val="21"/>
                <w:szCs w:val="21"/>
              </w:rPr>
            </w:pPr>
          </w:p>
        </w:tc>
        <w:tc>
          <w:tcPr>
            <w:tcW w:w="829" w:type="dxa"/>
            <w:noWrap w:val="0"/>
            <w:vAlign w:val="center"/>
          </w:tcPr>
          <w:p w14:paraId="7B234C05">
            <w:pPr>
              <w:jc w:val="center"/>
              <w:rPr>
                <w:rFonts w:hint="default" w:ascii="Times New Roman" w:hAnsi="Times New Roman" w:eastAsia="宋体" w:cs="Times New Roman"/>
                <w:color w:val="auto"/>
                <w:sz w:val="21"/>
                <w:szCs w:val="21"/>
              </w:rPr>
            </w:pPr>
          </w:p>
        </w:tc>
        <w:tc>
          <w:tcPr>
            <w:tcW w:w="1019" w:type="dxa"/>
            <w:noWrap w:val="0"/>
            <w:vAlign w:val="center"/>
          </w:tcPr>
          <w:p w14:paraId="0891A6BA">
            <w:pPr>
              <w:jc w:val="center"/>
              <w:rPr>
                <w:rFonts w:hint="default" w:ascii="Times New Roman" w:hAnsi="Times New Roman" w:eastAsia="宋体" w:cs="Times New Roman"/>
                <w:color w:val="auto"/>
                <w:sz w:val="21"/>
                <w:szCs w:val="21"/>
              </w:rPr>
            </w:pPr>
          </w:p>
        </w:tc>
        <w:tc>
          <w:tcPr>
            <w:tcW w:w="1328" w:type="dxa"/>
            <w:noWrap w:val="0"/>
            <w:vAlign w:val="center"/>
          </w:tcPr>
          <w:p w14:paraId="7969879E">
            <w:pPr>
              <w:jc w:val="center"/>
              <w:rPr>
                <w:rFonts w:hint="default" w:ascii="Times New Roman" w:hAnsi="Times New Roman" w:eastAsia="宋体" w:cs="Times New Roman"/>
                <w:color w:val="auto"/>
                <w:sz w:val="21"/>
                <w:szCs w:val="21"/>
              </w:rPr>
            </w:pPr>
          </w:p>
        </w:tc>
      </w:tr>
      <w:tr w14:paraId="6BC78D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05919BEB">
            <w:pPr>
              <w:jc w:val="center"/>
              <w:rPr>
                <w:rFonts w:hint="default" w:ascii="Times New Roman" w:hAnsi="Times New Roman" w:eastAsia="宋体" w:cs="Times New Roman"/>
                <w:color w:val="auto"/>
                <w:sz w:val="21"/>
                <w:szCs w:val="21"/>
              </w:rPr>
            </w:pPr>
          </w:p>
        </w:tc>
        <w:tc>
          <w:tcPr>
            <w:tcW w:w="1266" w:type="dxa"/>
            <w:noWrap w:val="0"/>
            <w:vAlign w:val="center"/>
          </w:tcPr>
          <w:p w14:paraId="34BA5D65">
            <w:pPr>
              <w:jc w:val="center"/>
              <w:rPr>
                <w:rFonts w:hint="default" w:ascii="Times New Roman" w:hAnsi="Times New Roman" w:eastAsia="宋体" w:cs="Times New Roman"/>
                <w:color w:val="auto"/>
                <w:sz w:val="21"/>
                <w:szCs w:val="21"/>
              </w:rPr>
            </w:pPr>
          </w:p>
        </w:tc>
        <w:tc>
          <w:tcPr>
            <w:tcW w:w="1152" w:type="dxa"/>
            <w:noWrap w:val="0"/>
            <w:vAlign w:val="center"/>
          </w:tcPr>
          <w:p w14:paraId="5478AE25">
            <w:pPr>
              <w:jc w:val="center"/>
              <w:rPr>
                <w:rFonts w:hint="default" w:ascii="Times New Roman" w:hAnsi="Times New Roman" w:eastAsia="宋体" w:cs="Times New Roman"/>
                <w:color w:val="auto"/>
                <w:sz w:val="21"/>
                <w:szCs w:val="21"/>
              </w:rPr>
            </w:pPr>
          </w:p>
        </w:tc>
        <w:tc>
          <w:tcPr>
            <w:tcW w:w="933" w:type="dxa"/>
            <w:noWrap w:val="0"/>
            <w:vAlign w:val="center"/>
          </w:tcPr>
          <w:p w14:paraId="6C1DFCD0">
            <w:pPr>
              <w:jc w:val="center"/>
              <w:rPr>
                <w:rFonts w:hint="default" w:ascii="Times New Roman" w:hAnsi="Times New Roman" w:eastAsia="宋体" w:cs="Times New Roman"/>
                <w:color w:val="auto"/>
                <w:sz w:val="21"/>
                <w:szCs w:val="21"/>
              </w:rPr>
            </w:pPr>
          </w:p>
        </w:tc>
        <w:tc>
          <w:tcPr>
            <w:tcW w:w="569" w:type="dxa"/>
            <w:noWrap w:val="0"/>
            <w:vAlign w:val="center"/>
          </w:tcPr>
          <w:p w14:paraId="526D54BB">
            <w:pPr>
              <w:jc w:val="center"/>
              <w:rPr>
                <w:rFonts w:hint="default" w:ascii="Times New Roman" w:hAnsi="Times New Roman" w:eastAsia="宋体" w:cs="Times New Roman"/>
                <w:color w:val="auto"/>
                <w:sz w:val="21"/>
                <w:szCs w:val="21"/>
              </w:rPr>
            </w:pPr>
          </w:p>
        </w:tc>
        <w:tc>
          <w:tcPr>
            <w:tcW w:w="1322" w:type="dxa"/>
            <w:noWrap w:val="0"/>
            <w:vAlign w:val="center"/>
          </w:tcPr>
          <w:p w14:paraId="7B92FCE3">
            <w:pPr>
              <w:jc w:val="center"/>
              <w:rPr>
                <w:rFonts w:hint="default" w:ascii="Times New Roman" w:hAnsi="Times New Roman" w:eastAsia="宋体" w:cs="Times New Roman"/>
                <w:color w:val="auto"/>
                <w:sz w:val="21"/>
                <w:szCs w:val="21"/>
              </w:rPr>
            </w:pPr>
          </w:p>
        </w:tc>
        <w:tc>
          <w:tcPr>
            <w:tcW w:w="829" w:type="dxa"/>
            <w:noWrap w:val="0"/>
            <w:vAlign w:val="center"/>
          </w:tcPr>
          <w:p w14:paraId="004741BF">
            <w:pPr>
              <w:jc w:val="center"/>
              <w:rPr>
                <w:rFonts w:hint="default" w:ascii="Times New Roman" w:hAnsi="Times New Roman" w:eastAsia="宋体" w:cs="Times New Roman"/>
                <w:color w:val="auto"/>
                <w:sz w:val="21"/>
                <w:szCs w:val="21"/>
              </w:rPr>
            </w:pPr>
          </w:p>
        </w:tc>
        <w:tc>
          <w:tcPr>
            <w:tcW w:w="1019" w:type="dxa"/>
            <w:noWrap w:val="0"/>
            <w:vAlign w:val="center"/>
          </w:tcPr>
          <w:p w14:paraId="71B14439">
            <w:pPr>
              <w:jc w:val="center"/>
              <w:rPr>
                <w:rFonts w:hint="default" w:ascii="Times New Roman" w:hAnsi="Times New Roman" w:eastAsia="宋体" w:cs="Times New Roman"/>
                <w:color w:val="auto"/>
                <w:sz w:val="21"/>
                <w:szCs w:val="21"/>
              </w:rPr>
            </w:pPr>
          </w:p>
        </w:tc>
        <w:tc>
          <w:tcPr>
            <w:tcW w:w="1328" w:type="dxa"/>
            <w:noWrap w:val="0"/>
            <w:vAlign w:val="center"/>
          </w:tcPr>
          <w:p w14:paraId="249FA3C2">
            <w:pPr>
              <w:jc w:val="center"/>
              <w:rPr>
                <w:rFonts w:hint="default" w:ascii="Times New Roman" w:hAnsi="Times New Roman" w:eastAsia="宋体" w:cs="Times New Roman"/>
                <w:color w:val="auto"/>
                <w:sz w:val="21"/>
                <w:szCs w:val="21"/>
              </w:rPr>
            </w:pPr>
          </w:p>
        </w:tc>
      </w:tr>
      <w:tr w14:paraId="099BD4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01FAE478">
            <w:pPr>
              <w:jc w:val="center"/>
              <w:rPr>
                <w:rFonts w:hint="default" w:ascii="Times New Roman" w:hAnsi="Times New Roman" w:eastAsia="宋体" w:cs="Times New Roman"/>
                <w:color w:val="auto"/>
                <w:sz w:val="21"/>
                <w:szCs w:val="21"/>
              </w:rPr>
            </w:pPr>
          </w:p>
        </w:tc>
        <w:tc>
          <w:tcPr>
            <w:tcW w:w="1266" w:type="dxa"/>
            <w:noWrap w:val="0"/>
            <w:vAlign w:val="center"/>
          </w:tcPr>
          <w:p w14:paraId="030BE380">
            <w:pPr>
              <w:jc w:val="center"/>
              <w:rPr>
                <w:rFonts w:hint="default" w:ascii="Times New Roman" w:hAnsi="Times New Roman" w:eastAsia="宋体" w:cs="Times New Roman"/>
                <w:color w:val="auto"/>
                <w:sz w:val="21"/>
                <w:szCs w:val="21"/>
              </w:rPr>
            </w:pPr>
          </w:p>
        </w:tc>
        <w:tc>
          <w:tcPr>
            <w:tcW w:w="1152" w:type="dxa"/>
            <w:noWrap w:val="0"/>
            <w:vAlign w:val="center"/>
          </w:tcPr>
          <w:p w14:paraId="0E9F9B33">
            <w:pPr>
              <w:jc w:val="center"/>
              <w:rPr>
                <w:rFonts w:hint="default" w:ascii="Times New Roman" w:hAnsi="Times New Roman" w:eastAsia="宋体" w:cs="Times New Roman"/>
                <w:color w:val="auto"/>
                <w:sz w:val="21"/>
                <w:szCs w:val="21"/>
              </w:rPr>
            </w:pPr>
          </w:p>
        </w:tc>
        <w:tc>
          <w:tcPr>
            <w:tcW w:w="933" w:type="dxa"/>
            <w:noWrap w:val="0"/>
            <w:vAlign w:val="center"/>
          </w:tcPr>
          <w:p w14:paraId="6C7E4CB3">
            <w:pPr>
              <w:jc w:val="center"/>
              <w:rPr>
                <w:rFonts w:hint="default" w:ascii="Times New Roman" w:hAnsi="Times New Roman" w:eastAsia="宋体" w:cs="Times New Roman"/>
                <w:color w:val="auto"/>
                <w:sz w:val="21"/>
                <w:szCs w:val="21"/>
              </w:rPr>
            </w:pPr>
          </w:p>
        </w:tc>
        <w:tc>
          <w:tcPr>
            <w:tcW w:w="569" w:type="dxa"/>
            <w:noWrap w:val="0"/>
            <w:vAlign w:val="center"/>
          </w:tcPr>
          <w:p w14:paraId="097DF1C4">
            <w:pPr>
              <w:jc w:val="center"/>
              <w:rPr>
                <w:rFonts w:hint="default" w:ascii="Times New Roman" w:hAnsi="Times New Roman" w:eastAsia="宋体" w:cs="Times New Roman"/>
                <w:color w:val="auto"/>
                <w:sz w:val="21"/>
                <w:szCs w:val="21"/>
              </w:rPr>
            </w:pPr>
          </w:p>
        </w:tc>
        <w:tc>
          <w:tcPr>
            <w:tcW w:w="1322" w:type="dxa"/>
            <w:noWrap w:val="0"/>
            <w:vAlign w:val="center"/>
          </w:tcPr>
          <w:p w14:paraId="46A28988">
            <w:pPr>
              <w:jc w:val="center"/>
              <w:rPr>
                <w:rFonts w:hint="default" w:ascii="Times New Roman" w:hAnsi="Times New Roman" w:eastAsia="宋体" w:cs="Times New Roman"/>
                <w:color w:val="auto"/>
                <w:sz w:val="21"/>
                <w:szCs w:val="21"/>
              </w:rPr>
            </w:pPr>
          </w:p>
        </w:tc>
        <w:tc>
          <w:tcPr>
            <w:tcW w:w="829" w:type="dxa"/>
            <w:noWrap w:val="0"/>
            <w:vAlign w:val="center"/>
          </w:tcPr>
          <w:p w14:paraId="312A4E59">
            <w:pPr>
              <w:jc w:val="center"/>
              <w:rPr>
                <w:rFonts w:hint="default" w:ascii="Times New Roman" w:hAnsi="Times New Roman" w:eastAsia="宋体" w:cs="Times New Roman"/>
                <w:color w:val="auto"/>
                <w:sz w:val="21"/>
                <w:szCs w:val="21"/>
              </w:rPr>
            </w:pPr>
          </w:p>
        </w:tc>
        <w:tc>
          <w:tcPr>
            <w:tcW w:w="1019" w:type="dxa"/>
            <w:noWrap w:val="0"/>
            <w:vAlign w:val="center"/>
          </w:tcPr>
          <w:p w14:paraId="5DDD5A43">
            <w:pPr>
              <w:jc w:val="center"/>
              <w:rPr>
                <w:rFonts w:hint="default" w:ascii="Times New Roman" w:hAnsi="Times New Roman" w:eastAsia="宋体" w:cs="Times New Roman"/>
                <w:color w:val="auto"/>
                <w:sz w:val="21"/>
                <w:szCs w:val="21"/>
              </w:rPr>
            </w:pPr>
          </w:p>
        </w:tc>
        <w:tc>
          <w:tcPr>
            <w:tcW w:w="1328" w:type="dxa"/>
            <w:noWrap w:val="0"/>
            <w:vAlign w:val="center"/>
          </w:tcPr>
          <w:p w14:paraId="41891B66">
            <w:pPr>
              <w:jc w:val="center"/>
              <w:rPr>
                <w:rFonts w:hint="default" w:ascii="Times New Roman" w:hAnsi="Times New Roman" w:eastAsia="宋体" w:cs="Times New Roman"/>
                <w:color w:val="auto"/>
                <w:sz w:val="21"/>
                <w:szCs w:val="21"/>
              </w:rPr>
            </w:pPr>
          </w:p>
        </w:tc>
      </w:tr>
      <w:tr w14:paraId="2425F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1E77B0C6">
            <w:pPr>
              <w:jc w:val="center"/>
              <w:rPr>
                <w:rFonts w:hint="default" w:ascii="Times New Roman" w:hAnsi="Times New Roman" w:eastAsia="宋体" w:cs="Times New Roman"/>
                <w:color w:val="auto"/>
                <w:sz w:val="21"/>
                <w:szCs w:val="21"/>
              </w:rPr>
            </w:pPr>
          </w:p>
        </w:tc>
        <w:tc>
          <w:tcPr>
            <w:tcW w:w="1266" w:type="dxa"/>
            <w:noWrap w:val="0"/>
            <w:vAlign w:val="center"/>
          </w:tcPr>
          <w:p w14:paraId="4353F695">
            <w:pPr>
              <w:jc w:val="center"/>
              <w:rPr>
                <w:rFonts w:hint="default" w:ascii="Times New Roman" w:hAnsi="Times New Roman" w:eastAsia="宋体" w:cs="Times New Roman"/>
                <w:color w:val="auto"/>
                <w:sz w:val="21"/>
                <w:szCs w:val="21"/>
              </w:rPr>
            </w:pPr>
          </w:p>
        </w:tc>
        <w:tc>
          <w:tcPr>
            <w:tcW w:w="1152" w:type="dxa"/>
            <w:noWrap w:val="0"/>
            <w:vAlign w:val="center"/>
          </w:tcPr>
          <w:p w14:paraId="47B74A63">
            <w:pPr>
              <w:jc w:val="center"/>
              <w:rPr>
                <w:rFonts w:hint="default" w:ascii="Times New Roman" w:hAnsi="Times New Roman" w:eastAsia="宋体" w:cs="Times New Roman"/>
                <w:color w:val="auto"/>
                <w:sz w:val="21"/>
                <w:szCs w:val="21"/>
              </w:rPr>
            </w:pPr>
          </w:p>
        </w:tc>
        <w:tc>
          <w:tcPr>
            <w:tcW w:w="933" w:type="dxa"/>
            <w:noWrap w:val="0"/>
            <w:vAlign w:val="center"/>
          </w:tcPr>
          <w:p w14:paraId="4096F718">
            <w:pPr>
              <w:jc w:val="center"/>
              <w:rPr>
                <w:rFonts w:hint="default" w:ascii="Times New Roman" w:hAnsi="Times New Roman" w:eastAsia="宋体" w:cs="Times New Roman"/>
                <w:color w:val="auto"/>
                <w:sz w:val="21"/>
                <w:szCs w:val="21"/>
              </w:rPr>
            </w:pPr>
          </w:p>
        </w:tc>
        <w:tc>
          <w:tcPr>
            <w:tcW w:w="569" w:type="dxa"/>
            <w:noWrap w:val="0"/>
            <w:vAlign w:val="center"/>
          </w:tcPr>
          <w:p w14:paraId="1469C21A">
            <w:pPr>
              <w:jc w:val="center"/>
              <w:rPr>
                <w:rFonts w:hint="default" w:ascii="Times New Roman" w:hAnsi="Times New Roman" w:eastAsia="宋体" w:cs="Times New Roman"/>
                <w:color w:val="auto"/>
                <w:sz w:val="21"/>
                <w:szCs w:val="21"/>
              </w:rPr>
            </w:pPr>
          </w:p>
        </w:tc>
        <w:tc>
          <w:tcPr>
            <w:tcW w:w="1322" w:type="dxa"/>
            <w:noWrap w:val="0"/>
            <w:vAlign w:val="center"/>
          </w:tcPr>
          <w:p w14:paraId="3A617979">
            <w:pPr>
              <w:jc w:val="center"/>
              <w:rPr>
                <w:rFonts w:hint="default" w:ascii="Times New Roman" w:hAnsi="Times New Roman" w:eastAsia="宋体" w:cs="Times New Roman"/>
                <w:color w:val="auto"/>
                <w:sz w:val="21"/>
                <w:szCs w:val="21"/>
              </w:rPr>
            </w:pPr>
          </w:p>
        </w:tc>
        <w:tc>
          <w:tcPr>
            <w:tcW w:w="829" w:type="dxa"/>
            <w:noWrap w:val="0"/>
            <w:vAlign w:val="center"/>
          </w:tcPr>
          <w:p w14:paraId="2C14D550">
            <w:pPr>
              <w:jc w:val="center"/>
              <w:rPr>
                <w:rFonts w:hint="default" w:ascii="Times New Roman" w:hAnsi="Times New Roman" w:eastAsia="宋体" w:cs="Times New Roman"/>
                <w:color w:val="auto"/>
                <w:sz w:val="21"/>
                <w:szCs w:val="21"/>
              </w:rPr>
            </w:pPr>
          </w:p>
        </w:tc>
        <w:tc>
          <w:tcPr>
            <w:tcW w:w="1019" w:type="dxa"/>
            <w:noWrap w:val="0"/>
            <w:vAlign w:val="center"/>
          </w:tcPr>
          <w:p w14:paraId="63DF5CAF">
            <w:pPr>
              <w:jc w:val="center"/>
              <w:rPr>
                <w:rFonts w:hint="default" w:ascii="Times New Roman" w:hAnsi="Times New Roman" w:eastAsia="宋体" w:cs="Times New Roman"/>
                <w:color w:val="auto"/>
                <w:sz w:val="21"/>
                <w:szCs w:val="21"/>
              </w:rPr>
            </w:pPr>
          </w:p>
        </w:tc>
        <w:tc>
          <w:tcPr>
            <w:tcW w:w="1328" w:type="dxa"/>
            <w:noWrap w:val="0"/>
            <w:vAlign w:val="center"/>
          </w:tcPr>
          <w:p w14:paraId="1A87F4AB">
            <w:pPr>
              <w:jc w:val="center"/>
              <w:rPr>
                <w:rFonts w:hint="default" w:ascii="Times New Roman" w:hAnsi="Times New Roman" w:eastAsia="宋体" w:cs="Times New Roman"/>
                <w:color w:val="auto"/>
                <w:sz w:val="21"/>
                <w:szCs w:val="21"/>
              </w:rPr>
            </w:pPr>
          </w:p>
        </w:tc>
      </w:tr>
      <w:tr w14:paraId="2CA70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18536C68">
            <w:pPr>
              <w:jc w:val="center"/>
              <w:rPr>
                <w:rFonts w:hint="default" w:ascii="Times New Roman" w:hAnsi="Times New Roman" w:eastAsia="宋体" w:cs="Times New Roman"/>
                <w:color w:val="auto"/>
                <w:sz w:val="21"/>
                <w:szCs w:val="21"/>
              </w:rPr>
            </w:pPr>
          </w:p>
        </w:tc>
        <w:tc>
          <w:tcPr>
            <w:tcW w:w="1266" w:type="dxa"/>
            <w:noWrap w:val="0"/>
            <w:vAlign w:val="center"/>
          </w:tcPr>
          <w:p w14:paraId="5CA897D2">
            <w:pPr>
              <w:jc w:val="center"/>
              <w:rPr>
                <w:rFonts w:hint="default" w:ascii="Times New Roman" w:hAnsi="Times New Roman" w:eastAsia="宋体" w:cs="Times New Roman"/>
                <w:color w:val="auto"/>
                <w:sz w:val="21"/>
                <w:szCs w:val="21"/>
              </w:rPr>
            </w:pPr>
          </w:p>
        </w:tc>
        <w:tc>
          <w:tcPr>
            <w:tcW w:w="1152" w:type="dxa"/>
            <w:noWrap w:val="0"/>
            <w:vAlign w:val="center"/>
          </w:tcPr>
          <w:p w14:paraId="480FE21A">
            <w:pPr>
              <w:jc w:val="center"/>
              <w:rPr>
                <w:rFonts w:hint="default" w:ascii="Times New Roman" w:hAnsi="Times New Roman" w:eastAsia="宋体" w:cs="Times New Roman"/>
                <w:color w:val="auto"/>
                <w:sz w:val="21"/>
                <w:szCs w:val="21"/>
              </w:rPr>
            </w:pPr>
          </w:p>
        </w:tc>
        <w:tc>
          <w:tcPr>
            <w:tcW w:w="933" w:type="dxa"/>
            <w:noWrap w:val="0"/>
            <w:vAlign w:val="center"/>
          </w:tcPr>
          <w:p w14:paraId="1F4D8D7F">
            <w:pPr>
              <w:jc w:val="center"/>
              <w:rPr>
                <w:rFonts w:hint="default" w:ascii="Times New Roman" w:hAnsi="Times New Roman" w:eastAsia="宋体" w:cs="Times New Roman"/>
                <w:color w:val="auto"/>
                <w:sz w:val="21"/>
                <w:szCs w:val="21"/>
              </w:rPr>
            </w:pPr>
          </w:p>
        </w:tc>
        <w:tc>
          <w:tcPr>
            <w:tcW w:w="569" w:type="dxa"/>
            <w:noWrap w:val="0"/>
            <w:vAlign w:val="center"/>
          </w:tcPr>
          <w:p w14:paraId="437CB5E9">
            <w:pPr>
              <w:jc w:val="center"/>
              <w:rPr>
                <w:rFonts w:hint="default" w:ascii="Times New Roman" w:hAnsi="Times New Roman" w:eastAsia="宋体" w:cs="Times New Roman"/>
                <w:color w:val="auto"/>
                <w:sz w:val="21"/>
                <w:szCs w:val="21"/>
              </w:rPr>
            </w:pPr>
          </w:p>
        </w:tc>
        <w:tc>
          <w:tcPr>
            <w:tcW w:w="1322" w:type="dxa"/>
            <w:noWrap w:val="0"/>
            <w:vAlign w:val="center"/>
          </w:tcPr>
          <w:p w14:paraId="6BAF7F2F">
            <w:pPr>
              <w:jc w:val="center"/>
              <w:rPr>
                <w:rFonts w:hint="default" w:ascii="Times New Roman" w:hAnsi="Times New Roman" w:eastAsia="宋体" w:cs="Times New Roman"/>
                <w:color w:val="auto"/>
                <w:sz w:val="21"/>
                <w:szCs w:val="21"/>
              </w:rPr>
            </w:pPr>
          </w:p>
        </w:tc>
        <w:tc>
          <w:tcPr>
            <w:tcW w:w="829" w:type="dxa"/>
            <w:noWrap w:val="0"/>
            <w:vAlign w:val="center"/>
          </w:tcPr>
          <w:p w14:paraId="7893E1E0">
            <w:pPr>
              <w:jc w:val="center"/>
              <w:rPr>
                <w:rFonts w:hint="default" w:ascii="Times New Roman" w:hAnsi="Times New Roman" w:eastAsia="宋体" w:cs="Times New Roman"/>
                <w:color w:val="auto"/>
                <w:sz w:val="21"/>
                <w:szCs w:val="21"/>
              </w:rPr>
            </w:pPr>
          </w:p>
        </w:tc>
        <w:tc>
          <w:tcPr>
            <w:tcW w:w="1019" w:type="dxa"/>
            <w:noWrap w:val="0"/>
            <w:vAlign w:val="center"/>
          </w:tcPr>
          <w:p w14:paraId="0377F487">
            <w:pPr>
              <w:jc w:val="center"/>
              <w:rPr>
                <w:rFonts w:hint="default" w:ascii="Times New Roman" w:hAnsi="Times New Roman" w:eastAsia="宋体" w:cs="Times New Roman"/>
                <w:color w:val="auto"/>
                <w:sz w:val="21"/>
                <w:szCs w:val="21"/>
              </w:rPr>
            </w:pPr>
          </w:p>
        </w:tc>
        <w:tc>
          <w:tcPr>
            <w:tcW w:w="1328" w:type="dxa"/>
            <w:noWrap w:val="0"/>
            <w:vAlign w:val="center"/>
          </w:tcPr>
          <w:p w14:paraId="3C6AFCD2">
            <w:pPr>
              <w:jc w:val="center"/>
              <w:rPr>
                <w:rFonts w:hint="default" w:ascii="Times New Roman" w:hAnsi="Times New Roman" w:eastAsia="宋体" w:cs="Times New Roman"/>
                <w:color w:val="auto"/>
                <w:sz w:val="21"/>
                <w:szCs w:val="21"/>
              </w:rPr>
            </w:pPr>
          </w:p>
        </w:tc>
      </w:tr>
      <w:tr w14:paraId="10895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7C72B680">
            <w:pPr>
              <w:jc w:val="center"/>
              <w:rPr>
                <w:rFonts w:hint="default" w:ascii="Times New Roman" w:hAnsi="Times New Roman" w:eastAsia="宋体" w:cs="Times New Roman"/>
                <w:color w:val="auto"/>
                <w:sz w:val="21"/>
                <w:szCs w:val="21"/>
              </w:rPr>
            </w:pPr>
          </w:p>
        </w:tc>
        <w:tc>
          <w:tcPr>
            <w:tcW w:w="1266" w:type="dxa"/>
            <w:noWrap w:val="0"/>
            <w:vAlign w:val="center"/>
          </w:tcPr>
          <w:p w14:paraId="52BC810D">
            <w:pPr>
              <w:jc w:val="center"/>
              <w:rPr>
                <w:rFonts w:hint="default" w:ascii="Times New Roman" w:hAnsi="Times New Roman" w:eastAsia="宋体" w:cs="Times New Roman"/>
                <w:color w:val="auto"/>
                <w:sz w:val="21"/>
                <w:szCs w:val="21"/>
              </w:rPr>
            </w:pPr>
          </w:p>
        </w:tc>
        <w:tc>
          <w:tcPr>
            <w:tcW w:w="1152" w:type="dxa"/>
            <w:noWrap w:val="0"/>
            <w:vAlign w:val="center"/>
          </w:tcPr>
          <w:p w14:paraId="6FF05C87">
            <w:pPr>
              <w:jc w:val="center"/>
              <w:rPr>
                <w:rFonts w:hint="default" w:ascii="Times New Roman" w:hAnsi="Times New Roman" w:eastAsia="宋体" w:cs="Times New Roman"/>
                <w:color w:val="auto"/>
                <w:sz w:val="21"/>
                <w:szCs w:val="21"/>
              </w:rPr>
            </w:pPr>
          </w:p>
        </w:tc>
        <w:tc>
          <w:tcPr>
            <w:tcW w:w="933" w:type="dxa"/>
            <w:noWrap w:val="0"/>
            <w:vAlign w:val="center"/>
          </w:tcPr>
          <w:p w14:paraId="2E52EA52">
            <w:pPr>
              <w:jc w:val="center"/>
              <w:rPr>
                <w:rFonts w:hint="default" w:ascii="Times New Roman" w:hAnsi="Times New Roman" w:eastAsia="宋体" w:cs="Times New Roman"/>
                <w:color w:val="auto"/>
                <w:sz w:val="21"/>
                <w:szCs w:val="21"/>
              </w:rPr>
            </w:pPr>
          </w:p>
        </w:tc>
        <w:tc>
          <w:tcPr>
            <w:tcW w:w="569" w:type="dxa"/>
            <w:noWrap w:val="0"/>
            <w:vAlign w:val="center"/>
          </w:tcPr>
          <w:p w14:paraId="51E9A0F1">
            <w:pPr>
              <w:jc w:val="center"/>
              <w:rPr>
                <w:rFonts w:hint="default" w:ascii="Times New Roman" w:hAnsi="Times New Roman" w:eastAsia="宋体" w:cs="Times New Roman"/>
                <w:color w:val="auto"/>
                <w:sz w:val="21"/>
                <w:szCs w:val="21"/>
              </w:rPr>
            </w:pPr>
          </w:p>
        </w:tc>
        <w:tc>
          <w:tcPr>
            <w:tcW w:w="1322" w:type="dxa"/>
            <w:noWrap w:val="0"/>
            <w:vAlign w:val="center"/>
          </w:tcPr>
          <w:p w14:paraId="78F81E55">
            <w:pPr>
              <w:jc w:val="center"/>
              <w:rPr>
                <w:rFonts w:hint="default" w:ascii="Times New Roman" w:hAnsi="Times New Roman" w:eastAsia="宋体" w:cs="Times New Roman"/>
                <w:color w:val="auto"/>
                <w:sz w:val="21"/>
                <w:szCs w:val="21"/>
              </w:rPr>
            </w:pPr>
          </w:p>
        </w:tc>
        <w:tc>
          <w:tcPr>
            <w:tcW w:w="829" w:type="dxa"/>
            <w:noWrap w:val="0"/>
            <w:vAlign w:val="center"/>
          </w:tcPr>
          <w:p w14:paraId="2F24ADDD">
            <w:pPr>
              <w:jc w:val="center"/>
              <w:rPr>
                <w:rFonts w:hint="default" w:ascii="Times New Roman" w:hAnsi="Times New Roman" w:eastAsia="宋体" w:cs="Times New Roman"/>
                <w:color w:val="auto"/>
                <w:sz w:val="21"/>
                <w:szCs w:val="21"/>
              </w:rPr>
            </w:pPr>
          </w:p>
        </w:tc>
        <w:tc>
          <w:tcPr>
            <w:tcW w:w="1019" w:type="dxa"/>
            <w:noWrap w:val="0"/>
            <w:vAlign w:val="center"/>
          </w:tcPr>
          <w:p w14:paraId="3236A8E5">
            <w:pPr>
              <w:jc w:val="center"/>
              <w:rPr>
                <w:rFonts w:hint="default" w:ascii="Times New Roman" w:hAnsi="Times New Roman" w:eastAsia="宋体" w:cs="Times New Roman"/>
                <w:color w:val="auto"/>
                <w:sz w:val="21"/>
                <w:szCs w:val="21"/>
              </w:rPr>
            </w:pPr>
          </w:p>
        </w:tc>
        <w:tc>
          <w:tcPr>
            <w:tcW w:w="1328" w:type="dxa"/>
            <w:noWrap w:val="0"/>
            <w:vAlign w:val="center"/>
          </w:tcPr>
          <w:p w14:paraId="7DBCD769">
            <w:pPr>
              <w:jc w:val="center"/>
              <w:rPr>
                <w:rFonts w:hint="default" w:ascii="Times New Roman" w:hAnsi="Times New Roman" w:eastAsia="宋体" w:cs="Times New Roman"/>
                <w:color w:val="auto"/>
                <w:sz w:val="21"/>
                <w:szCs w:val="21"/>
              </w:rPr>
            </w:pPr>
          </w:p>
        </w:tc>
      </w:tr>
      <w:tr w14:paraId="07472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5EFDB492">
            <w:pPr>
              <w:jc w:val="center"/>
              <w:rPr>
                <w:rFonts w:hint="default" w:ascii="Times New Roman" w:hAnsi="Times New Roman" w:eastAsia="宋体" w:cs="Times New Roman"/>
                <w:color w:val="auto"/>
                <w:sz w:val="21"/>
                <w:szCs w:val="21"/>
              </w:rPr>
            </w:pPr>
          </w:p>
        </w:tc>
        <w:tc>
          <w:tcPr>
            <w:tcW w:w="1266" w:type="dxa"/>
            <w:noWrap w:val="0"/>
            <w:vAlign w:val="center"/>
          </w:tcPr>
          <w:p w14:paraId="59E52544">
            <w:pPr>
              <w:jc w:val="center"/>
              <w:rPr>
                <w:rFonts w:hint="default" w:ascii="Times New Roman" w:hAnsi="Times New Roman" w:eastAsia="宋体" w:cs="Times New Roman"/>
                <w:color w:val="auto"/>
                <w:sz w:val="21"/>
                <w:szCs w:val="21"/>
              </w:rPr>
            </w:pPr>
          </w:p>
        </w:tc>
        <w:tc>
          <w:tcPr>
            <w:tcW w:w="1152" w:type="dxa"/>
            <w:noWrap w:val="0"/>
            <w:vAlign w:val="center"/>
          </w:tcPr>
          <w:p w14:paraId="50120C0A">
            <w:pPr>
              <w:jc w:val="center"/>
              <w:rPr>
                <w:rFonts w:hint="default" w:ascii="Times New Roman" w:hAnsi="Times New Roman" w:eastAsia="宋体" w:cs="Times New Roman"/>
                <w:color w:val="auto"/>
                <w:sz w:val="21"/>
                <w:szCs w:val="21"/>
              </w:rPr>
            </w:pPr>
          </w:p>
        </w:tc>
        <w:tc>
          <w:tcPr>
            <w:tcW w:w="933" w:type="dxa"/>
            <w:noWrap w:val="0"/>
            <w:vAlign w:val="center"/>
          </w:tcPr>
          <w:p w14:paraId="575D93E2">
            <w:pPr>
              <w:jc w:val="center"/>
              <w:rPr>
                <w:rFonts w:hint="default" w:ascii="Times New Roman" w:hAnsi="Times New Roman" w:eastAsia="宋体" w:cs="Times New Roman"/>
                <w:color w:val="auto"/>
                <w:sz w:val="21"/>
                <w:szCs w:val="21"/>
              </w:rPr>
            </w:pPr>
          </w:p>
        </w:tc>
        <w:tc>
          <w:tcPr>
            <w:tcW w:w="569" w:type="dxa"/>
            <w:noWrap w:val="0"/>
            <w:vAlign w:val="center"/>
          </w:tcPr>
          <w:p w14:paraId="3F3B0166">
            <w:pPr>
              <w:jc w:val="center"/>
              <w:rPr>
                <w:rFonts w:hint="default" w:ascii="Times New Roman" w:hAnsi="Times New Roman" w:eastAsia="宋体" w:cs="Times New Roman"/>
                <w:color w:val="auto"/>
                <w:sz w:val="21"/>
                <w:szCs w:val="21"/>
              </w:rPr>
            </w:pPr>
          </w:p>
        </w:tc>
        <w:tc>
          <w:tcPr>
            <w:tcW w:w="1322" w:type="dxa"/>
            <w:noWrap w:val="0"/>
            <w:vAlign w:val="center"/>
          </w:tcPr>
          <w:p w14:paraId="6F596EE9">
            <w:pPr>
              <w:jc w:val="center"/>
              <w:rPr>
                <w:rFonts w:hint="default" w:ascii="Times New Roman" w:hAnsi="Times New Roman" w:eastAsia="宋体" w:cs="Times New Roman"/>
                <w:color w:val="auto"/>
                <w:sz w:val="21"/>
                <w:szCs w:val="21"/>
              </w:rPr>
            </w:pPr>
          </w:p>
        </w:tc>
        <w:tc>
          <w:tcPr>
            <w:tcW w:w="829" w:type="dxa"/>
            <w:noWrap w:val="0"/>
            <w:vAlign w:val="center"/>
          </w:tcPr>
          <w:p w14:paraId="11FF2B12">
            <w:pPr>
              <w:jc w:val="center"/>
              <w:rPr>
                <w:rFonts w:hint="default" w:ascii="Times New Roman" w:hAnsi="Times New Roman" w:eastAsia="宋体" w:cs="Times New Roman"/>
                <w:color w:val="auto"/>
                <w:sz w:val="21"/>
                <w:szCs w:val="21"/>
              </w:rPr>
            </w:pPr>
          </w:p>
        </w:tc>
        <w:tc>
          <w:tcPr>
            <w:tcW w:w="1019" w:type="dxa"/>
            <w:noWrap w:val="0"/>
            <w:vAlign w:val="center"/>
          </w:tcPr>
          <w:p w14:paraId="38CD5F77">
            <w:pPr>
              <w:jc w:val="center"/>
              <w:rPr>
                <w:rFonts w:hint="default" w:ascii="Times New Roman" w:hAnsi="Times New Roman" w:eastAsia="宋体" w:cs="Times New Roman"/>
                <w:color w:val="auto"/>
                <w:sz w:val="21"/>
                <w:szCs w:val="21"/>
              </w:rPr>
            </w:pPr>
          </w:p>
        </w:tc>
        <w:tc>
          <w:tcPr>
            <w:tcW w:w="1328" w:type="dxa"/>
            <w:noWrap w:val="0"/>
            <w:vAlign w:val="center"/>
          </w:tcPr>
          <w:p w14:paraId="457364F2">
            <w:pPr>
              <w:jc w:val="center"/>
              <w:rPr>
                <w:rFonts w:hint="default" w:ascii="Times New Roman" w:hAnsi="Times New Roman" w:eastAsia="宋体" w:cs="Times New Roman"/>
                <w:color w:val="auto"/>
                <w:sz w:val="21"/>
                <w:szCs w:val="21"/>
              </w:rPr>
            </w:pPr>
          </w:p>
        </w:tc>
      </w:tr>
      <w:tr w14:paraId="32144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58" w:type="dxa"/>
            <w:noWrap w:val="0"/>
            <w:vAlign w:val="center"/>
          </w:tcPr>
          <w:p w14:paraId="5921B6E2">
            <w:pPr>
              <w:jc w:val="center"/>
              <w:rPr>
                <w:rFonts w:hint="default" w:ascii="Times New Roman" w:hAnsi="Times New Roman" w:eastAsia="宋体" w:cs="Times New Roman"/>
                <w:color w:val="auto"/>
                <w:sz w:val="21"/>
                <w:szCs w:val="21"/>
              </w:rPr>
            </w:pPr>
          </w:p>
        </w:tc>
        <w:tc>
          <w:tcPr>
            <w:tcW w:w="1266" w:type="dxa"/>
            <w:noWrap w:val="0"/>
            <w:vAlign w:val="center"/>
          </w:tcPr>
          <w:p w14:paraId="70EF20AE">
            <w:pPr>
              <w:jc w:val="center"/>
              <w:rPr>
                <w:rFonts w:hint="default" w:ascii="Times New Roman" w:hAnsi="Times New Roman" w:eastAsia="宋体" w:cs="Times New Roman"/>
                <w:color w:val="auto"/>
                <w:sz w:val="21"/>
                <w:szCs w:val="21"/>
              </w:rPr>
            </w:pPr>
          </w:p>
        </w:tc>
        <w:tc>
          <w:tcPr>
            <w:tcW w:w="1152" w:type="dxa"/>
            <w:noWrap w:val="0"/>
            <w:vAlign w:val="center"/>
          </w:tcPr>
          <w:p w14:paraId="05CE214F">
            <w:pPr>
              <w:jc w:val="center"/>
              <w:rPr>
                <w:rFonts w:hint="default" w:ascii="Times New Roman" w:hAnsi="Times New Roman" w:eastAsia="宋体" w:cs="Times New Roman"/>
                <w:color w:val="auto"/>
                <w:sz w:val="21"/>
                <w:szCs w:val="21"/>
              </w:rPr>
            </w:pPr>
          </w:p>
        </w:tc>
        <w:tc>
          <w:tcPr>
            <w:tcW w:w="933" w:type="dxa"/>
            <w:noWrap w:val="0"/>
            <w:vAlign w:val="center"/>
          </w:tcPr>
          <w:p w14:paraId="72CAFAC7">
            <w:pPr>
              <w:jc w:val="center"/>
              <w:rPr>
                <w:rFonts w:hint="default" w:ascii="Times New Roman" w:hAnsi="Times New Roman" w:eastAsia="宋体" w:cs="Times New Roman"/>
                <w:color w:val="auto"/>
                <w:sz w:val="21"/>
                <w:szCs w:val="21"/>
              </w:rPr>
            </w:pPr>
          </w:p>
        </w:tc>
        <w:tc>
          <w:tcPr>
            <w:tcW w:w="569" w:type="dxa"/>
            <w:noWrap w:val="0"/>
            <w:vAlign w:val="center"/>
          </w:tcPr>
          <w:p w14:paraId="16342C40">
            <w:pPr>
              <w:jc w:val="center"/>
              <w:rPr>
                <w:rFonts w:hint="default" w:ascii="Times New Roman" w:hAnsi="Times New Roman" w:eastAsia="宋体" w:cs="Times New Roman"/>
                <w:color w:val="auto"/>
                <w:sz w:val="21"/>
                <w:szCs w:val="21"/>
              </w:rPr>
            </w:pPr>
          </w:p>
        </w:tc>
        <w:tc>
          <w:tcPr>
            <w:tcW w:w="1322" w:type="dxa"/>
            <w:noWrap w:val="0"/>
            <w:vAlign w:val="center"/>
          </w:tcPr>
          <w:p w14:paraId="292E1C33">
            <w:pPr>
              <w:jc w:val="center"/>
              <w:rPr>
                <w:rFonts w:hint="default" w:ascii="Times New Roman" w:hAnsi="Times New Roman" w:eastAsia="宋体" w:cs="Times New Roman"/>
                <w:color w:val="auto"/>
                <w:sz w:val="21"/>
                <w:szCs w:val="21"/>
              </w:rPr>
            </w:pPr>
          </w:p>
        </w:tc>
        <w:tc>
          <w:tcPr>
            <w:tcW w:w="829" w:type="dxa"/>
            <w:noWrap w:val="0"/>
            <w:vAlign w:val="center"/>
          </w:tcPr>
          <w:p w14:paraId="6884EA96">
            <w:pPr>
              <w:jc w:val="center"/>
              <w:rPr>
                <w:rFonts w:hint="default" w:ascii="Times New Roman" w:hAnsi="Times New Roman" w:eastAsia="宋体" w:cs="Times New Roman"/>
                <w:color w:val="auto"/>
                <w:sz w:val="21"/>
                <w:szCs w:val="21"/>
              </w:rPr>
            </w:pPr>
          </w:p>
        </w:tc>
        <w:tc>
          <w:tcPr>
            <w:tcW w:w="1019" w:type="dxa"/>
            <w:noWrap w:val="0"/>
            <w:vAlign w:val="center"/>
          </w:tcPr>
          <w:p w14:paraId="7A8E483D">
            <w:pPr>
              <w:jc w:val="center"/>
              <w:rPr>
                <w:rFonts w:hint="default" w:ascii="Times New Roman" w:hAnsi="Times New Roman" w:eastAsia="宋体" w:cs="Times New Roman"/>
                <w:color w:val="auto"/>
                <w:sz w:val="21"/>
                <w:szCs w:val="21"/>
              </w:rPr>
            </w:pPr>
          </w:p>
        </w:tc>
        <w:tc>
          <w:tcPr>
            <w:tcW w:w="1328" w:type="dxa"/>
            <w:noWrap w:val="0"/>
            <w:vAlign w:val="center"/>
          </w:tcPr>
          <w:p w14:paraId="20460E56">
            <w:pPr>
              <w:jc w:val="center"/>
              <w:rPr>
                <w:rFonts w:hint="default" w:ascii="Times New Roman" w:hAnsi="Times New Roman" w:eastAsia="宋体" w:cs="Times New Roman"/>
                <w:color w:val="auto"/>
                <w:sz w:val="21"/>
                <w:szCs w:val="21"/>
              </w:rPr>
            </w:pPr>
          </w:p>
        </w:tc>
      </w:tr>
      <w:tr w14:paraId="6F4DF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58" w:type="dxa"/>
            <w:noWrap w:val="0"/>
            <w:vAlign w:val="center"/>
          </w:tcPr>
          <w:p w14:paraId="75514373">
            <w:pPr>
              <w:jc w:val="center"/>
              <w:rPr>
                <w:rFonts w:hint="default" w:ascii="Times New Roman" w:hAnsi="Times New Roman" w:eastAsia="宋体" w:cs="Times New Roman"/>
                <w:color w:val="auto"/>
                <w:sz w:val="21"/>
                <w:szCs w:val="21"/>
              </w:rPr>
            </w:pPr>
          </w:p>
        </w:tc>
        <w:tc>
          <w:tcPr>
            <w:tcW w:w="1266" w:type="dxa"/>
            <w:noWrap w:val="0"/>
            <w:vAlign w:val="center"/>
          </w:tcPr>
          <w:p w14:paraId="5D60357D">
            <w:pPr>
              <w:jc w:val="center"/>
              <w:rPr>
                <w:rFonts w:hint="default" w:ascii="Times New Roman" w:hAnsi="Times New Roman" w:eastAsia="宋体" w:cs="Times New Roman"/>
                <w:color w:val="auto"/>
                <w:sz w:val="21"/>
                <w:szCs w:val="21"/>
              </w:rPr>
            </w:pPr>
          </w:p>
        </w:tc>
        <w:tc>
          <w:tcPr>
            <w:tcW w:w="1152" w:type="dxa"/>
            <w:noWrap w:val="0"/>
            <w:vAlign w:val="center"/>
          </w:tcPr>
          <w:p w14:paraId="1FB80ECF">
            <w:pPr>
              <w:jc w:val="center"/>
              <w:rPr>
                <w:rFonts w:hint="default" w:ascii="Times New Roman" w:hAnsi="Times New Roman" w:eastAsia="宋体" w:cs="Times New Roman"/>
                <w:color w:val="auto"/>
                <w:sz w:val="21"/>
                <w:szCs w:val="21"/>
              </w:rPr>
            </w:pPr>
          </w:p>
        </w:tc>
        <w:tc>
          <w:tcPr>
            <w:tcW w:w="933" w:type="dxa"/>
            <w:noWrap w:val="0"/>
            <w:vAlign w:val="center"/>
          </w:tcPr>
          <w:p w14:paraId="0EA692D7">
            <w:pPr>
              <w:jc w:val="center"/>
              <w:rPr>
                <w:rFonts w:hint="default" w:ascii="Times New Roman" w:hAnsi="Times New Roman" w:eastAsia="宋体" w:cs="Times New Roman"/>
                <w:color w:val="auto"/>
                <w:sz w:val="21"/>
                <w:szCs w:val="21"/>
              </w:rPr>
            </w:pPr>
          </w:p>
        </w:tc>
        <w:tc>
          <w:tcPr>
            <w:tcW w:w="569" w:type="dxa"/>
            <w:noWrap w:val="0"/>
            <w:vAlign w:val="center"/>
          </w:tcPr>
          <w:p w14:paraId="0F9B763D">
            <w:pPr>
              <w:jc w:val="center"/>
              <w:rPr>
                <w:rFonts w:hint="default" w:ascii="Times New Roman" w:hAnsi="Times New Roman" w:eastAsia="宋体" w:cs="Times New Roman"/>
                <w:color w:val="auto"/>
                <w:sz w:val="21"/>
                <w:szCs w:val="21"/>
              </w:rPr>
            </w:pPr>
          </w:p>
        </w:tc>
        <w:tc>
          <w:tcPr>
            <w:tcW w:w="1322" w:type="dxa"/>
            <w:noWrap w:val="0"/>
            <w:vAlign w:val="center"/>
          </w:tcPr>
          <w:p w14:paraId="1E9F77B2">
            <w:pPr>
              <w:jc w:val="center"/>
              <w:rPr>
                <w:rFonts w:hint="default" w:ascii="Times New Roman" w:hAnsi="Times New Roman" w:eastAsia="宋体" w:cs="Times New Roman"/>
                <w:color w:val="auto"/>
                <w:sz w:val="21"/>
                <w:szCs w:val="21"/>
              </w:rPr>
            </w:pPr>
          </w:p>
        </w:tc>
        <w:tc>
          <w:tcPr>
            <w:tcW w:w="829" w:type="dxa"/>
            <w:noWrap w:val="0"/>
            <w:vAlign w:val="center"/>
          </w:tcPr>
          <w:p w14:paraId="05F26072">
            <w:pPr>
              <w:jc w:val="center"/>
              <w:rPr>
                <w:rFonts w:hint="default" w:ascii="Times New Roman" w:hAnsi="Times New Roman" w:eastAsia="宋体" w:cs="Times New Roman"/>
                <w:color w:val="auto"/>
                <w:sz w:val="21"/>
                <w:szCs w:val="21"/>
              </w:rPr>
            </w:pPr>
          </w:p>
        </w:tc>
        <w:tc>
          <w:tcPr>
            <w:tcW w:w="1019" w:type="dxa"/>
            <w:noWrap w:val="0"/>
            <w:vAlign w:val="center"/>
          </w:tcPr>
          <w:p w14:paraId="5239CCE7">
            <w:pPr>
              <w:jc w:val="center"/>
              <w:rPr>
                <w:rFonts w:hint="default" w:ascii="Times New Roman" w:hAnsi="Times New Roman" w:eastAsia="宋体" w:cs="Times New Roman"/>
                <w:color w:val="auto"/>
                <w:sz w:val="21"/>
                <w:szCs w:val="21"/>
              </w:rPr>
            </w:pPr>
          </w:p>
        </w:tc>
        <w:tc>
          <w:tcPr>
            <w:tcW w:w="1328" w:type="dxa"/>
            <w:noWrap w:val="0"/>
            <w:vAlign w:val="center"/>
          </w:tcPr>
          <w:p w14:paraId="044AFE46">
            <w:pPr>
              <w:jc w:val="center"/>
              <w:rPr>
                <w:rFonts w:hint="default" w:ascii="Times New Roman" w:hAnsi="Times New Roman" w:eastAsia="宋体" w:cs="Times New Roman"/>
                <w:color w:val="auto"/>
                <w:sz w:val="21"/>
                <w:szCs w:val="21"/>
              </w:rPr>
            </w:pPr>
          </w:p>
        </w:tc>
      </w:tr>
      <w:tr w14:paraId="1768C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958" w:type="dxa"/>
            <w:noWrap w:val="0"/>
            <w:vAlign w:val="center"/>
          </w:tcPr>
          <w:p w14:paraId="35DB6929">
            <w:pPr>
              <w:jc w:val="center"/>
              <w:rPr>
                <w:rFonts w:hint="default" w:ascii="Times New Roman" w:hAnsi="Times New Roman" w:eastAsia="宋体" w:cs="Times New Roman"/>
                <w:color w:val="auto"/>
                <w:sz w:val="21"/>
                <w:szCs w:val="21"/>
              </w:rPr>
            </w:pPr>
          </w:p>
        </w:tc>
        <w:tc>
          <w:tcPr>
            <w:tcW w:w="1266" w:type="dxa"/>
            <w:noWrap w:val="0"/>
            <w:vAlign w:val="center"/>
          </w:tcPr>
          <w:p w14:paraId="190A3EE2">
            <w:pPr>
              <w:jc w:val="center"/>
              <w:rPr>
                <w:rFonts w:hint="default" w:ascii="Times New Roman" w:hAnsi="Times New Roman" w:eastAsia="宋体" w:cs="Times New Roman"/>
                <w:color w:val="auto"/>
                <w:sz w:val="21"/>
                <w:szCs w:val="21"/>
              </w:rPr>
            </w:pPr>
          </w:p>
        </w:tc>
        <w:tc>
          <w:tcPr>
            <w:tcW w:w="1152" w:type="dxa"/>
            <w:noWrap w:val="0"/>
            <w:vAlign w:val="center"/>
          </w:tcPr>
          <w:p w14:paraId="72F52F04">
            <w:pPr>
              <w:jc w:val="center"/>
              <w:rPr>
                <w:rFonts w:hint="default" w:ascii="Times New Roman" w:hAnsi="Times New Roman" w:eastAsia="宋体" w:cs="Times New Roman"/>
                <w:color w:val="auto"/>
                <w:sz w:val="21"/>
                <w:szCs w:val="21"/>
              </w:rPr>
            </w:pPr>
          </w:p>
        </w:tc>
        <w:tc>
          <w:tcPr>
            <w:tcW w:w="933" w:type="dxa"/>
            <w:noWrap w:val="0"/>
            <w:vAlign w:val="center"/>
          </w:tcPr>
          <w:p w14:paraId="325D3014">
            <w:pPr>
              <w:jc w:val="center"/>
              <w:rPr>
                <w:rFonts w:hint="default" w:ascii="Times New Roman" w:hAnsi="Times New Roman" w:eastAsia="宋体" w:cs="Times New Roman"/>
                <w:color w:val="auto"/>
                <w:sz w:val="21"/>
                <w:szCs w:val="21"/>
              </w:rPr>
            </w:pPr>
          </w:p>
        </w:tc>
        <w:tc>
          <w:tcPr>
            <w:tcW w:w="569" w:type="dxa"/>
            <w:noWrap w:val="0"/>
            <w:vAlign w:val="center"/>
          </w:tcPr>
          <w:p w14:paraId="430BB2C2">
            <w:pPr>
              <w:jc w:val="center"/>
              <w:rPr>
                <w:rFonts w:hint="default" w:ascii="Times New Roman" w:hAnsi="Times New Roman" w:eastAsia="宋体" w:cs="Times New Roman"/>
                <w:color w:val="auto"/>
                <w:sz w:val="21"/>
                <w:szCs w:val="21"/>
              </w:rPr>
            </w:pPr>
          </w:p>
        </w:tc>
        <w:tc>
          <w:tcPr>
            <w:tcW w:w="1322" w:type="dxa"/>
            <w:noWrap w:val="0"/>
            <w:vAlign w:val="center"/>
          </w:tcPr>
          <w:p w14:paraId="42804EE1">
            <w:pPr>
              <w:jc w:val="center"/>
              <w:rPr>
                <w:rFonts w:hint="default" w:ascii="Times New Roman" w:hAnsi="Times New Roman" w:eastAsia="宋体" w:cs="Times New Roman"/>
                <w:color w:val="auto"/>
                <w:sz w:val="21"/>
                <w:szCs w:val="21"/>
              </w:rPr>
            </w:pPr>
          </w:p>
        </w:tc>
        <w:tc>
          <w:tcPr>
            <w:tcW w:w="829" w:type="dxa"/>
            <w:noWrap w:val="0"/>
            <w:vAlign w:val="center"/>
          </w:tcPr>
          <w:p w14:paraId="0BE2DF7F">
            <w:pPr>
              <w:jc w:val="center"/>
              <w:rPr>
                <w:rFonts w:hint="default" w:ascii="Times New Roman" w:hAnsi="Times New Roman" w:eastAsia="宋体" w:cs="Times New Roman"/>
                <w:color w:val="auto"/>
                <w:sz w:val="21"/>
                <w:szCs w:val="21"/>
              </w:rPr>
            </w:pPr>
          </w:p>
        </w:tc>
        <w:tc>
          <w:tcPr>
            <w:tcW w:w="1019" w:type="dxa"/>
            <w:noWrap w:val="0"/>
            <w:vAlign w:val="center"/>
          </w:tcPr>
          <w:p w14:paraId="685FFEBC">
            <w:pPr>
              <w:jc w:val="center"/>
              <w:rPr>
                <w:rFonts w:hint="default" w:ascii="Times New Roman" w:hAnsi="Times New Roman" w:eastAsia="宋体" w:cs="Times New Roman"/>
                <w:color w:val="auto"/>
                <w:sz w:val="21"/>
                <w:szCs w:val="21"/>
              </w:rPr>
            </w:pPr>
          </w:p>
        </w:tc>
        <w:tc>
          <w:tcPr>
            <w:tcW w:w="1328" w:type="dxa"/>
            <w:noWrap w:val="0"/>
            <w:vAlign w:val="center"/>
          </w:tcPr>
          <w:p w14:paraId="12D7E608">
            <w:pPr>
              <w:jc w:val="center"/>
              <w:rPr>
                <w:rFonts w:hint="default" w:ascii="Times New Roman" w:hAnsi="Times New Roman" w:eastAsia="宋体" w:cs="Times New Roman"/>
                <w:color w:val="auto"/>
                <w:sz w:val="21"/>
                <w:szCs w:val="21"/>
              </w:rPr>
            </w:pPr>
          </w:p>
        </w:tc>
      </w:tr>
    </w:tbl>
    <w:p w14:paraId="5EC41931">
      <w:pPr>
        <w:spacing w:before="156" w:line="218" w:lineRule="auto"/>
        <w:ind w:left="121"/>
        <w:rPr>
          <w:rFonts w:hint="eastAsia" w:ascii="宋体" w:hAnsi="宋体" w:eastAsia="宋体" w:cs="宋体"/>
          <w:szCs w:val="21"/>
          <w:lang w:eastAsia="zh-CN"/>
        </w:rPr>
      </w:pPr>
      <w:r>
        <w:rPr>
          <w:rFonts w:ascii="宋体" w:hAnsi="宋体" w:cs="宋体"/>
          <w:spacing w:val="-2"/>
          <w:szCs w:val="21"/>
        </w:rPr>
        <w:t>注：本表填报的人员应满足招标文件</w:t>
      </w:r>
      <w:r>
        <w:rPr>
          <w:rFonts w:hint="eastAsia" w:ascii="宋体" w:hAnsi="宋体" w:cs="宋体"/>
          <w:spacing w:val="-2"/>
          <w:szCs w:val="21"/>
        </w:rPr>
        <w:t>相应的要求</w:t>
      </w:r>
      <w:r>
        <w:rPr>
          <w:rFonts w:hint="eastAsia" w:ascii="宋体" w:hAnsi="宋体" w:eastAsia="宋体" w:cs="宋体"/>
          <w:color w:val="auto"/>
          <w:sz w:val="21"/>
          <w:szCs w:val="21"/>
          <w:highlight w:val="none"/>
          <w:lang w:eastAsia="zh-CN"/>
        </w:rPr>
        <w:t>。</w:t>
      </w:r>
    </w:p>
    <w:p w14:paraId="1C56ACC6">
      <w:pPr>
        <w:rPr>
          <w:rFonts w:hint="eastAsia" w:ascii="宋体" w:hAnsi="宋体" w:cs="宋体"/>
          <w:color w:val="auto"/>
          <w:spacing w:val="-1"/>
          <w:kern w:val="0"/>
          <w:szCs w:val="21"/>
          <w:highlight w:val="none"/>
        </w:rPr>
      </w:pPr>
      <w:r>
        <w:rPr>
          <w:rFonts w:hint="eastAsia" w:ascii="宋体" w:hAnsi="宋体" w:cs="宋体"/>
          <w:color w:val="auto"/>
          <w:spacing w:val="-1"/>
          <w:kern w:val="0"/>
          <w:szCs w:val="21"/>
          <w:highlight w:val="none"/>
        </w:rPr>
        <w:br w:type="page"/>
      </w:r>
    </w:p>
    <w:p w14:paraId="2A7C56BA">
      <w:pPr>
        <w:keepNext w:val="0"/>
        <w:keepLines w:val="0"/>
        <w:pageBreakBefore w:val="0"/>
        <w:widowControl w:val="0"/>
        <w:kinsoku/>
        <w:wordWrap w:val="0"/>
        <w:overflowPunct/>
        <w:topLinePunct w:val="0"/>
        <w:autoSpaceDE/>
        <w:autoSpaceDN/>
        <w:bidi w:val="0"/>
        <w:adjustRightInd w:val="0"/>
        <w:snapToGrid/>
        <w:spacing w:line="360" w:lineRule="auto"/>
        <w:ind w:right="0" w:rightChars="0"/>
        <w:jc w:val="center"/>
        <w:textAlignment w:val="auto"/>
        <w:outlineLvl w:val="9"/>
        <w:rPr>
          <w:rFonts w:hint="eastAsia" w:ascii="宋体" w:hAnsi="宋体" w:eastAsia="宋体" w:cs="宋体"/>
          <w:b/>
          <w:bCs/>
          <w:color w:val="auto"/>
          <w:kern w:val="0"/>
          <w:sz w:val="30"/>
          <w:szCs w:val="30"/>
          <w:highlight w:val="none"/>
        </w:rPr>
      </w:pPr>
      <w:r>
        <w:rPr>
          <w:rFonts w:hint="eastAsia" w:ascii="宋体" w:hAnsi="宋体" w:cs="宋体"/>
          <w:b/>
          <w:bCs/>
          <w:color w:val="auto"/>
          <w:kern w:val="0"/>
          <w:sz w:val="28"/>
          <w:highlight w:val="none"/>
          <w:lang w:eastAsia="zh-CN"/>
        </w:rPr>
        <w:t>七</w:t>
      </w:r>
      <w:r>
        <w:rPr>
          <w:rFonts w:hint="eastAsia" w:ascii="宋体" w:hAnsi="宋体" w:eastAsia="宋体" w:cs="宋体"/>
          <w:b/>
          <w:bCs/>
          <w:color w:val="auto"/>
          <w:kern w:val="0"/>
          <w:sz w:val="30"/>
          <w:szCs w:val="30"/>
          <w:highlight w:val="none"/>
        </w:rPr>
        <w:t>、其他材料</w:t>
      </w:r>
      <w:bookmarkEnd w:id="699"/>
      <w:bookmarkEnd w:id="700"/>
      <w:bookmarkEnd w:id="701"/>
      <w:bookmarkEnd w:id="702"/>
      <w:bookmarkEnd w:id="703"/>
      <w:bookmarkEnd w:id="704"/>
    </w:p>
    <w:p w14:paraId="26AB3960">
      <w:pPr>
        <w:autoSpaceDE w:val="0"/>
        <w:autoSpaceDN w:val="0"/>
        <w:adjustRightInd w:val="0"/>
        <w:spacing w:line="500" w:lineRule="exact"/>
        <w:ind w:right="-34" w:rightChars="-16"/>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投标活动承诺书</w:t>
      </w:r>
    </w:p>
    <w:p w14:paraId="1722FB6E">
      <w:pPr>
        <w:bidi w:val="0"/>
        <w:rPr>
          <w:rFonts w:hint="eastAsia"/>
          <w:color w:val="auto"/>
          <w:highlight w:val="none"/>
        </w:rPr>
      </w:pPr>
    </w:p>
    <w:p w14:paraId="193BD580">
      <w:pPr>
        <w:spacing w:line="360" w:lineRule="auto"/>
        <w:rPr>
          <w:rFonts w:hint="eastAsia" w:ascii="宋体" w:hAnsi="宋体" w:cs="宋体"/>
          <w:bCs/>
          <w:color w:val="auto"/>
          <w:spacing w:val="-2"/>
          <w:szCs w:val="21"/>
          <w:highlight w:val="none"/>
        </w:rPr>
      </w:pPr>
      <w:r>
        <w:rPr>
          <w:rFonts w:hint="eastAsia" w:ascii="宋体" w:hAnsi="宋体" w:cs="宋体"/>
          <w:bCs/>
          <w:strike/>
          <w:color w:val="auto"/>
          <w:spacing w:val="-2"/>
          <w:szCs w:val="21"/>
          <w:highlight w:val="none"/>
        </w:rPr>
        <w:t xml:space="preserve">              </w:t>
      </w:r>
      <w:bookmarkStart w:id="707" w:name="_Toc43288595"/>
      <w:bookmarkStart w:id="708" w:name="_Toc6192"/>
      <w:bookmarkStart w:id="709" w:name="_Toc12041"/>
      <w:r>
        <w:rPr>
          <w:rFonts w:hint="eastAsia" w:ascii="宋体" w:hAnsi="宋体" w:cs="宋体"/>
          <w:bCs/>
          <w:color w:val="auto"/>
          <w:spacing w:val="-2"/>
          <w:szCs w:val="21"/>
          <w:highlight w:val="none"/>
        </w:rPr>
        <w:t>（招标人）：</w:t>
      </w:r>
      <w:bookmarkEnd w:id="707"/>
      <w:bookmarkEnd w:id="708"/>
      <w:bookmarkEnd w:id="709"/>
    </w:p>
    <w:p w14:paraId="1524172E">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我公司有幸参加贵单位</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 xml:space="preserve"> 项目（项目名称）的投标，本人以企业法定代表人的身份郑重承诺如下：</w:t>
      </w:r>
    </w:p>
    <w:p w14:paraId="6FBF487D">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一、将遵循公开、公正和诚实信用的原则自愿参加本项目的投标；</w:t>
      </w:r>
    </w:p>
    <w:p w14:paraId="5886C7D5">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二、所提供的一切材料都是真实、有效、合法的；</w:t>
      </w:r>
    </w:p>
    <w:p w14:paraId="783EADA7">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三、不出借、转让资质证书，不借用、挂靠他人资质证书，以他人名义投标或者以其他方式弄虚作假，骗取中标；</w:t>
      </w:r>
    </w:p>
    <w:p w14:paraId="3C5A0A4C">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四、不与其他投标人相互串通投标报价，不排挤其他投标人的公平竞争、损害招标人的合法权益；</w:t>
      </w:r>
    </w:p>
    <w:p w14:paraId="1B28AB88">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五、不与招标人、招标代理机构或其他投标人串通投标，损害国家利益、社会公共利益或者他人的合法权益；</w:t>
      </w:r>
    </w:p>
    <w:p w14:paraId="3A58DDA2">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六、严格遵守开标现场纪律，服从监管人员管理；</w:t>
      </w:r>
    </w:p>
    <w:p w14:paraId="2C3CCE0A">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以上内容我已仔细阅读，本公司若有违反承诺内容的行为，自愿依法接受取消投标资格、记入信用档案、取消中标资格、没收投标保证金等有关处理，愿意承担法律责任，给招标人造成损失的，依法承担赔偿责任。</w:t>
      </w:r>
    </w:p>
    <w:p w14:paraId="72E1129D">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　</w:t>
      </w:r>
    </w:p>
    <w:p w14:paraId="0EFFA193">
      <w:pPr>
        <w:spacing w:line="360" w:lineRule="auto"/>
        <w:ind w:firstLine="3296" w:firstLineChars="16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承诺人：</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（投标人名称及盖章）</w:t>
      </w:r>
    </w:p>
    <w:p w14:paraId="31C1D8AA">
      <w:pPr>
        <w:spacing w:line="360" w:lineRule="auto"/>
        <w:ind w:firstLine="3296" w:firstLineChars="16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法定代表人：</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 xml:space="preserve">  （签字）</w:t>
      </w:r>
    </w:p>
    <w:p w14:paraId="64B1789F">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　　</w:t>
      </w:r>
    </w:p>
    <w:p w14:paraId="4882B25D">
      <w:pPr>
        <w:spacing w:line="360" w:lineRule="auto"/>
        <w:ind w:firstLine="412" w:firstLineChars="200"/>
        <w:rPr>
          <w:rFonts w:hint="eastAsia" w:ascii="宋体" w:hAnsi="宋体" w:cs="宋体"/>
          <w:bCs/>
          <w:color w:val="auto"/>
          <w:spacing w:val="-2"/>
          <w:szCs w:val="21"/>
          <w:highlight w:val="none"/>
        </w:rPr>
      </w:pPr>
      <w:r>
        <w:rPr>
          <w:rFonts w:hint="eastAsia" w:ascii="宋体" w:hAnsi="宋体" w:cs="宋体"/>
          <w:bCs/>
          <w:color w:val="auto"/>
          <w:spacing w:val="-2"/>
          <w:szCs w:val="21"/>
          <w:highlight w:val="none"/>
        </w:rPr>
        <w:t xml:space="preserve">                                  </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年</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月</w:t>
      </w:r>
      <w:r>
        <w:rPr>
          <w:rFonts w:hint="eastAsia" w:ascii="宋体" w:hAnsi="宋体" w:cs="宋体"/>
          <w:bCs/>
          <w:color w:val="auto"/>
          <w:spacing w:val="-2"/>
          <w:szCs w:val="21"/>
          <w:highlight w:val="none"/>
          <w:u w:val="single"/>
        </w:rPr>
        <w:t xml:space="preserve">     </w:t>
      </w:r>
      <w:r>
        <w:rPr>
          <w:rFonts w:hint="eastAsia" w:ascii="宋体" w:hAnsi="宋体" w:cs="宋体"/>
          <w:bCs/>
          <w:color w:val="auto"/>
          <w:spacing w:val="-2"/>
          <w:szCs w:val="21"/>
          <w:highlight w:val="none"/>
        </w:rPr>
        <w:t>日</w:t>
      </w:r>
    </w:p>
    <w:p w14:paraId="0A3E9139">
      <w:pPr>
        <w:pStyle w:val="10"/>
        <w:rPr>
          <w:rFonts w:hint="eastAsia" w:ascii="宋体" w:hAnsi="宋体" w:cs="宋体"/>
          <w:bCs/>
          <w:color w:val="auto"/>
          <w:spacing w:val="-2"/>
          <w:szCs w:val="21"/>
          <w:highlight w:val="none"/>
        </w:rPr>
      </w:pPr>
    </w:p>
    <w:p w14:paraId="7DC7942B">
      <w:pPr>
        <w:pStyle w:val="11"/>
        <w:rPr>
          <w:rFonts w:hint="eastAsia" w:ascii="宋体" w:hAnsi="宋体" w:cs="宋体"/>
          <w:bCs/>
          <w:color w:val="auto"/>
          <w:spacing w:val="-2"/>
          <w:szCs w:val="21"/>
          <w:highlight w:val="none"/>
        </w:rPr>
      </w:pPr>
    </w:p>
    <w:p w14:paraId="35B9F442">
      <w:pPr>
        <w:pStyle w:val="14"/>
        <w:rPr>
          <w:rFonts w:hint="eastAsia" w:ascii="宋体" w:hAnsi="宋体" w:cs="宋体"/>
          <w:bCs/>
          <w:color w:val="auto"/>
          <w:spacing w:val="-2"/>
          <w:szCs w:val="21"/>
          <w:highlight w:val="none"/>
        </w:rPr>
      </w:pPr>
    </w:p>
    <w:p w14:paraId="74F4A2AB">
      <w:pPr>
        <w:rPr>
          <w:rFonts w:hint="eastAsia" w:ascii="宋体" w:hAnsi="宋体" w:cs="宋体"/>
          <w:bCs/>
          <w:color w:val="auto"/>
          <w:spacing w:val="-2"/>
          <w:szCs w:val="21"/>
          <w:highlight w:val="none"/>
        </w:rPr>
      </w:pPr>
    </w:p>
    <w:p w14:paraId="65D42115">
      <w:pPr>
        <w:rPr>
          <w:rFonts w:hint="eastAsia" w:ascii="宋体" w:hAnsi="宋体" w:cs="宋体"/>
          <w:bCs/>
          <w:color w:val="auto"/>
          <w:spacing w:val="-2"/>
          <w:szCs w:val="21"/>
          <w:highlight w:val="none"/>
        </w:rPr>
      </w:pPr>
    </w:p>
    <w:p w14:paraId="6CA994AE">
      <w:pPr>
        <w:rPr>
          <w:rFonts w:hint="eastAsia" w:ascii="宋体" w:hAnsi="宋体" w:cs="宋体"/>
          <w:bCs/>
          <w:color w:val="auto"/>
          <w:spacing w:val="-2"/>
          <w:szCs w:val="21"/>
          <w:highlight w:val="none"/>
        </w:rPr>
      </w:pPr>
    </w:p>
    <w:p w14:paraId="5F7956A8">
      <w:pPr>
        <w:rPr>
          <w:rFonts w:hint="eastAsia" w:ascii="宋体" w:hAnsi="宋体" w:cs="宋体"/>
          <w:bCs/>
          <w:color w:val="auto"/>
          <w:spacing w:val="-2"/>
          <w:szCs w:val="21"/>
          <w:highlight w:val="none"/>
        </w:rPr>
      </w:pPr>
    </w:p>
    <w:p w14:paraId="188EBAEE">
      <w:pPr>
        <w:rPr>
          <w:rFonts w:hint="eastAsia" w:ascii="宋体" w:hAnsi="宋体" w:cs="宋体"/>
          <w:bCs/>
          <w:color w:val="auto"/>
          <w:spacing w:val="-2"/>
          <w:szCs w:val="21"/>
          <w:highlight w:val="none"/>
        </w:rPr>
      </w:pPr>
    </w:p>
    <w:p w14:paraId="03BA7B96">
      <w:pPr>
        <w:rPr>
          <w:rFonts w:hint="eastAsia" w:ascii="宋体" w:hAnsi="宋体" w:cs="宋体"/>
          <w:bCs/>
          <w:color w:val="auto"/>
          <w:spacing w:val="-2"/>
          <w:szCs w:val="21"/>
          <w:highlight w:val="none"/>
        </w:rPr>
      </w:pPr>
    </w:p>
    <w:p w14:paraId="167BE603">
      <w:pPr>
        <w:rPr>
          <w:rFonts w:hint="eastAsia" w:ascii="宋体" w:hAnsi="宋体" w:cs="宋体"/>
          <w:bCs/>
          <w:color w:val="auto"/>
          <w:spacing w:val="-2"/>
          <w:szCs w:val="21"/>
          <w:highlight w:val="none"/>
        </w:rPr>
      </w:pPr>
    </w:p>
    <w:p w14:paraId="651E9A0C">
      <w:pPr>
        <w:rPr>
          <w:rFonts w:hint="eastAsia" w:ascii="宋体" w:hAnsi="宋体" w:cs="宋体"/>
          <w:bCs/>
          <w:color w:val="auto"/>
          <w:spacing w:val="-2"/>
          <w:szCs w:val="21"/>
          <w:highlight w:val="none"/>
        </w:rPr>
      </w:pPr>
    </w:p>
    <w:p w14:paraId="631B83D1">
      <w:pPr>
        <w:rPr>
          <w:rFonts w:hint="eastAsia" w:ascii="宋体" w:hAnsi="宋体" w:cs="宋体"/>
          <w:bCs/>
          <w:color w:val="auto"/>
          <w:spacing w:val="-2"/>
          <w:szCs w:val="21"/>
          <w:highlight w:val="none"/>
        </w:rPr>
      </w:pPr>
    </w:p>
    <w:p w14:paraId="6FA41AFC">
      <w:pPr>
        <w:rPr>
          <w:rFonts w:hint="eastAsia" w:ascii="宋体" w:hAnsi="宋体" w:cs="宋体"/>
          <w:bCs/>
          <w:color w:val="auto"/>
          <w:spacing w:val="-2"/>
          <w:szCs w:val="21"/>
          <w:highlight w:val="none"/>
        </w:rPr>
      </w:pPr>
    </w:p>
    <w:p w14:paraId="19D33D19">
      <w:pPr>
        <w:jc w:val="center"/>
        <w:rPr>
          <w:rFonts w:hint="eastAsia"/>
          <w:b/>
          <w:bCs/>
          <w:sz w:val="28"/>
          <w:szCs w:val="28"/>
        </w:rPr>
      </w:pPr>
      <w:r>
        <w:rPr>
          <w:rFonts w:hint="eastAsia"/>
          <w:b/>
          <w:bCs/>
          <w:sz w:val="28"/>
          <w:szCs w:val="28"/>
        </w:rPr>
        <w:t>农民工工资</w:t>
      </w:r>
      <w:r>
        <w:rPr>
          <w:rFonts w:hint="eastAsia"/>
          <w:b/>
          <w:bCs/>
          <w:sz w:val="28"/>
          <w:szCs w:val="28"/>
          <w:lang w:val="en-US" w:eastAsia="zh-CN"/>
        </w:rPr>
        <w:t>保证</w:t>
      </w:r>
      <w:r>
        <w:rPr>
          <w:rFonts w:hint="eastAsia"/>
          <w:b/>
          <w:bCs/>
          <w:sz w:val="28"/>
          <w:szCs w:val="28"/>
        </w:rPr>
        <w:t>金承诺函</w:t>
      </w:r>
    </w:p>
    <w:p w14:paraId="36691F64">
      <w:pPr>
        <w:jc w:val="center"/>
        <w:rPr>
          <w:rFonts w:hint="eastAsia"/>
        </w:rPr>
      </w:pPr>
    </w:p>
    <w:p w14:paraId="3D44D87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p>
    <w:p w14:paraId="4F66747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1"/>
          <w:szCs w:val="21"/>
        </w:rPr>
      </w:pPr>
      <w:r>
        <w:rPr>
          <w:rFonts w:hint="eastAsia"/>
          <w:sz w:val="21"/>
          <w:szCs w:val="21"/>
        </w:rPr>
        <w:t>本企业郑重承诺:</w:t>
      </w:r>
    </w:p>
    <w:p w14:paraId="3493C12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sz w:val="21"/>
          <w:szCs w:val="21"/>
        </w:rPr>
      </w:pPr>
      <w:r>
        <w:rPr>
          <w:rFonts w:hint="eastAsia"/>
          <w:sz w:val="21"/>
          <w:szCs w:val="21"/>
        </w:rPr>
        <w:t>在</w:t>
      </w:r>
      <w:r>
        <w:rPr>
          <w:rFonts w:hint="eastAsia"/>
          <w:sz w:val="21"/>
          <w:szCs w:val="21"/>
          <w:u w:val="single"/>
          <w:lang w:val="en-US" w:eastAsia="zh-CN"/>
        </w:rPr>
        <w:t xml:space="preserve">     </w:t>
      </w:r>
      <w:r>
        <w:rPr>
          <w:rFonts w:hint="eastAsia"/>
          <w:sz w:val="21"/>
          <w:szCs w:val="21"/>
          <w:u w:val="single"/>
        </w:rPr>
        <w:t>(项目名称)</w:t>
      </w:r>
      <w:r>
        <w:rPr>
          <w:rFonts w:hint="eastAsia"/>
          <w:sz w:val="21"/>
          <w:szCs w:val="21"/>
          <w:u w:val="single"/>
          <w:lang w:val="en-US" w:eastAsia="zh-CN"/>
        </w:rPr>
        <w:t xml:space="preserve">      </w:t>
      </w:r>
      <w:r>
        <w:rPr>
          <w:rFonts w:hint="eastAsia"/>
          <w:sz w:val="21"/>
          <w:szCs w:val="21"/>
        </w:rPr>
        <w:t>招标活动中，我公司保证做到:</w:t>
      </w:r>
    </w:p>
    <w:p w14:paraId="19E6F81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sz w:val="21"/>
          <w:szCs w:val="21"/>
        </w:rPr>
      </w:pPr>
      <w:r>
        <w:rPr>
          <w:rFonts w:hint="eastAsia"/>
          <w:sz w:val="21"/>
          <w:szCs w:val="21"/>
        </w:rPr>
        <w:t>1.中标后保证按照《保障农民工工资支付条例》《工程建设领域农民工工资保证金规定》等有关规定</w:t>
      </w:r>
      <w:r>
        <w:rPr>
          <w:rFonts w:hint="eastAsia"/>
          <w:sz w:val="21"/>
          <w:szCs w:val="21"/>
          <w:lang w:val="en-US" w:eastAsia="zh-CN"/>
        </w:rPr>
        <w:t>到新蔡县人社局</w:t>
      </w:r>
      <w:r>
        <w:rPr>
          <w:rFonts w:hint="eastAsia"/>
          <w:sz w:val="21"/>
          <w:szCs w:val="21"/>
        </w:rPr>
        <w:t>办理农民工工资保证金</w:t>
      </w:r>
      <w:r>
        <w:rPr>
          <w:rFonts w:hint="eastAsia"/>
          <w:sz w:val="21"/>
          <w:szCs w:val="21"/>
          <w:lang w:val="en-US" w:eastAsia="zh-CN"/>
        </w:rPr>
        <w:t>手续</w:t>
      </w:r>
      <w:r>
        <w:rPr>
          <w:rFonts w:hint="eastAsia"/>
          <w:sz w:val="21"/>
          <w:szCs w:val="21"/>
        </w:rPr>
        <w:t>。</w:t>
      </w:r>
    </w:p>
    <w:p w14:paraId="356B51A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sz w:val="21"/>
          <w:szCs w:val="21"/>
        </w:rPr>
      </w:pPr>
      <w:r>
        <w:rPr>
          <w:rFonts w:hint="eastAsia"/>
          <w:sz w:val="21"/>
          <w:szCs w:val="21"/>
        </w:rPr>
        <w:t>2.如果承包的建设工程项目出现拖欠农民工工资情况，可由劳动主管部门从缴纳的工资保障金中先于划支，缴纳的农民工工资保障金被使用后，在十个工作日内补足。</w:t>
      </w:r>
    </w:p>
    <w:p w14:paraId="419B2C9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sz w:val="21"/>
          <w:szCs w:val="21"/>
        </w:rPr>
      </w:pPr>
    </w:p>
    <w:p w14:paraId="27C3A8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sz w:val="21"/>
          <w:szCs w:val="21"/>
        </w:rPr>
      </w:pPr>
    </w:p>
    <w:p w14:paraId="6F25ED80">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1"/>
          <w:szCs w:val="21"/>
        </w:rPr>
      </w:pPr>
      <w:r>
        <w:rPr>
          <w:rFonts w:hint="eastAsia"/>
          <w:sz w:val="21"/>
          <w:szCs w:val="21"/>
        </w:rPr>
        <w:t>投标人:(企业电子签章)</w:t>
      </w:r>
    </w:p>
    <w:p w14:paraId="57029C3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1"/>
          <w:szCs w:val="21"/>
        </w:rPr>
      </w:pPr>
      <w:r>
        <w:rPr>
          <w:rFonts w:hint="eastAsia"/>
          <w:sz w:val="21"/>
          <w:szCs w:val="21"/>
        </w:rPr>
        <w:t>法定代表人或其委托代理人:</w:t>
      </w:r>
      <w:r>
        <w:rPr>
          <w:rFonts w:hint="eastAsia"/>
          <w:sz w:val="21"/>
          <w:szCs w:val="21"/>
          <w:u w:val="single"/>
          <w:lang w:val="en-US" w:eastAsia="zh-CN"/>
        </w:rPr>
        <w:t xml:space="preserve">        </w:t>
      </w:r>
      <w:r>
        <w:rPr>
          <w:rFonts w:hint="eastAsia"/>
          <w:sz w:val="21"/>
          <w:szCs w:val="21"/>
        </w:rPr>
        <w:t>(个人电子签章)</w:t>
      </w:r>
    </w:p>
    <w:p w14:paraId="5A12E212">
      <w:pPr>
        <w:keepNext w:val="0"/>
        <w:keepLines w:val="0"/>
        <w:pageBreakBefore w:val="0"/>
        <w:widowControl w:val="0"/>
        <w:kinsoku/>
        <w:wordWrap/>
        <w:overflowPunct/>
        <w:topLinePunct w:val="0"/>
        <w:autoSpaceDE/>
        <w:autoSpaceDN/>
        <w:bidi w:val="0"/>
        <w:adjustRightInd/>
        <w:snapToGrid/>
        <w:spacing w:line="360" w:lineRule="auto"/>
        <w:jc w:val="right"/>
        <w:textAlignment w:val="auto"/>
        <w:sectPr>
          <w:headerReference r:id="rId13" w:type="default"/>
          <w:footerReference r:id="rId14" w:type="default"/>
          <w:pgSz w:w="11907" w:h="16841"/>
          <w:pgMar w:top="1307" w:right="1745" w:bottom="1396" w:left="1560" w:header="1022" w:footer="1235" w:gutter="0"/>
          <w:pgNumType w:fmt="decimal"/>
          <w:cols w:space="720" w:num="1"/>
        </w:sectPr>
      </w:pPr>
      <w:r>
        <w:rPr>
          <w:rFonts w:hint="eastAsia"/>
          <w:sz w:val="21"/>
          <w:szCs w:val="21"/>
          <w:u w:val="single"/>
          <w:lang w:val="en-US" w:eastAsia="zh-CN"/>
        </w:rPr>
        <w:t xml:space="preserve">        </w:t>
      </w:r>
      <w:r>
        <w:rPr>
          <w:rFonts w:hint="eastAsia"/>
          <w:sz w:val="21"/>
          <w:szCs w:val="21"/>
        </w:rPr>
        <w:t>年</w:t>
      </w:r>
      <w:r>
        <w:rPr>
          <w:rFonts w:hint="eastAsia"/>
          <w:sz w:val="21"/>
          <w:szCs w:val="21"/>
          <w:u w:val="single"/>
          <w:lang w:val="en-US" w:eastAsia="zh-CN"/>
        </w:rPr>
        <w:t xml:space="preserve">      </w:t>
      </w:r>
      <w:r>
        <w:rPr>
          <w:rFonts w:hint="eastAsia"/>
          <w:sz w:val="21"/>
          <w:szCs w:val="21"/>
        </w:rPr>
        <w:t>月</w:t>
      </w:r>
      <w:r>
        <w:rPr>
          <w:rFonts w:hint="eastAsia"/>
          <w:sz w:val="21"/>
          <w:szCs w:val="21"/>
          <w:u w:val="single"/>
          <w:lang w:val="en-US" w:eastAsia="zh-CN"/>
        </w:rPr>
        <w:t xml:space="preserve">      </w:t>
      </w:r>
      <w:r>
        <w:rPr>
          <w:rFonts w:hint="eastAsia"/>
          <w:sz w:val="21"/>
          <w:szCs w:val="21"/>
          <w:lang w:val="en-US" w:eastAsia="zh-CN"/>
        </w:rPr>
        <w:t>日</w:t>
      </w:r>
    </w:p>
    <w:p w14:paraId="261DC4DC">
      <w:pPr>
        <w:keepNext w:val="0"/>
        <w:keepLines w:val="0"/>
        <w:pageBreakBefore w:val="0"/>
        <w:widowControl w:val="0"/>
        <w:tabs>
          <w:tab w:val="left" w:pos="3436"/>
        </w:tabs>
        <w:kinsoku/>
        <w:wordWrap w:val="0"/>
        <w:overflowPunct/>
        <w:topLinePunct w:val="0"/>
        <w:autoSpaceDE/>
        <w:autoSpaceDN/>
        <w:bidi w:val="0"/>
        <w:snapToGrid/>
        <w:spacing w:before="4" w:line="240" w:lineRule="auto"/>
        <w:ind w:left="0" w:leftChars="0" w:right="0" w:firstLine="0" w:firstLineChars="0"/>
        <w:jc w:val="both"/>
        <w:outlineLvl w:val="9"/>
        <w:rPr>
          <w:rFonts w:hint="eastAsia" w:ascii="黑体" w:hAnsi="黑体" w:eastAsia="黑体" w:cs="Times New Roman"/>
          <w:color w:val="auto"/>
          <w:kern w:val="2"/>
          <w:sz w:val="30"/>
          <w:szCs w:val="30"/>
          <w:highlight w:val="none"/>
          <w:u w:val="none"/>
          <w:lang w:val="en-US" w:eastAsia="zh-CN" w:bidi="ar-SA"/>
        </w:rPr>
      </w:pPr>
      <w:bookmarkStart w:id="710" w:name="_Toc6695"/>
    </w:p>
    <w:p w14:paraId="1070B5A9">
      <w:pPr>
        <w:pStyle w:val="5"/>
        <w:keepNext w:val="0"/>
        <w:keepLines w:val="0"/>
        <w:pageBreakBefore w:val="0"/>
        <w:widowControl w:val="0"/>
        <w:tabs>
          <w:tab w:val="left" w:pos="3436"/>
        </w:tabs>
        <w:kinsoku/>
        <w:wordWrap w:val="0"/>
        <w:overflowPunct/>
        <w:topLinePunct w:val="0"/>
        <w:autoSpaceDE/>
        <w:autoSpaceDN/>
        <w:bidi w:val="0"/>
        <w:snapToGrid/>
        <w:spacing w:line="240" w:lineRule="auto"/>
        <w:ind w:left="0" w:leftChars="0" w:right="0" w:rightChars="0" w:firstLine="0" w:firstLineChars="0"/>
        <w:jc w:val="center"/>
        <w:outlineLvl w:val="9"/>
        <w:rPr>
          <w:color w:val="auto"/>
          <w:sz w:val="30"/>
          <w:szCs w:val="30"/>
          <w:highlight w:val="none"/>
          <w:u w:val="none"/>
        </w:rPr>
      </w:pPr>
      <w:r>
        <w:rPr>
          <w:rFonts w:hint="eastAsia"/>
          <w:color w:val="auto"/>
          <w:sz w:val="30"/>
          <w:szCs w:val="30"/>
          <w:highlight w:val="none"/>
          <w:u w:val="none"/>
          <w:lang w:val="en-US" w:eastAsia="zh-CN"/>
        </w:rPr>
        <w:t>投标文件格式</w:t>
      </w:r>
      <w:bookmarkEnd w:id="710"/>
    </w:p>
    <w:p w14:paraId="19BE5336">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0"/>
          <w:szCs w:val="30"/>
          <w:highlight w:val="none"/>
        </w:rPr>
      </w:pPr>
    </w:p>
    <w:p w14:paraId="1A509E9E">
      <w:pPr>
        <w:keepNext w:val="0"/>
        <w:keepLines w:val="0"/>
        <w:pageBreakBefore w:val="0"/>
        <w:widowControl w:val="0"/>
        <w:kinsoku/>
        <w:wordWrap w:val="0"/>
        <w:overflowPunct/>
        <w:topLinePunct w:val="0"/>
        <w:autoSpaceDE/>
        <w:autoSpaceDN/>
        <w:bidi w:val="0"/>
        <w:snapToGrid/>
        <w:spacing w:before="6" w:line="240" w:lineRule="auto"/>
        <w:rPr>
          <w:rFonts w:ascii="黑体" w:hAnsi="黑体" w:eastAsia="黑体" w:cs="黑体"/>
          <w:color w:val="auto"/>
          <w:sz w:val="30"/>
          <w:szCs w:val="30"/>
          <w:highlight w:val="none"/>
        </w:rPr>
      </w:pPr>
    </w:p>
    <w:p w14:paraId="36742847">
      <w:pPr>
        <w:pStyle w:val="10"/>
        <w:keepNext w:val="0"/>
        <w:keepLines w:val="0"/>
        <w:pageBreakBefore w:val="0"/>
        <w:widowControl w:val="0"/>
        <w:tabs>
          <w:tab w:val="left" w:pos="2337"/>
          <w:tab w:val="left" w:pos="5042"/>
        </w:tabs>
        <w:kinsoku/>
        <w:wordWrap w:val="0"/>
        <w:overflowPunct/>
        <w:topLinePunct w:val="0"/>
        <w:autoSpaceDE/>
        <w:autoSpaceDN/>
        <w:bidi w:val="0"/>
        <w:snapToGrid/>
        <w:spacing w:before="26" w:line="240" w:lineRule="auto"/>
        <w:ind w:left="124" w:right="0"/>
        <w:jc w:val="center"/>
        <w:rPr>
          <w:rFonts w:ascii="黑体" w:hAnsi="黑体" w:eastAsia="黑体" w:cs="黑体"/>
          <w:color w:val="auto"/>
          <w:highlight w:val="none"/>
        </w:rPr>
      </w:pPr>
      <w:r>
        <w:rPr>
          <w:rFonts w:ascii="Times New Roman" w:hAnsi="Times New Roman" w:eastAsia="Times New Roman" w:cs="Times New Roman"/>
          <w:color w:val="auto"/>
          <w:sz w:val="30"/>
          <w:szCs w:val="30"/>
          <w:highlight w:val="none"/>
          <w:u w:val="single" w:color="000000"/>
        </w:rPr>
        <w:t xml:space="preserve"> </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（项目名称）</w:t>
      </w:r>
      <w:r>
        <w:rPr>
          <w:rFonts w:ascii="Times New Roman" w:hAnsi="Times New Roman" w:eastAsia="Times New Roman" w:cs="Times New Roman"/>
          <w:color w:val="auto"/>
          <w:sz w:val="30"/>
          <w:szCs w:val="30"/>
          <w:highlight w:val="none"/>
          <w:u w:val="single" w:color="000000"/>
        </w:rPr>
        <w:tab/>
      </w:r>
      <w:r>
        <w:rPr>
          <w:rFonts w:ascii="黑体" w:hAnsi="黑体" w:eastAsia="黑体" w:cs="黑体"/>
          <w:color w:val="auto"/>
          <w:sz w:val="30"/>
          <w:szCs w:val="30"/>
          <w:highlight w:val="none"/>
        </w:rPr>
        <w:t>标段</w:t>
      </w:r>
    </w:p>
    <w:p w14:paraId="27B12E51">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65714698">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379D1FA7">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23A60FB0">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4"/>
          <w:szCs w:val="24"/>
          <w:highlight w:val="none"/>
        </w:rPr>
      </w:pPr>
    </w:p>
    <w:p w14:paraId="535EC391">
      <w:pPr>
        <w:keepNext w:val="0"/>
        <w:keepLines w:val="0"/>
        <w:pageBreakBefore w:val="0"/>
        <w:widowControl w:val="0"/>
        <w:kinsoku/>
        <w:wordWrap w:val="0"/>
        <w:overflowPunct/>
        <w:topLinePunct w:val="0"/>
        <w:autoSpaceDE/>
        <w:autoSpaceDN/>
        <w:bidi w:val="0"/>
        <w:snapToGrid/>
        <w:spacing w:before="8" w:line="240" w:lineRule="auto"/>
        <w:rPr>
          <w:rFonts w:ascii="黑体" w:hAnsi="黑体" w:eastAsia="黑体" w:cs="黑体"/>
          <w:color w:val="auto"/>
          <w:sz w:val="33"/>
          <w:szCs w:val="33"/>
          <w:highlight w:val="none"/>
        </w:rPr>
      </w:pPr>
    </w:p>
    <w:p w14:paraId="781F70A5">
      <w:pPr>
        <w:keepNext w:val="0"/>
        <w:keepLines w:val="0"/>
        <w:pageBreakBefore w:val="0"/>
        <w:widowControl w:val="0"/>
        <w:tabs>
          <w:tab w:val="left" w:pos="1677"/>
          <w:tab w:val="left" w:pos="3117"/>
          <w:tab w:val="left" w:pos="4557"/>
        </w:tabs>
        <w:kinsoku/>
        <w:wordWrap w:val="0"/>
        <w:overflowPunct/>
        <w:topLinePunct w:val="0"/>
        <w:autoSpaceDE/>
        <w:autoSpaceDN/>
        <w:bidi w:val="0"/>
        <w:snapToGrid/>
        <w:spacing w:before="0"/>
        <w:ind w:left="236" w:right="0" w:firstLine="0"/>
        <w:jc w:val="center"/>
        <w:rPr>
          <w:rFonts w:ascii="黑体" w:hAnsi="黑体" w:eastAsia="黑体" w:cs="黑体"/>
          <w:color w:val="auto"/>
          <w:sz w:val="72"/>
          <w:szCs w:val="72"/>
          <w:highlight w:val="none"/>
        </w:rPr>
      </w:pPr>
      <w:bookmarkStart w:id="711" w:name="_bookmark322"/>
      <w:bookmarkEnd w:id="711"/>
      <w:r>
        <w:rPr>
          <w:rFonts w:ascii="黑体" w:hAnsi="黑体" w:eastAsia="黑体" w:cs="黑体"/>
          <w:color w:val="auto"/>
          <w:sz w:val="72"/>
          <w:szCs w:val="72"/>
          <w:highlight w:val="none"/>
        </w:rPr>
        <w:t>投</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文</w:t>
      </w:r>
      <w:r>
        <w:rPr>
          <w:rFonts w:ascii="黑体" w:hAnsi="黑体" w:eastAsia="黑体" w:cs="黑体"/>
          <w:color w:val="auto"/>
          <w:sz w:val="72"/>
          <w:szCs w:val="72"/>
          <w:highlight w:val="none"/>
        </w:rPr>
        <w:tab/>
      </w:r>
      <w:r>
        <w:rPr>
          <w:rFonts w:ascii="黑体" w:hAnsi="黑体" w:eastAsia="黑体" w:cs="黑体"/>
          <w:color w:val="auto"/>
          <w:sz w:val="72"/>
          <w:szCs w:val="72"/>
          <w:highlight w:val="none"/>
        </w:rPr>
        <w:t>件</w:t>
      </w:r>
    </w:p>
    <w:p w14:paraId="69A44854">
      <w:pPr>
        <w:pStyle w:val="4"/>
        <w:keepNext w:val="0"/>
        <w:keepLines w:val="0"/>
        <w:pageBreakBefore w:val="0"/>
        <w:widowControl w:val="0"/>
        <w:kinsoku/>
        <w:wordWrap w:val="0"/>
        <w:overflowPunct/>
        <w:topLinePunct w:val="0"/>
        <w:autoSpaceDE/>
        <w:autoSpaceDN/>
        <w:bidi w:val="0"/>
        <w:snapToGrid/>
        <w:spacing w:before="526" w:line="240" w:lineRule="auto"/>
        <w:ind w:left="237" w:leftChars="0" w:right="0" w:rightChars="0" w:hanging="420" w:firstLineChars="0"/>
        <w:jc w:val="center"/>
        <w:outlineLvl w:val="9"/>
        <w:rPr>
          <w:rFonts w:hint="eastAsia"/>
          <w:color w:val="auto"/>
          <w:highlight w:val="none"/>
          <w:lang w:eastAsia="zh-CN"/>
        </w:rPr>
      </w:pPr>
      <w:r>
        <w:rPr>
          <w:rFonts w:hint="eastAsia"/>
          <w:color w:val="auto"/>
          <w:highlight w:val="none"/>
          <w:lang w:eastAsia="zh-CN"/>
        </w:rPr>
        <w:t>第二信封</w:t>
      </w:r>
    </w:p>
    <w:p w14:paraId="0FBEF608">
      <w:pPr>
        <w:pStyle w:val="4"/>
        <w:keepNext w:val="0"/>
        <w:keepLines w:val="0"/>
        <w:pageBreakBefore w:val="0"/>
        <w:widowControl w:val="0"/>
        <w:kinsoku/>
        <w:wordWrap w:val="0"/>
        <w:overflowPunct/>
        <w:topLinePunct w:val="0"/>
        <w:autoSpaceDE/>
        <w:autoSpaceDN/>
        <w:bidi w:val="0"/>
        <w:snapToGrid/>
        <w:spacing w:before="526" w:line="240" w:lineRule="auto"/>
        <w:ind w:left="237" w:leftChars="0" w:right="0" w:rightChars="0" w:hanging="420" w:firstLineChars="0"/>
        <w:jc w:val="center"/>
        <w:outlineLvl w:val="9"/>
        <w:rPr>
          <w:color w:val="auto"/>
          <w:highlight w:val="none"/>
        </w:rPr>
      </w:pPr>
      <w:r>
        <w:rPr>
          <w:color w:val="auto"/>
          <w:highlight w:val="none"/>
        </w:rPr>
        <w:t>（报价文件）</w:t>
      </w:r>
    </w:p>
    <w:p w14:paraId="6D99817E">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2E86E6C">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A42A7E6">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8B3AFBD">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71751A9A">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63ED708F">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2FB3F29C">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0B733CA5">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32"/>
          <w:szCs w:val="32"/>
          <w:highlight w:val="none"/>
        </w:rPr>
      </w:pPr>
    </w:p>
    <w:p w14:paraId="3D68B620">
      <w:pPr>
        <w:keepNext w:val="0"/>
        <w:keepLines w:val="0"/>
        <w:pageBreakBefore w:val="0"/>
        <w:widowControl w:val="0"/>
        <w:kinsoku/>
        <w:wordWrap w:val="0"/>
        <w:overflowPunct/>
        <w:topLinePunct w:val="0"/>
        <w:autoSpaceDE/>
        <w:autoSpaceDN/>
        <w:bidi w:val="0"/>
        <w:snapToGrid/>
        <w:spacing w:before="9" w:line="240" w:lineRule="auto"/>
        <w:rPr>
          <w:rFonts w:ascii="黑体" w:hAnsi="黑体" w:eastAsia="黑体" w:cs="黑体"/>
          <w:color w:val="auto"/>
          <w:sz w:val="37"/>
          <w:szCs w:val="37"/>
          <w:highlight w:val="none"/>
        </w:rPr>
      </w:pPr>
    </w:p>
    <w:p w14:paraId="49DE1256">
      <w:pPr>
        <w:keepNext w:val="0"/>
        <w:keepLines w:val="0"/>
        <w:pageBreakBefore w:val="0"/>
        <w:widowControl w:val="0"/>
        <w:tabs>
          <w:tab w:val="left" w:pos="6120"/>
        </w:tabs>
        <w:kinsoku/>
        <w:wordWrap w:val="0"/>
        <w:overflowPunct/>
        <w:topLinePunct w:val="0"/>
        <w:autoSpaceDE/>
        <w:autoSpaceDN/>
        <w:bidi w:val="0"/>
        <w:snapToGrid/>
        <w:spacing w:before="0"/>
        <w:ind w:left="239" w:right="0" w:firstLine="0"/>
        <w:jc w:val="center"/>
        <w:rPr>
          <w:rFonts w:ascii="黑体" w:hAnsi="黑体" w:eastAsia="黑体" w:cs="黑体"/>
          <w:color w:val="auto"/>
          <w:sz w:val="28"/>
          <w:szCs w:val="28"/>
          <w:highlight w:val="none"/>
        </w:rPr>
      </w:pPr>
      <w:r>
        <w:rPr>
          <w:rFonts w:ascii="黑体" w:hAnsi="黑体" w:eastAsia="黑体" w:cs="黑体"/>
          <w:color w:val="auto"/>
          <w:sz w:val="28"/>
          <w:szCs w:val="28"/>
          <w:highlight w:val="none"/>
        </w:rPr>
        <w:t>投标人：</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（盖单位章）</w:t>
      </w:r>
    </w:p>
    <w:p w14:paraId="3267BA20">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8"/>
          <w:szCs w:val="28"/>
          <w:highlight w:val="none"/>
        </w:rPr>
      </w:pPr>
    </w:p>
    <w:p w14:paraId="3D60AACD">
      <w:pPr>
        <w:keepNext w:val="0"/>
        <w:keepLines w:val="0"/>
        <w:pageBreakBefore w:val="0"/>
        <w:widowControl w:val="0"/>
        <w:kinsoku/>
        <w:wordWrap w:val="0"/>
        <w:overflowPunct/>
        <w:topLinePunct w:val="0"/>
        <w:autoSpaceDE/>
        <w:autoSpaceDN/>
        <w:bidi w:val="0"/>
        <w:snapToGrid/>
        <w:spacing w:before="3" w:line="240" w:lineRule="auto"/>
        <w:rPr>
          <w:rFonts w:ascii="黑体" w:hAnsi="黑体" w:eastAsia="黑体" w:cs="黑体"/>
          <w:color w:val="auto"/>
          <w:sz w:val="28"/>
          <w:szCs w:val="28"/>
          <w:highlight w:val="none"/>
        </w:rPr>
      </w:pPr>
    </w:p>
    <w:p w14:paraId="5DA3CAE2">
      <w:pPr>
        <w:keepNext w:val="0"/>
        <w:keepLines w:val="0"/>
        <w:pageBreakBefore w:val="0"/>
        <w:widowControl w:val="0"/>
        <w:tabs>
          <w:tab w:val="left" w:pos="3470"/>
          <w:tab w:val="left" w:pos="4872"/>
          <w:tab w:val="left" w:pos="6410"/>
        </w:tabs>
        <w:kinsoku/>
        <w:wordWrap w:val="0"/>
        <w:overflowPunct/>
        <w:topLinePunct w:val="0"/>
        <w:autoSpaceDE/>
        <w:autoSpaceDN/>
        <w:bidi w:val="0"/>
        <w:snapToGrid/>
        <w:spacing w:before="14"/>
        <w:ind w:left="2352" w:right="0" w:firstLine="0"/>
        <w:jc w:val="left"/>
        <w:rPr>
          <w:rFonts w:ascii="Times New Roman" w:hAnsi="Times New Roman" w:eastAsia="Times New Roman" w:cs="Times New Roman"/>
          <w:color w:val="auto"/>
          <w:w w:val="100"/>
          <w:sz w:val="28"/>
          <w:szCs w:val="28"/>
          <w:highlight w:val="none"/>
          <w:u w:val="single" w:color="000000"/>
        </w:rPr>
      </w:pPr>
    </w:p>
    <w:p w14:paraId="62A6F50A">
      <w:pPr>
        <w:keepNext w:val="0"/>
        <w:keepLines w:val="0"/>
        <w:pageBreakBefore w:val="0"/>
        <w:widowControl w:val="0"/>
        <w:tabs>
          <w:tab w:val="left" w:pos="3470"/>
          <w:tab w:val="left" w:pos="4872"/>
          <w:tab w:val="left" w:pos="6410"/>
        </w:tabs>
        <w:kinsoku/>
        <w:wordWrap w:val="0"/>
        <w:overflowPunct/>
        <w:topLinePunct w:val="0"/>
        <w:autoSpaceDE/>
        <w:autoSpaceDN/>
        <w:bidi w:val="0"/>
        <w:snapToGrid/>
        <w:spacing w:before="14"/>
        <w:ind w:left="2352" w:right="0" w:firstLine="0"/>
        <w:jc w:val="left"/>
        <w:rPr>
          <w:rFonts w:ascii="黑体" w:hAnsi="黑体" w:eastAsia="黑体" w:cs="黑体"/>
          <w:color w:val="auto"/>
          <w:sz w:val="28"/>
          <w:szCs w:val="28"/>
          <w:highlight w:val="none"/>
        </w:rPr>
        <w:sectPr>
          <w:headerReference r:id="rId15" w:type="default"/>
          <w:pgSz w:w="11910" w:h="16850"/>
          <w:pgMar w:top="1587" w:right="1417" w:bottom="1417" w:left="1417" w:header="883" w:footer="845" w:gutter="0"/>
          <w:pgNumType w:fmt="decimal"/>
          <w:cols w:space="720" w:num="1"/>
        </w:sectPr>
      </w:pPr>
      <w:r>
        <w:rPr>
          <w:rFonts w:ascii="Times New Roman" w:hAnsi="Times New Roman" w:eastAsia="Times New Roman" w:cs="Times New Roman"/>
          <w:color w:val="auto"/>
          <w:w w:val="100"/>
          <w:sz w:val="28"/>
          <w:szCs w:val="28"/>
          <w:highlight w:val="none"/>
          <w:u w:val="single" w:color="000000"/>
        </w:rPr>
        <w:t xml:space="preserve"> </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年</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月</w:t>
      </w:r>
      <w:r>
        <w:rPr>
          <w:rFonts w:ascii="Times New Roman" w:hAnsi="Times New Roman" w:eastAsia="Times New Roman" w:cs="Times New Roman"/>
          <w:color w:val="auto"/>
          <w:sz w:val="28"/>
          <w:szCs w:val="28"/>
          <w:highlight w:val="none"/>
          <w:u w:val="single" w:color="000000"/>
        </w:rPr>
        <w:tab/>
      </w:r>
      <w:r>
        <w:rPr>
          <w:rFonts w:ascii="黑体" w:hAnsi="黑体" w:eastAsia="黑体" w:cs="黑体"/>
          <w:color w:val="auto"/>
          <w:sz w:val="28"/>
          <w:szCs w:val="28"/>
          <w:highlight w:val="none"/>
        </w:rPr>
        <w:t>日</w:t>
      </w:r>
    </w:p>
    <w:p w14:paraId="19EE65F1">
      <w:pPr>
        <w:keepNext w:val="0"/>
        <w:keepLines w:val="0"/>
        <w:pageBreakBefore w:val="0"/>
        <w:widowControl w:val="0"/>
        <w:tabs>
          <w:tab w:val="left" w:pos="1235"/>
        </w:tabs>
        <w:kinsoku/>
        <w:wordWrap w:val="0"/>
        <w:overflowPunct/>
        <w:topLinePunct w:val="0"/>
        <w:autoSpaceDE/>
        <w:autoSpaceDN/>
        <w:bidi w:val="0"/>
        <w:snapToGrid/>
        <w:spacing w:before="7"/>
        <w:ind w:right="0"/>
        <w:jc w:val="both"/>
        <w:rPr>
          <w:rFonts w:ascii="黑体" w:hAnsi="黑体" w:eastAsia="黑体" w:cs="黑体"/>
          <w:b/>
          <w:bCs/>
          <w:color w:val="auto"/>
          <w:w w:val="95"/>
          <w:sz w:val="30"/>
          <w:szCs w:val="30"/>
          <w:highlight w:val="none"/>
        </w:rPr>
      </w:pPr>
    </w:p>
    <w:p w14:paraId="0F3393F9">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sz w:val="30"/>
          <w:szCs w:val="30"/>
          <w:highlight w:val="none"/>
        </w:rPr>
      </w:pPr>
      <w:r>
        <w:rPr>
          <w:rFonts w:ascii="黑体" w:hAnsi="黑体" w:eastAsia="黑体" w:cs="黑体"/>
          <w:b/>
          <w:bCs/>
          <w:color w:val="auto"/>
          <w:w w:val="95"/>
          <w:sz w:val="30"/>
          <w:szCs w:val="30"/>
          <w:highlight w:val="none"/>
        </w:rPr>
        <w:t>目</w:t>
      </w:r>
      <w:r>
        <w:rPr>
          <w:rFonts w:ascii="黑体" w:hAnsi="黑体" w:eastAsia="黑体" w:cs="黑体"/>
          <w:b/>
          <w:bCs/>
          <w:color w:val="auto"/>
          <w:w w:val="95"/>
          <w:sz w:val="30"/>
          <w:szCs w:val="30"/>
          <w:highlight w:val="none"/>
        </w:rPr>
        <w:tab/>
      </w:r>
      <w:r>
        <w:rPr>
          <w:rFonts w:ascii="黑体" w:hAnsi="黑体" w:eastAsia="黑体" w:cs="黑体"/>
          <w:b/>
          <w:bCs/>
          <w:color w:val="auto"/>
          <w:sz w:val="30"/>
          <w:szCs w:val="30"/>
          <w:highlight w:val="none"/>
        </w:rPr>
        <w:t>录</w:t>
      </w:r>
    </w:p>
    <w:p w14:paraId="00B19B79">
      <w:pPr>
        <w:keepNext w:val="0"/>
        <w:keepLines w:val="0"/>
        <w:pageBreakBefore w:val="0"/>
        <w:widowControl w:val="0"/>
        <w:tabs>
          <w:tab w:val="left" w:pos="1235"/>
        </w:tabs>
        <w:kinsoku/>
        <w:wordWrap w:val="0"/>
        <w:overflowPunct/>
        <w:topLinePunct w:val="0"/>
        <w:autoSpaceDE/>
        <w:autoSpaceDN/>
        <w:bidi w:val="0"/>
        <w:snapToGrid/>
        <w:spacing w:before="7"/>
        <w:ind w:left="183" w:right="0" w:firstLine="0"/>
        <w:jc w:val="center"/>
        <w:rPr>
          <w:rFonts w:ascii="黑体" w:hAnsi="黑体" w:eastAsia="黑体" w:cs="黑体"/>
          <w:b/>
          <w:bCs/>
          <w:color w:val="auto"/>
          <w:sz w:val="30"/>
          <w:szCs w:val="30"/>
          <w:highlight w:val="none"/>
        </w:rPr>
      </w:pPr>
    </w:p>
    <w:p w14:paraId="2728040A">
      <w:pPr>
        <w:pStyle w:val="10"/>
        <w:keepNext w:val="0"/>
        <w:keepLines w:val="0"/>
        <w:pageBreakBefore w:val="0"/>
        <w:widowControl w:val="0"/>
        <w:numPr>
          <w:ilvl w:val="0"/>
          <w:numId w:val="0"/>
        </w:numPr>
        <w:kinsoku/>
        <w:wordWrap w:val="0"/>
        <w:overflowPunct/>
        <w:topLinePunct w:val="0"/>
        <w:autoSpaceDE/>
        <w:autoSpaceDN/>
        <w:bidi w:val="0"/>
        <w:snapToGrid/>
        <w:spacing w:line="336" w:lineRule="auto"/>
        <w:ind w:right="3822" w:rightChars="0"/>
        <w:jc w:val="left"/>
        <w:rPr>
          <w:color w:val="auto"/>
          <w:highlight w:val="none"/>
        </w:rPr>
      </w:pPr>
    </w:p>
    <w:p w14:paraId="5BB78B67">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rFonts w:hint="eastAsia"/>
          <w:color w:val="auto"/>
          <w:highlight w:val="none"/>
          <w:lang w:eastAsia="zh-CN"/>
        </w:rPr>
        <w:t>一、</w:t>
      </w:r>
      <w:r>
        <w:rPr>
          <w:color w:val="auto"/>
          <w:highlight w:val="none"/>
        </w:rPr>
        <w:t>投标函</w:t>
      </w:r>
      <w:r>
        <w:rPr>
          <w:rFonts w:ascii="宋体" w:hAnsi="宋体" w:eastAsia="宋体" w:cs="宋体"/>
          <w:color w:val="auto"/>
          <w:highlight w:val="none"/>
        </w:rPr>
        <w:t xml:space="preserve"> </w:t>
      </w:r>
    </w:p>
    <w:p w14:paraId="5A7F1CE3">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color w:val="auto"/>
          <w:highlight w:val="none"/>
        </w:rPr>
        <w:t>二、已标价工程量清单</w:t>
      </w:r>
      <w:r>
        <w:rPr>
          <w:rFonts w:ascii="宋体" w:hAnsi="宋体" w:eastAsia="宋体" w:cs="宋体"/>
          <w:color w:val="auto"/>
          <w:highlight w:val="none"/>
        </w:rPr>
        <w:t xml:space="preserve"> </w:t>
      </w:r>
    </w:p>
    <w:p w14:paraId="3B9AE79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r>
        <w:rPr>
          <w:color w:val="auto"/>
          <w:highlight w:val="none"/>
        </w:rPr>
        <w:t>三、合同用款估算表</w:t>
      </w:r>
      <w:r>
        <w:rPr>
          <w:rFonts w:ascii="宋体" w:hAnsi="宋体" w:eastAsia="宋体" w:cs="宋体"/>
          <w:color w:val="auto"/>
          <w:highlight w:val="none"/>
        </w:rPr>
        <w:t xml:space="preserve"> </w:t>
      </w:r>
    </w:p>
    <w:p w14:paraId="1FAE3BAE">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26F45ED7">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0F5607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5DF0F6D">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620E40C8">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A940545">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A415D3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71985D1">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0F5E8F8">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F81DBA2">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40D30BC">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C2C6322">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504C95B">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B93761A">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078A6669">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1FAE56B4">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3622015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7DFA7E42">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84ED3EE">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0DB166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53C0F640">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46BE242F">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jc w:val="left"/>
        <w:textAlignment w:val="auto"/>
        <w:rPr>
          <w:rFonts w:ascii="宋体" w:hAnsi="宋体" w:eastAsia="宋体" w:cs="宋体"/>
          <w:color w:val="auto"/>
          <w:highlight w:val="none"/>
        </w:rPr>
        <w:sectPr>
          <w:headerReference r:id="rId16" w:type="default"/>
          <w:pgSz w:w="11910" w:h="16850"/>
          <w:pgMar w:top="1587" w:right="1417" w:bottom="1417" w:left="1417" w:header="883" w:footer="869" w:gutter="0"/>
          <w:pgNumType w:fmt="decimal"/>
          <w:cols w:space="720" w:num="1"/>
        </w:sectPr>
      </w:pPr>
    </w:p>
    <w:p w14:paraId="0BF7CA59">
      <w:pPr>
        <w:pStyle w:val="6"/>
        <w:keepNext w:val="0"/>
        <w:keepLines w:val="0"/>
        <w:pageBreakBefore w:val="0"/>
        <w:widowControl w:val="0"/>
        <w:kinsoku/>
        <w:wordWrap w:val="0"/>
        <w:overflowPunct/>
        <w:topLinePunct w:val="0"/>
        <w:autoSpaceDE/>
        <w:autoSpaceDN/>
        <w:bidi w:val="0"/>
        <w:snapToGrid/>
        <w:spacing w:line="240" w:lineRule="auto"/>
        <w:ind w:right="78" w:rightChars="0"/>
        <w:jc w:val="center"/>
        <w:outlineLvl w:val="9"/>
        <w:rPr>
          <w:rFonts w:ascii="黑体" w:hAnsi="黑体" w:eastAsia="黑体" w:cs="黑体"/>
          <w:color w:val="auto"/>
          <w:sz w:val="20"/>
          <w:szCs w:val="20"/>
          <w:highlight w:val="none"/>
        </w:rPr>
      </w:pPr>
      <w:r>
        <w:rPr>
          <w:rFonts w:hint="eastAsia" w:ascii="宋体" w:hAnsi="宋体" w:eastAsia="宋体" w:cs="宋体"/>
          <w:b/>
          <w:bCs/>
          <w:color w:val="auto"/>
          <w:highlight w:val="none"/>
        </w:rPr>
        <w:t>一、投标函</w:t>
      </w:r>
    </w:p>
    <w:p w14:paraId="34BC1031">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黑体" w:hAnsi="黑体" w:eastAsia="黑体" w:cs="黑体"/>
          <w:color w:val="auto"/>
          <w:sz w:val="21"/>
          <w:szCs w:val="21"/>
          <w:highlight w:val="none"/>
        </w:rPr>
      </w:pPr>
    </w:p>
    <w:p w14:paraId="0E9B2CB5">
      <w:pPr>
        <w:pStyle w:val="10"/>
        <w:keepNext w:val="0"/>
        <w:keepLines w:val="0"/>
        <w:pageBreakBefore w:val="0"/>
        <w:widowControl w:val="0"/>
        <w:tabs>
          <w:tab w:val="left" w:pos="3144"/>
        </w:tabs>
        <w:kinsoku/>
        <w:wordWrap w:val="0"/>
        <w:overflowPunct/>
        <w:topLinePunct w:val="0"/>
        <w:autoSpaceDE/>
        <w:autoSpaceDN/>
        <w:bidi w:val="0"/>
        <w:adjustRightInd/>
        <w:snapToGrid/>
        <w:spacing w:line="360" w:lineRule="auto"/>
        <w:ind w:left="0"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pacing w:val="-15"/>
          <w:sz w:val="21"/>
          <w:szCs w:val="21"/>
          <w:highlight w:val="none"/>
        </w:rPr>
        <w:t>（招标人名称）：</w:t>
      </w:r>
    </w:p>
    <w:p w14:paraId="5670C962">
      <w:pPr>
        <w:pStyle w:val="10"/>
        <w:keepNext w:val="0"/>
        <w:keepLines w:val="0"/>
        <w:pageBreakBefore w:val="0"/>
        <w:widowControl w:val="0"/>
        <w:tabs>
          <w:tab w:val="left" w:pos="3596"/>
          <w:tab w:val="left" w:pos="4676"/>
          <w:tab w:val="left" w:pos="4844"/>
          <w:tab w:val="left" w:pos="7374"/>
        </w:tabs>
        <w:kinsoku/>
        <w:wordWrap w:val="0"/>
        <w:overflowPunct/>
        <w:topLinePunct w:val="0"/>
        <w:autoSpaceDE/>
        <w:autoSpaceDN/>
        <w:bidi w:val="0"/>
        <w:adjustRightInd/>
        <w:snapToGrid/>
        <w:spacing w:line="360" w:lineRule="auto"/>
        <w:ind w:right="225" w:firstLine="47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1．我方已仔细研究</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 xml:space="preserve">标段施工招标 </w:t>
      </w:r>
      <w:r>
        <w:rPr>
          <w:rFonts w:hint="eastAsia" w:ascii="宋体" w:hAnsi="宋体" w:eastAsia="宋体" w:cs="宋体"/>
          <w:color w:val="auto"/>
          <w:spacing w:val="-3"/>
          <w:sz w:val="21"/>
          <w:szCs w:val="21"/>
          <w:highlight w:val="none"/>
        </w:rPr>
        <w:t>文件的全部内容（含补遗书第</w:t>
      </w:r>
      <w:r>
        <w:rPr>
          <w:rFonts w:hint="eastAsia" w:ascii="宋体" w:hAnsi="宋体" w:eastAsia="宋体" w:cs="宋体"/>
          <w:color w:val="auto"/>
          <w:spacing w:val="-3"/>
          <w:sz w:val="21"/>
          <w:szCs w:val="21"/>
          <w:highlight w:val="none"/>
          <w:u w:val="single" w:color="000000"/>
        </w:rPr>
        <w:tab/>
      </w:r>
      <w:r>
        <w:rPr>
          <w:rFonts w:hint="eastAsia" w:ascii="宋体" w:hAnsi="宋体" w:eastAsia="宋体" w:cs="宋体"/>
          <w:color w:val="auto"/>
          <w:sz w:val="21"/>
          <w:szCs w:val="21"/>
          <w:highlight w:val="none"/>
        </w:rPr>
        <w:t>号至第</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pacing w:val="-10"/>
          <w:sz w:val="21"/>
          <w:szCs w:val="21"/>
          <w:highlight w:val="none"/>
        </w:rPr>
        <w:t>号），在考察工程现场后，愿意以人民币</w:t>
      </w:r>
    </w:p>
    <w:p w14:paraId="37C13F42">
      <w:pPr>
        <w:pStyle w:val="10"/>
        <w:keepNext w:val="0"/>
        <w:keepLines w:val="0"/>
        <w:pageBreakBefore w:val="0"/>
        <w:widowControl w:val="0"/>
        <w:tabs>
          <w:tab w:val="left" w:pos="2436"/>
          <w:tab w:val="left" w:pos="4004"/>
          <w:tab w:val="left" w:pos="5809"/>
        </w:tabs>
        <w:kinsoku/>
        <w:wordWrap w:val="0"/>
        <w:overflowPunct/>
        <w:topLinePunct w:val="0"/>
        <w:autoSpaceDE/>
        <w:autoSpaceDN/>
        <w:bidi w:val="0"/>
        <w:adjustRightInd/>
        <w:snapToGrid/>
        <w:spacing w:line="360" w:lineRule="auto"/>
        <w:ind w:right="226"/>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pacing w:val="-1"/>
          <w:sz w:val="21"/>
          <w:szCs w:val="21"/>
          <w:highlight w:val="none"/>
        </w:rPr>
        <w:t>元（¥</w:t>
      </w:r>
      <w:r>
        <w:rPr>
          <w:rFonts w:hint="eastAsia" w:ascii="宋体" w:hAnsi="宋体" w:eastAsia="宋体" w:cs="宋体"/>
          <w:color w:val="auto"/>
          <w:spacing w:val="-1"/>
          <w:sz w:val="21"/>
          <w:szCs w:val="21"/>
          <w:highlight w:val="none"/>
          <w:u w:val="single" w:color="000000"/>
        </w:rPr>
        <w:tab/>
      </w:r>
      <w:r>
        <w:rPr>
          <w:rFonts w:hint="eastAsia" w:ascii="宋体" w:hAnsi="宋体" w:eastAsia="宋体" w:cs="宋体"/>
          <w:color w:val="auto"/>
          <w:sz w:val="21"/>
          <w:szCs w:val="21"/>
          <w:highlight w:val="none"/>
        </w:rPr>
        <w:t>）的投标总报价（或根据招标文件规定修正核</w:t>
      </w:r>
      <w:r>
        <w:rPr>
          <w:rFonts w:hint="eastAsia" w:ascii="宋体" w:hAnsi="宋体" w:eastAsia="宋体" w:cs="宋体"/>
          <w:color w:val="auto"/>
          <w:spacing w:val="-110"/>
          <w:sz w:val="21"/>
          <w:szCs w:val="21"/>
          <w:highlight w:val="none"/>
        </w:rPr>
        <w:t xml:space="preserve"> </w:t>
      </w:r>
      <w:r>
        <w:rPr>
          <w:rFonts w:hint="eastAsia" w:ascii="宋体" w:hAnsi="宋体" w:eastAsia="宋体" w:cs="宋体"/>
          <w:color w:val="auto"/>
          <w:sz w:val="21"/>
          <w:szCs w:val="21"/>
          <w:highlight w:val="none"/>
        </w:rPr>
        <w:t>实后确定的另一金额，其中，增值税税率为</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pacing w:val="-9"/>
          <w:sz w:val="21"/>
          <w:szCs w:val="21"/>
          <w:highlight w:val="none"/>
        </w:rPr>
        <w:t>），按合同约定实施和完成承</w:t>
      </w:r>
      <w:r>
        <w:rPr>
          <w:rFonts w:hint="eastAsia" w:ascii="宋体" w:hAnsi="宋体" w:eastAsia="宋体" w:cs="宋体"/>
          <w:color w:val="auto"/>
          <w:spacing w:val="-116"/>
          <w:sz w:val="21"/>
          <w:szCs w:val="21"/>
          <w:highlight w:val="none"/>
        </w:rPr>
        <w:t xml:space="preserve"> </w:t>
      </w:r>
      <w:r>
        <w:rPr>
          <w:rFonts w:hint="eastAsia" w:ascii="宋体" w:hAnsi="宋体" w:eastAsia="宋体" w:cs="宋体"/>
          <w:color w:val="auto"/>
          <w:sz w:val="21"/>
          <w:szCs w:val="21"/>
          <w:highlight w:val="none"/>
        </w:rPr>
        <w:t>包工程，修补工程中的任何缺陷。</w:t>
      </w:r>
    </w:p>
    <w:p w14:paraId="4D549CD4">
      <w:pPr>
        <w:pStyle w:val="10"/>
        <w:keepNext w:val="0"/>
        <w:keepLines w:val="0"/>
        <w:pageBreakBefore w:val="0"/>
        <w:widowControl w:val="0"/>
        <w:kinsoku/>
        <w:wordWrap w:val="0"/>
        <w:overflowPunct/>
        <w:topLinePunct w:val="0"/>
        <w:autoSpaceDE/>
        <w:autoSpaceDN/>
        <w:bidi w:val="0"/>
        <w:adjustRightInd/>
        <w:snapToGrid/>
        <w:spacing w:line="360" w:lineRule="auto"/>
        <w:ind w:right="0" w:firstLine="479"/>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2．在合同协议书正式签署生效之前，本投标函连同你方的中标通知书将构成我</w:t>
      </w:r>
      <w:r>
        <w:rPr>
          <w:rFonts w:hint="eastAsia" w:ascii="宋体" w:hAnsi="宋体" w:eastAsia="宋体" w:cs="宋体"/>
          <w:color w:val="auto"/>
          <w:sz w:val="21"/>
          <w:szCs w:val="21"/>
          <w:highlight w:val="none"/>
        </w:rPr>
        <w:t xml:space="preserve"> 们双方之间共同遵守的文件，对双方具有约束力。</w:t>
      </w:r>
    </w:p>
    <w:p w14:paraId="7B3A4CA3">
      <w:pPr>
        <w:pStyle w:val="10"/>
        <w:keepNext w:val="0"/>
        <w:keepLines w:val="0"/>
        <w:pageBreakBefore w:val="0"/>
        <w:widowControl w:val="0"/>
        <w:tabs>
          <w:tab w:val="left" w:pos="5665"/>
        </w:tabs>
        <w:kinsoku/>
        <w:wordWrap w:val="0"/>
        <w:overflowPunct/>
        <w:topLinePunct w:val="0"/>
        <w:autoSpaceDE/>
        <w:autoSpaceDN/>
        <w:bidi w:val="0"/>
        <w:adjustRightInd/>
        <w:snapToGrid/>
        <w:spacing w:line="360" w:lineRule="auto"/>
        <w:ind w:left="624" w:right="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pacing w:val="-14"/>
          <w:sz w:val="21"/>
          <w:szCs w:val="21"/>
          <w:highlight w:val="none"/>
        </w:rPr>
        <w:t>（其他补充说明）。</w:t>
      </w:r>
    </w:p>
    <w:p w14:paraId="679EE54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5410A1C2">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 标 </w:t>
      </w:r>
      <w:r>
        <w:rPr>
          <w:rFonts w:hint="eastAsia" w:ascii="宋体" w:hAnsi="宋体" w:eastAsia="宋体" w:cs="宋体"/>
          <w:color w:val="auto"/>
          <w:spacing w:val="-4"/>
          <w:sz w:val="21"/>
          <w:szCs w:val="21"/>
          <w:highlight w:val="none"/>
        </w:rPr>
        <w:t>人：</w:t>
      </w:r>
      <w:r>
        <w:rPr>
          <w:rFonts w:hint="eastAsia" w:ascii="宋体" w:hAnsi="宋体" w:eastAsia="宋体" w:cs="宋体"/>
          <w:color w:val="auto"/>
          <w:spacing w:val="-4"/>
          <w:sz w:val="21"/>
          <w:szCs w:val="21"/>
          <w:highlight w:val="none"/>
          <w:u w:val="single" w:color="000000"/>
        </w:rPr>
        <w:tab/>
      </w:r>
      <w:r>
        <w:rPr>
          <w:rFonts w:hint="eastAsia" w:ascii="宋体" w:hAnsi="宋体" w:eastAsia="宋体" w:cs="宋体"/>
          <w:color w:val="auto"/>
          <w:sz w:val="21"/>
          <w:szCs w:val="21"/>
          <w:highlight w:val="none"/>
        </w:rPr>
        <w:t>（盖单位章）</w:t>
      </w:r>
    </w:p>
    <w:p w14:paraId="5B3FA03C">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1"/>
          <w:szCs w:val="21"/>
          <w:highlight w:val="none"/>
          <w:u w:val="single" w:color="000000"/>
        </w:rPr>
      </w:pPr>
      <w:r>
        <w:rPr>
          <w:rFonts w:hint="eastAsia" w:ascii="宋体" w:hAnsi="宋体" w:eastAsia="宋体" w:cs="宋体"/>
          <w:color w:val="auto"/>
          <w:spacing w:val="-1"/>
          <w:sz w:val="21"/>
          <w:szCs w:val="21"/>
          <w:highlight w:val="none"/>
        </w:rPr>
        <w:t>法定代表人或其委托代理人：</w:t>
      </w:r>
      <w:r>
        <w:rPr>
          <w:rFonts w:hint="eastAsia" w:ascii="宋体" w:hAnsi="宋体" w:eastAsia="宋体" w:cs="宋体"/>
          <w:color w:val="auto"/>
          <w:spacing w:val="-1"/>
          <w:sz w:val="21"/>
          <w:szCs w:val="21"/>
          <w:highlight w:val="none"/>
          <w:u w:val="single" w:color="000000"/>
        </w:rPr>
        <w:tab/>
      </w:r>
      <w:r>
        <w:rPr>
          <w:rFonts w:hint="eastAsia" w:ascii="宋体" w:hAnsi="宋体" w:eastAsia="宋体" w:cs="宋体"/>
          <w:color w:val="auto"/>
          <w:spacing w:val="-1"/>
          <w:sz w:val="21"/>
          <w:szCs w:val="21"/>
          <w:highlight w:val="none"/>
          <w:u w:val="single" w:color="000000"/>
        </w:rPr>
        <w:tab/>
      </w:r>
      <w:r>
        <w:rPr>
          <w:rFonts w:hint="eastAsia" w:ascii="宋体" w:hAnsi="宋体" w:eastAsia="宋体" w:cs="宋体"/>
          <w:color w:val="auto"/>
          <w:sz w:val="21"/>
          <w:szCs w:val="21"/>
          <w:highlight w:val="none"/>
        </w:rPr>
        <w:t>（签字） 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址：</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ab/>
      </w:r>
    </w:p>
    <w:p w14:paraId="12461858">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1"/>
          <w:szCs w:val="21"/>
          <w:highlight w:val="none"/>
          <w:u w:val="single" w:color="000000"/>
        </w:rPr>
      </w:pPr>
      <w:r>
        <w:rPr>
          <w:rFonts w:hint="eastAsia" w:ascii="宋体" w:hAnsi="宋体" w:eastAsia="宋体" w:cs="宋体"/>
          <w:color w:val="auto"/>
          <w:sz w:val="21"/>
          <w:szCs w:val="21"/>
          <w:highlight w:val="none"/>
        </w:rPr>
        <w:t>网址：</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ab/>
      </w:r>
    </w:p>
    <w:p w14:paraId="651E1A25">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1"/>
          <w:szCs w:val="21"/>
          <w:highlight w:val="none"/>
          <w:u w:val="single" w:color="000000"/>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p>
    <w:p w14:paraId="05B0A783">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1"/>
          <w:szCs w:val="21"/>
          <w:highlight w:val="none"/>
          <w:u w:val="single" w:color="000000"/>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ab/>
      </w:r>
    </w:p>
    <w:p w14:paraId="521A9847">
      <w:pPr>
        <w:pStyle w:val="10"/>
        <w:keepNext w:val="0"/>
        <w:keepLines w:val="0"/>
        <w:pageBreakBefore w:val="0"/>
        <w:widowControl w:val="0"/>
        <w:tabs>
          <w:tab w:val="left" w:pos="4284"/>
          <w:tab w:val="left" w:pos="7270"/>
          <w:tab w:val="left" w:pos="7981"/>
          <w:tab w:val="left" w:pos="8876"/>
        </w:tabs>
        <w:kinsoku/>
        <w:wordWrap w:val="0"/>
        <w:overflowPunct/>
        <w:topLinePunct w:val="0"/>
        <w:autoSpaceDE/>
        <w:autoSpaceDN/>
        <w:bidi w:val="0"/>
        <w:adjustRightInd/>
        <w:snapToGrid/>
        <w:spacing w:line="360" w:lineRule="auto"/>
        <w:ind w:left="3565" w:right="10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ab/>
      </w:r>
    </w:p>
    <w:p w14:paraId="460EC1F9">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p w14:paraId="197667BD">
      <w:pPr>
        <w:pStyle w:val="10"/>
        <w:keepNext w:val="0"/>
        <w:keepLines w:val="0"/>
        <w:pageBreakBefore w:val="0"/>
        <w:widowControl w:val="0"/>
        <w:tabs>
          <w:tab w:val="left" w:pos="5965"/>
          <w:tab w:val="left" w:pos="7045"/>
          <w:tab w:val="left" w:pos="8125"/>
        </w:tabs>
        <w:kinsoku/>
        <w:wordWrap w:val="0"/>
        <w:overflowPunct/>
        <w:topLinePunct w:val="0"/>
        <w:autoSpaceDE/>
        <w:autoSpaceDN/>
        <w:bidi w:val="0"/>
        <w:adjustRightInd/>
        <w:snapToGrid/>
        <w:spacing w:line="360" w:lineRule="auto"/>
        <w:ind w:left="4885" w:right="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rPr>
        <w:t>日</w:t>
      </w:r>
    </w:p>
    <w:p w14:paraId="0AC9BD41">
      <w:pPr>
        <w:keepNext w:val="0"/>
        <w:keepLines w:val="0"/>
        <w:pageBreakBefore w:val="0"/>
        <w:widowControl w:val="0"/>
        <w:kinsoku/>
        <w:wordWrap w:val="0"/>
        <w:overflowPunct/>
        <w:topLinePunct w:val="0"/>
        <w:autoSpaceDE/>
        <w:autoSpaceDN/>
        <w:bidi w:val="0"/>
        <w:snapToGrid/>
        <w:spacing w:before="0" w:line="240" w:lineRule="auto"/>
        <w:rPr>
          <w:rFonts w:hint="eastAsia" w:ascii="宋体" w:hAnsi="宋体" w:eastAsia="宋体" w:cs="宋体"/>
          <w:color w:val="auto"/>
          <w:sz w:val="24"/>
          <w:szCs w:val="24"/>
          <w:highlight w:val="none"/>
        </w:rPr>
      </w:pPr>
    </w:p>
    <w:p w14:paraId="67D85FF6">
      <w:pPr>
        <w:pStyle w:val="10"/>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right="3822" w:rightChars="0" w:firstLine="480" w:firstLineChars="200"/>
        <w:jc w:val="left"/>
        <w:textAlignment w:val="auto"/>
        <w:rPr>
          <w:rFonts w:ascii="宋体" w:hAnsi="宋体" w:eastAsia="宋体" w:cs="宋体"/>
          <w:color w:val="auto"/>
          <w:highlight w:val="none"/>
        </w:rPr>
      </w:pPr>
    </w:p>
    <w:p w14:paraId="2F6EBBA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D9C4A7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0F8CFE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1FCC76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F4FDE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32F5D02">
      <w:pPr>
        <w:pStyle w:val="10"/>
      </w:pPr>
    </w:p>
    <w:p w14:paraId="6B17DB53">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30"/>
          <w:szCs w:val="30"/>
          <w:highlight w:val="none"/>
        </w:rPr>
      </w:pPr>
      <w:r>
        <w:rPr>
          <w:rFonts w:hint="eastAsia" w:eastAsia="宋体" w:cs="Times New Roman"/>
          <w:b/>
          <w:bCs/>
          <w:color w:val="auto"/>
          <w:kern w:val="2"/>
          <w:sz w:val="30"/>
          <w:szCs w:val="30"/>
          <w:highlight w:val="none"/>
          <w:lang w:val="en-US" w:eastAsia="zh-CN" w:bidi="ar-SA"/>
        </w:rPr>
        <w:t>二</w:t>
      </w:r>
      <w:r>
        <w:rPr>
          <w:rFonts w:hint="default" w:ascii="Times New Roman" w:hAnsi="Times New Roman" w:eastAsia="宋体" w:cs="Times New Roman"/>
          <w:b/>
          <w:bCs/>
          <w:color w:val="auto"/>
          <w:kern w:val="2"/>
          <w:sz w:val="30"/>
          <w:szCs w:val="30"/>
          <w:highlight w:val="none"/>
          <w:lang w:val="en-US" w:eastAsia="zh-CN" w:bidi="ar-SA"/>
        </w:rPr>
        <w:t>、</w:t>
      </w:r>
      <w:r>
        <w:rPr>
          <w:rFonts w:hint="eastAsia" w:ascii="宋体" w:hAnsi="宋体" w:eastAsia="宋体" w:cs="宋体"/>
          <w:b/>
          <w:bCs/>
          <w:color w:val="auto"/>
          <w:sz w:val="30"/>
          <w:szCs w:val="30"/>
          <w:highlight w:val="none"/>
        </w:rPr>
        <w:t>已标价工程量清单</w:t>
      </w:r>
    </w:p>
    <w:p w14:paraId="1DD77B44">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05A17ED3">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6E60F0F1">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0BD9B7B6">
      <w:pPr>
        <w:keepNext w:val="0"/>
        <w:keepLines w:val="0"/>
        <w:pageBreakBefore w:val="0"/>
        <w:widowControl w:val="0"/>
        <w:numPr>
          <w:ilvl w:val="0"/>
          <w:numId w:val="0"/>
        </w:numPr>
        <w:kinsoku/>
        <w:wordWrap w:val="0"/>
        <w:overflowPunct/>
        <w:topLinePunct w:val="0"/>
        <w:autoSpaceDE/>
        <w:autoSpaceDN/>
        <w:bidi w:val="0"/>
        <w:snapToGrid/>
        <w:spacing w:before="14"/>
        <w:ind w:right="0" w:rightChars="0"/>
        <w:jc w:val="left"/>
        <w:rPr>
          <w:rFonts w:hint="eastAsia" w:ascii="宋体" w:hAnsi="宋体" w:eastAsia="宋体" w:cs="宋体"/>
          <w:b/>
          <w:bCs/>
          <w:color w:val="auto"/>
          <w:sz w:val="30"/>
          <w:szCs w:val="30"/>
          <w:highlight w:val="none"/>
        </w:rPr>
      </w:pPr>
    </w:p>
    <w:p w14:paraId="17D3A72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FA6920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F35FD2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A9E308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80FCF3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9ABF56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A2B8D6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49144C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197FA15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FEDDAD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9A2AD7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836616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856AC3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F55696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463C653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7BEEC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BB092E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6158E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F02E82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78C044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6BA4B29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2A5FA94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02FD3D6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olor w:val="auto"/>
          <w:spacing w:val="10"/>
          <w:sz w:val="19"/>
          <w:szCs w:val="19"/>
          <w:highlight w:val="none"/>
        </w:rPr>
      </w:pPr>
    </w:p>
    <w:p w14:paraId="375DE47C">
      <w:pPr>
        <w:keepNext w:val="0"/>
        <w:keepLines w:val="0"/>
        <w:pageBreakBefore w:val="0"/>
        <w:widowControl w:val="0"/>
        <w:kinsoku/>
        <w:wordWrap w:val="0"/>
        <w:overflowPunct/>
        <w:topLinePunct w:val="0"/>
        <w:autoSpaceDE/>
        <w:autoSpaceDN/>
        <w:bidi w:val="0"/>
        <w:snapToGrid/>
        <w:spacing w:before="14"/>
        <w:ind w:left="0" w:right="301" w:firstLine="0"/>
        <w:jc w:val="center"/>
        <w:rPr>
          <w:rFonts w:ascii="黑体" w:hAnsi="黑体" w:eastAsia="黑体" w:cs="黑体"/>
          <w:color w:val="auto"/>
          <w:sz w:val="28"/>
          <w:szCs w:val="28"/>
          <w:highlight w:val="none"/>
        </w:rPr>
      </w:pPr>
      <w:r>
        <w:rPr>
          <w:rFonts w:hint="eastAsia" w:ascii="宋体" w:hAnsi="宋体" w:eastAsia="宋体" w:cs="宋体"/>
          <w:b/>
          <w:bCs/>
          <w:color w:val="auto"/>
          <w:sz w:val="30"/>
          <w:szCs w:val="30"/>
          <w:highlight w:val="none"/>
        </w:rPr>
        <w:t>三、合同用款估算表</w:t>
      </w:r>
    </w:p>
    <w:p w14:paraId="3F4589F1">
      <w:pPr>
        <w:keepNext w:val="0"/>
        <w:keepLines w:val="0"/>
        <w:pageBreakBefore w:val="0"/>
        <w:widowControl w:val="0"/>
        <w:kinsoku/>
        <w:wordWrap w:val="0"/>
        <w:overflowPunct/>
        <w:topLinePunct w:val="0"/>
        <w:autoSpaceDE/>
        <w:autoSpaceDN/>
        <w:bidi w:val="0"/>
        <w:snapToGrid/>
        <w:spacing w:before="0" w:line="240" w:lineRule="auto"/>
        <w:rPr>
          <w:rFonts w:ascii="黑体" w:hAnsi="黑体" w:eastAsia="黑体" w:cs="黑体"/>
          <w:color w:val="auto"/>
          <w:sz w:val="20"/>
          <w:szCs w:val="20"/>
          <w:highlight w:val="none"/>
        </w:rPr>
      </w:pPr>
    </w:p>
    <w:p w14:paraId="049CB60E">
      <w:pPr>
        <w:keepNext w:val="0"/>
        <w:keepLines w:val="0"/>
        <w:pageBreakBefore w:val="0"/>
        <w:widowControl w:val="0"/>
        <w:kinsoku/>
        <w:wordWrap w:val="0"/>
        <w:overflowPunct/>
        <w:topLinePunct w:val="0"/>
        <w:autoSpaceDE/>
        <w:autoSpaceDN/>
        <w:bidi w:val="0"/>
        <w:snapToGrid/>
        <w:spacing w:before="11" w:line="240" w:lineRule="auto"/>
        <w:rPr>
          <w:rFonts w:ascii="黑体" w:hAnsi="黑体" w:eastAsia="黑体" w:cs="黑体"/>
          <w:color w:val="auto"/>
          <w:sz w:val="13"/>
          <w:szCs w:val="13"/>
          <w:highlight w:val="none"/>
        </w:rPr>
      </w:pPr>
    </w:p>
    <w:tbl>
      <w:tblPr>
        <w:tblStyle w:val="29"/>
        <w:tblW w:w="0" w:type="auto"/>
        <w:tblInd w:w="108" w:type="dxa"/>
        <w:tblLayout w:type="fixed"/>
        <w:tblCellMar>
          <w:top w:w="0" w:type="dxa"/>
          <w:left w:w="0" w:type="dxa"/>
          <w:bottom w:w="0" w:type="dxa"/>
          <w:right w:w="0" w:type="dxa"/>
        </w:tblCellMar>
      </w:tblPr>
      <w:tblGrid>
        <w:gridCol w:w="629"/>
        <w:gridCol w:w="2026"/>
        <w:gridCol w:w="1546"/>
        <w:gridCol w:w="1548"/>
        <w:gridCol w:w="1549"/>
        <w:gridCol w:w="1548"/>
      </w:tblGrid>
      <w:tr w14:paraId="789EE386">
        <w:tblPrEx>
          <w:tblCellMar>
            <w:top w:w="0" w:type="dxa"/>
            <w:left w:w="0" w:type="dxa"/>
            <w:bottom w:w="0" w:type="dxa"/>
            <w:right w:w="0" w:type="dxa"/>
          </w:tblCellMar>
        </w:tblPrEx>
        <w:trPr>
          <w:trHeight w:val="535" w:hRule="exact"/>
        </w:trPr>
        <w:tc>
          <w:tcPr>
            <w:tcW w:w="2655" w:type="dxa"/>
            <w:gridSpan w:val="2"/>
            <w:vMerge w:val="restart"/>
            <w:tcBorders>
              <w:top w:val="single" w:color="000000" w:sz="6" w:space="0"/>
              <w:left w:val="single" w:color="000000" w:sz="6" w:space="0"/>
              <w:right w:val="single" w:color="000000" w:sz="6" w:space="0"/>
            </w:tcBorders>
          </w:tcPr>
          <w:p w14:paraId="262C59B4">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F38413D">
            <w:pPr>
              <w:pStyle w:val="38"/>
              <w:keepNext w:val="0"/>
              <w:keepLines w:val="0"/>
              <w:pageBreakBefore w:val="0"/>
              <w:widowControl w:val="0"/>
              <w:kinsoku/>
              <w:wordWrap w:val="0"/>
              <w:overflowPunct/>
              <w:topLinePunct w:val="0"/>
              <w:autoSpaceDE/>
              <w:autoSpaceDN/>
              <w:bidi w:val="0"/>
              <w:snapToGrid/>
              <w:spacing w:before="13" w:line="240" w:lineRule="auto"/>
              <w:ind w:right="0"/>
              <w:jc w:val="left"/>
              <w:rPr>
                <w:rFonts w:ascii="黑体" w:hAnsi="黑体" w:eastAsia="黑体" w:cs="黑体"/>
                <w:color w:val="auto"/>
                <w:sz w:val="14"/>
                <w:szCs w:val="14"/>
                <w:highlight w:val="none"/>
              </w:rPr>
            </w:pPr>
          </w:p>
          <w:p w14:paraId="4C74E95D">
            <w:pPr>
              <w:pStyle w:val="38"/>
              <w:keepNext w:val="0"/>
              <w:keepLines w:val="0"/>
              <w:pageBreakBefore w:val="0"/>
              <w:widowControl w:val="0"/>
              <w:kinsoku/>
              <w:wordWrap w:val="0"/>
              <w:overflowPunct/>
              <w:topLinePunct w:val="0"/>
              <w:autoSpaceDE/>
              <w:autoSpaceDN/>
              <w:bidi w:val="0"/>
              <w:snapToGrid/>
              <w:spacing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从开工月算起的时间</w:t>
            </w:r>
          </w:p>
          <w:p w14:paraId="21778384">
            <w:pPr>
              <w:pStyle w:val="38"/>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4"/>
                <w:szCs w:val="14"/>
                <w:highlight w:val="none"/>
              </w:rPr>
            </w:pPr>
          </w:p>
          <w:p w14:paraId="35423CCB">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（月）</w:t>
            </w:r>
          </w:p>
        </w:tc>
        <w:tc>
          <w:tcPr>
            <w:tcW w:w="6191" w:type="dxa"/>
            <w:gridSpan w:val="4"/>
            <w:tcBorders>
              <w:top w:val="single" w:color="000000" w:sz="6" w:space="0"/>
              <w:left w:val="single" w:color="000000" w:sz="6" w:space="0"/>
              <w:bottom w:val="single" w:color="000000" w:sz="6" w:space="0"/>
              <w:right w:val="single" w:color="000000" w:sz="6" w:space="0"/>
            </w:tcBorders>
          </w:tcPr>
          <w:p w14:paraId="5B87E44A">
            <w:pPr>
              <w:pStyle w:val="38"/>
              <w:keepNext w:val="0"/>
              <w:keepLines w:val="0"/>
              <w:pageBreakBefore w:val="0"/>
              <w:widowControl w:val="0"/>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投标人的估算</w:t>
            </w:r>
          </w:p>
        </w:tc>
      </w:tr>
      <w:tr w14:paraId="2B40C50A">
        <w:tblPrEx>
          <w:tblCellMar>
            <w:top w:w="0" w:type="dxa"/>
            <w:left w:w="0" w:type="dxa"/>
            <w:bottom w:w="0" w:type="dxa"/>
            <w:right w:w="0" w:type="dxa"/>
          </w:tblCellMar>
        </w:tblPrEx>
        <w:trPr>
          <w:trHeight w:val="533" w:hRule="exact"/>
        </w:trPr>
        <w:tc>
          <w:tcPr>
            <w:tcW w:w="2655" w:type="dxa"/>
            <w:gridSpan w:val="2"/>
            <w:vMerge w:val="continue"/>
            <w:tcBorders>
              <w:left w:val="single" w:color="000000" w:sz="6" w:space="0"/>
              <w:right w:val="single" w:color="000000" w:sz="6" w:space="0"/>
            </w:tcBorders>
          </w:tcPr>
          <w:p w14:paraId="354F2381">
            <w:pPr>
              <w:keepNext w:val="0"/>
              <w:keepLines w:val="0"/>
              <w:pageBreakBefore w:val="0"/>
              <w:widowControl w:val="0"/>
              <w:kinsoku/>
              <w:wordWrap w:val="0"/>
              <w:overflowPunct/>
              <w:topLinePunct w:val="0"/>
              <w:autoSpaceDE/>
              <w:autoSpaceDN/>
              <w:bidi w:val="0"/>
              <w:snapToGrid/>
              <w:rPr>
                <w:color w:val="auto"/>
                <w:highlight w:val="none"/>
              </w:rPr>
            </w:pPr>
          </w:p>
        </w:tc>
        <w:tc>
          <w:tcPr>
            <w:tcW w:w="3094" w:type="dxa"/>
            <w:gridSpan w:val="2"/>
            <w:tcBorders>
              <w:top w:val="single" w:color="000000" w:sz="6" w:space="0"/>
              <w:left w:val="single" w:color="000000" w:sz="6" w:space="0"/>
              <w:bottom w:val="single" w:color="000000" w:sz="6" w:space="0"/>
              <w:right w:val="single" w:color="000000" w:sz="6" w:space="0"/>
            </w:tcBorders>
          </w:tcPr>
          <w:p w14:paraId="481EDDFD">
            <w:pPr>
              <w:pStyle w:val="38"/>
              <w:keepNext w:val="0"/>
              <w:keepLines w:val="0"/>
              <w:pageBreakBefore w:val="0"/>
              <w:widowControl w:val="0"/>
              <w:tabs>
                <w:tab w:val="left" w:pos="736"/>
              </w:tabs>
              <w:kinsoku/>
              <w:wordWrap w:val="0"/>
              <w:overflowPunct/>
              <w:topLinePunct w:val="0"/>
              <w:autoSpaceDE/>
              <w:autoSpaceDN/>
              <w:bidi w:val="0"/>
              <w:snapToGrid/>
              <w:spacing w:before="153" w:line="240" w:lineRule="auto"/>
              <w:ind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分</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期</w:t>
            </w:r>
          </w:p>
        </w:tc>
        <w:tc>
          <w:tcPr>
            <w:tcW w:w="3097" w:type="dxa"/>
            <w:gridSpan w:val="2"/>
            <w:tcBorders>
              <w:top w:val="single" w:color="000000" w:sz="6" w:space="0"/>
              <w:left w:val="single" w:color="000000" w:sz="6" w:space="0"/>
              <w:bottom w:val="single" w:color="000000" w:sz="6" w:space="0"/>
              <w:right w:val="single" w:color="000000" w:sz="6" w:space="0"/>
            </w:tcBorders>
          </w:tcPr>
          <w:p w14:paraId="6C2CFC22">
            <w:pPr>
              <w:pStyle w:val="38"/>
              <w:keepNext w:val="0"/>
              <w:keepLines w:val="0"/>
              <w:pageBreakBefore w:val="0"/>
              <w:widowControl w:val="0"/>
              <w:tabs>
                <w:tab w:val="left" w:pos="739"/>
              </w:tabs>
              <w:kinsoku/>
              <w:wordWrap w:val="0"/>
              <w:overflowPunct/>
              <w:topLinePunct w:val="0"/>
              <w:autoSpaceDE/>
              <w:autoSpaceDN/>
              <w:bidi w:val="0"/>
              <w:snapToGrid/>
              <w:spacing w:before="153" w:line="240" w:lineRule="auto"/>
              <w:ind w:left="2" w:right="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t>累</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计</w:t>
            </w:r>
          </w:p>
        </w:tc>
      </w:tr>
      <w:tr w14:paraId="1BF538BA">
        <w:tblPrEx>
          <w:tblCellMar>
            <w:top w:w="0" w:type="dxa"/>
            <w:left w:w="0" w:type="dxa"/>
            <w:bottom w:w="0" w:type="dxa"/>
            <w:right w:w="0" w:type="dxa"/>
          </w:tblCellMar>
        </w:tblPrEx>
        <w:trPr>
          <w:trHeight w:val="535" w:hRule="exact"/>
        </w:trPr>
        <w:tc>
          <w:tcPr>
            <w:tcW w:w="2655" w:type="dxa"/>
            <w:gridSpan w:val="2"/>
            <w:vMerge w:val="continue"/>
            <w:tcBorders>
              <w:left w:val="single" w:color="000000" w:sz="6" w:space="0"/>
              <w:bottom w:val="single" w:color="000000" w:sz="6" w:space="0"/>
              <w:right w:val="single" w:color="000000" w:sz="6" w:space="0"/>
            </w:tcBorders>
          </w:tcPr>
          <w:p w14:paraId="74C528D0">
            <w:pPr>
              <w:keepNext w:val="0"/>
              <w:keepLines w:val="0"/>
              <w:pageBreakBefore w:val="0"/>
              <w:widowControl w:val="0"/>
              <w:kinsoku/>
              <w:wordWrap w:val="0"/>
              <w:overflowPunct/>
              <w:topLinePunct w:val="0"/>
              <w:autoSpaceDE/>
              <w:autoSpaceDN/>
              <w:bidi w:val="0"/>
              <w:snapToGrid/>
              <w:rPr>
                <w:color w:val="auto"/>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5E242FF0">
            <w:pPr>
              <w:pStyle w:val="38"/>
              <w:keepNext w:val="0"/>
              <w:keepLines w:val="0"/>
              <w:pageBreakBefore w:val="0"/>
              <w:widowControl w:val="0"/>
              <w:kinsoku/>
              <w:wordWrap w:val="0"/>
              <w:overflowPunct/>
              <w:topLinePunct w:val="0"/>
              <w:autoSpaceDE/>
              <w:autoSpaceDN/>
              <w:bidi w:val="0"/>
              <w:snapToGrid/>
              <w:spacing w:before="155" w:line="240" w:lineRule="auto"/>
              <w:ind w:left="237"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金额（元）</w:t>
            </w:r>
          </w:p>
        </w:tc>
        <w:tc>
          <w:tcPr>
            <w:tcW w:w="1548" w:type="dxa"/>
            <w:tcBorders>
              <w:top w:val="single" w:color="000000" w:sz="6" w:space="0"/>
              <w:left w:val="single" w:color="000000" w:sz="6" w:space="0"/>
              <w:bottom w:val="single" w:color="000000" w:sz="6" w:space="0"/>
              <w:right w:val="single" w:color="000000" w:sz="6" w:space="0"/>
            </w:tcBorders>
          </w:tcPr>
          <w:p w14:paraId="7D5E8E5D">
            <w:pPr>
              <w:pStyle w:val="38"/>
              <w:keepNext w:val="0"/>
              <w:keepLines w:val="0"/>
              <w:pageBreakBefore w:val="0"/>
              <w:widowControl w:val="0"/>
              <w:kinsoku/>
              <w:wordWrap w:val="0"/>
              <w:overflowPunct/>
              <w:topLinePunct w:val="0"/>
              <w:autoSpaceDE/>
              <w:autoSpaceDN/>
              <w:bidi w:val="0"/>
              <w:snapToGrid/>
              <w:spacing w:before="155" w:line="240" w:lineRule="auto"/>
              <w:ind w:left="470"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w:t>
            </w:r>
          </w:p>
        </w:tc>
        <w:tc>
          <w:tcPr>
            <w:tcW w:w="1549" w:type="dxa"/>
            <w:tcBorders>
              <w:top w:val="single" w:color="000000" w:sz="6" w:space="0"/>
              <w:left w:val="single" w:color="000000" w:sz="6" w:space="0"/>
              <w:bottom w:val="single" w:color="000000" w:sz="6" w:space="0"/>
              <w:right w:val="single" w:color="000000" w:sz="6" w:space="0"/>
            </w:tcBorders>
          </w:tcPr>
          <w:p w14:paraId="731B20A0">
            <w:pPr>
              <w:pStyle w:val="38"/>
              <w:keepNext w:val="0"/>
              <w:keepLines w:val="0"/>
              <w:pageBreakBefore w:val="0"/>
              <w:widowControl w:val="0"/>
              <w:kinsoku/>
              <w:wordWrap w:val="0"/>
              <w:overflowPunct/>
              <w:topLinePunct w:val="0"/>
              <w:autoSpaceDE/>
              <w:autoSpaceDN/>
              <w:bidi w:val="0"/>
              <w:snapToGrid/>
              <w:spacing w:before="155" w:line="240" w:lineRule="auto"/>
              <w:ind w:left="242"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金额（元）</w:t>
            </w:r>
          </w:p>
        </w:tc>
        <w:tc>
          <w:tcPr>
            <w:tcW w:w="1548" w:type="dxa"/>
            <w:tcBorders>
              <w:top w:val="single" w:color="000000" w:sz="6" w:space="0"/>
              <w:left w:val="single" w:color="000000" w:sz="6" w:space="0"/>
              <w:bottom w:val="single" w:color="000000" w:sz="6" w:space="0"/>
              <w:right w:val="single" w:color="000000" w:sz="6" w:space="0"/>
            </w:tcBorders>
          </w:tcPr>
          <w:p w14:paraId="0B099910">
            <w:pPr>
              <w:pStyle w:val="38"/>
              <w:keepNext w:val="0"/>
              <w:keepLines w:val="0"/>
              <w:pageBreakBefore w:val="0"/>
              <w:widowControl w:val="0"/>
              <w:kinsoku/>
              <w:wordWrap w:val="0"/>
              <w:overflowPunct/>
              <w:topLinePunct w:val="0"/>
              <w:autoSpaceDE/>
              <w:autoSpaceDN/>
              <w:bidi w:val="0"/>
              <w:snapToGrid/>
              <w:spacing w:before="155" w:line="240" w:lineRule="auto"/>
              <w:ind w:left="470"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w:t>
            </w:r>
            <w:r>
              <w:rPr>
                <w:rFonts w:ascii="Times New Roman" w:hAnsi="Times New Roman" w:eastAsia="Times New Roman" w:cs="Times New Roman"/>
                <w:color w:val="auto"/>
                <w:sz w:val="21"/>
                <w:szCs w:val="21"/>
                <w:highlight w:val="none"/>
              </w:rPr>
              <w:t>%</w:t>
            </w:r>
            <w:r>
              <w:rPr>
                <w:rFonts w:ascii="宋体" w:hAnsi="宋体" w:eastAsia="宋体" w:cs="宋体"/>
                <w:color w:val="auto"/>
                <w:sz w:val="21"/>
                <w:szCs w:val="21"/>
                <w:highlight w:val="none"/>
              </w:rPr>
              <w:t>）</w:t>
            </w:r>
          </w:p>
        </w:tc>
      </w:tr>
      <w:tr w14:paraId="2C5D4240">
        <w:tblPrEx>
          <w:tblCellMar>
            <w:top w:w="0" w:type="dxa"/>
            <w:left w:w="0" w:type="dxa"/>
            <w:bottom w:w="0" w:type="dxa"/>
            <w:right w:w="0" w:type="dxa"/>
          </w:tblCellMar>
        </w:tblPrEx>
        <w:trPr>
          <w:trHeight w:val="536"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68883B06">
            <w:pPr>
              <w:pStyle w:val="38"/>
              <w:keepNext w:val="0"/>
              <w:keepLines w:val="0"/>
              <w:pageBreakBefore w:val="0"/>
              <w:widowControl w:val="0"/>
              <w:kinsoku/>
              <w:wordWrap w:val="0"/>
              <w:overflowPunct/>
              <w:topLinePunct w:val="0"/>
              <w:autoSpaceDE/>
              <w:autoSpaceDN/>
              <w:bidi w:val="0"/>
              <w:snapToGrid/>
              <w:spacing w:before="6" w:line="240" w:lineRule="auto"/>
              <w:ind w:right="0"/>
              <w:jc w:val="left"/>
              <w:rPr>
                <w:rFonts w:ascii="黑体" w:hAnsi="黑体" w:eastAsia="黑体" w:cs="黑体"/>
                <w:color w:val="auto"/>
                <w:sz w:val="16"/>
                <w:szCs w:val="16"/>
                <w:highlight w:val="none"/>
              </w:rPr>
            </w:pPr>
          </w:p>
          <w:p w14:paraId="5D321A79">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69D952CD">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33F084CE">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7AB8599A">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646F89B8">
            <w:pPr>
              <w:keepNext w:val="0"/>
              <w:keepLines w:val="0"/>
              <w:pageBreakBefore w:val="0"/>
              <w:widowControl w:val="0"/>
              <w:kinsoku/>
              <w:wordWrap w:val="0"/>
              <w:overflowPunct/>
              <w:topLinePunct w:val="0"/>
              <w:autoSpaceDE/>
              <w:autoSpaceDN/>
              <w:bidi w:val="0"/>
              <w:snapToGrid/>
              <w:rPr>
                <w:color w:val="auto"/>
                <w:highlight w:val="none"/>
              </w:rPr>
            </w:pPr>
          </w:p>
        </w:tc>
      </w:tr>
      <w:tr w14:paraId="5763D448">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577E60AD">
            <w:pPr>
              <w:pStyle w:val="38"/>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68DDD3F2">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1A82BFE5">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547F0D02">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6027BED7">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23EE3682">
            <w:pPr>
              <w:keepNext w:val="0"/>
              <w:keepLines w:val="0"/>
              <w:pageBreakBefore w:val="0"/>
              <w:widowControl w:val="0"/>
              <w:kinsoku/>
              <w:wordWrap w:val="0"/>
              <w:overflowPunct/>
              <w:topLinePunct w:val="0"/>
              <w:autoSpaceDE/>
              <w:autoSpaceDN/>
              <w:bidi w:val="0"/>
              <w:snapToGrid/>
              <w:rPr>
                <w:color w:val="auto"/>
                <w:highlight w:val="none"/>
              </w:rPr>
            </w:pPr>
          </w:p>
        </w:tc>
      </w:tr>
      <w:tr w14:paraId="23A54C84">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0AC356CF">
            <w:pPr>
              <w:pStyle w:val="38"/>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04934CB3">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269F67B2">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3621A084">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2F7D1C7A">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6F7D30B3">
            <w:pPr>
              <w:keepNext w:val="0"/>
              <w:keepLines w:val="0"/>
              <w:pageBreakBefore w:val="0"/>
              <w:widowControl w:val="0"/>
              <w:kinsoku/>
              <w:wordWrap w:val="0"/>
              <w:overflowPunct/>
              <w:topLinePunct w:val="0"/>
              <w:autoSpaceDE/>
              <w:autoSpaceDN/>
              <w:bidi w:val="0"/>
              <w:snapToGrid/>
              <w:rPr>
                <w:color w:val="auto"/>
                <w:highlight w:val="none"/>
              </w:rPr>
            </w:pPr>
          </w:p>
        </w:tc>
      </w:tr>
      <w:tr w14:paraId="500A1F06">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056032BC">
            <w:pPr>
              <w:pStyle w:val="38"/>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4030035A">
            <w:pPr>
              <w:pStyle w:val="38"/>
              <w:keepNext w:val="0"/>
              <w:keepLines w:val="0"/>
              <w:pageBreakBefore w:val="0"/>
              <w:widowControl w:val="0"/>
              <w:kinsoku/>
              <w:wordWrap w:val="0"/>
              <w:overflowPunct/>
              <w:topLinePunct w:val="0"/>
              <w:autoSpaceDE/>
              <w:autoSpaceDN/>
              <w:bidi w:val="0"/>
              <w:snapToGrid/>
              <w:spacing w:line="240" w:lineRule="auto"/>
              <w:ind w:left="1"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2EAFEDE5">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3507B507">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6CC5E920">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52959889">
            <w:pPr>
              <w:keepNext w:val="0"/>
              <w:keepLines w:val="0"/>
              <w:pageBreakBefore w:val="0"/>
              <w:widowControl w:val="0"/>
              <w:kinsoku/>
              <w:wordWrap w:val="0"/>
              <w:overflowPunct/>
              <w:topLinePunct w:val="0"/>
              <w:autoSpaceDE/>
              <w:autoSpaceDN/>
              <w:bidi w:val="0"/>
              <w:snapToGrid/>
              <w:rPr>
                <w:color w:val="auto"/>
                <w:highlight w:val="none"/>
              </w:rPr>
            </w:pPr>
          </w:p>
        </w:tc>
      </w:tr>
      <w:tr w14:paraId="0295361A">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1592002F">
            <w:pPr>
              <w:pStyle w:val="38"/>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30703A72">
            <w:pPr>
              <w:pStyle w:val="38"/>
              <w:keepNext w:val="0"/>
              <w:keepLines w:val="0"/>
              <w:pageBreakBefore w:val="0"/>
              <w:widowControl w:val="0"/>
              <w:kinsoku/>
              <w:wordWrap w:val="0"/>
              <w:overflowPunct/>
              <w:topLinePunct w:val="0"/>
              <w:autoSpaceDE/>
              <w:autoSpaceDN/>
              <w:bidi w:val="0"/>
              <w:snapToGrid/>
              <w:spacing w:line="240" w:lineRule="auto"/>
              <w:ind w:left="1" w:right="0"/>
              <w:jc w:val="center"/>
              <w:rPr>
                <w:rFonts w:ascii="Times New Roman" w:hAnsi="Times New Roman" w:eastAsia="Times New Roman" w:cs="Times New Roman"/>
                <w:color w:val="auto"/>
                <w:sz w:val="21"/>
                <w:szCs w:val="21"/>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7F1BED88">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472495FD">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0DFF304F">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751B67EC">
            <w:pPr>
              <w:keepNext w:val="0"/>
              <w:keepLines w:val="0"/>
              <w:pageBreakBefore w:val="0"/>
              <w:widowControl w:val="0"/>
              <w:kinsoku/>
              <w:wordWrap w:val="0"/>
              <w:overflowPunct/>
              <w:topLinePunct w:val="0"/>
              <w:autoSpaceDE/>
              <w:autoSpaceDN/>
              <w:bidi w:val="0"/>
              <w:snapToGrid/>
              <w:rPr>
                <w:color w:val="auto"/>
                <w:highlight w:val="none"/>
              </w:rPr>
            </w:pPr>
          </w:p>
        </w:tc>
      </w:tr>
      <w:tr w14:paraId="60AA235D">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2BD51D72">
            <w:pPr>
              <w:pStyle w:val="38"/>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167635B2">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546" w:type="dxa"/>
            <w:tcBorders>
              <w:top w:val="single" w:color="000000" w:sz="6" w:space="0"/>
              <w:left w:val="single" w:color="000000" w:sz="6" w:space="0"/>
              <w:bottom w:val="single" w:color="000000" w:sz="6" w:space="0"/>
              <w:right w:val="single" w:color="000000" w:sz="6" w:space="0"/>
            </w:tcBorders>
          </w:tcPr>
          <w:p w14:paraId="485ECC76">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563808C2">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4CDCEC9C">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7054935">
            <w:pPr>
              <w:keepNext w:val="0"/>
              <w:keepLines w:val="0"/>
              <w:pageBreakBefore w:val="0"/>
              <w:widowControl w:val="0"/>
              <w:kinsoku/>
              <w:wordWrap w:val="0"/>
              <w:overflowPunct/>
              <w:topLinePunct w:val="0"/>
              <w:autoSpaceDE/>
              <w:autoSpaceDN/>
              <w:bidi w:val="0"/>
              <w:snapToGrid/>
              <w:rPr>
                <w:color w:val="auto"/>
                <w:highlight w:val="none"/>
              </w:rPr>
            </w:pPr>
          </w:p>
        </w:tc>
      </w:tr>
      <w:tr w14:paraId="64A58DF4">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727054A5">
            <w:pPr>
              <w:pStyle w:val="38"/>
              <w:keepNext w:val="0"/>
              <w:keepLines w:val="0"/>
              <w:pageBreakBefore w:val="0"/>
              <w:widowControl w:val="0"/>
              <w:kinsoku/>
              <w:wordWrap w:val="0"/>
              <w:overflowPunct/>
              <w:topLinePunct w:val="0"/>
              <w:autoSpaceDE/>
              <w:autoSpaceDN/>
              <w:bidi w:val="0"/>
              <w:snapToGrid/>
              <w:spacing w:before="3" w:line="240" w:lineRule="auto"/>
              <w:ind w:right="0"/>
              <w:jc w:val="left"/>
              <w:rPr>
                <w:rFonts w:ascii="黑体" w:hAnsi="黑体" w:eastAsia="黑体" w:cs="黑体"/>
                <w:color w:val="auto"/>
                <w:sz w:val="16"/>
                <w:szCs w:val="16"/>
                <w:highlight w:val="none"/>
              </w:rPr>
            </w:pPr>
          </w:p>
          <w:p w14:paraId="047EDF0F">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w:t>
            </w:r>
          </w:p>
        </w:tc>
        <w:tc>
          <w:tcPr>
            <w:tcW w:w="1546" w:type="dxa"/>
            <w:tcBorders>
              <w:top w:val="single" w:color="000000" w:sz="6" w:space="0"/>
              <w:left w:val="single" w:color="000000" w:sz="6" w:space="0"/>
              <w:bottom w:val="single" w:color="000000" w:sz="6" w:space="0"/>
              <w:right w:val="single" w:color="000000" w:sz="6" w:space="0"/>
            </w:tcBorders>
          </w:tcPr>
          <w:p w14:paraId="49861D08">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69285BD4">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75993C95">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1CAEAA8D">
            <w:pPr>
              <w:keepNext w:val="0"/>
              <w:keepLines w:val="0"/>
              <w:pageBreakBefore w:val="0"/>
              <w:widowControl w:val="0"/>
              <w:kinsoku/>
              <w:wordWrap w:val="0"/>
              <w:overflowPunct/>
              <w:topLinePunct w:val="0"/>
              <w:autoSpaceDE/>
              <w:autoSpaceDN/>
              <w:bidi w:val="0"/>
              <w:snapToGrid/>
              <w:rPr>
                <w:color w:val="auto"/>
                <w:highlight w:val="none"/>
              </w:rPr>
            </w:pPr>
          </w:p>
        </w:tc>
      </w:tr>
      <w:tr w14:paraId="754F2C5B">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5846F21A">
            <w:pPr>
              <w:keepNext w:val="0"/>
              <w:keepLines w:val="0"/>
              <w:pageBreakBefore w:val="0"/>
              <w:widowControl w:val="0"/>
              <w:kinsoku/>
              <w:wordWrap w:val="0"/>
              <w:overflowPunct/>
              <w:topLinePunct w:val="0"/>
              <w:autoSpaceDE/>
              <w:autoSpaceDN/>
              <w:bidi w:val="0"/>
              <w:snapToGrid/>
              <w:rPr>
                <w:color w:val="auto"/>
                <w:highlight w:val="none"/>
              </w:rPr>
            </w:pPr>
          </w:p>
        </w:tc>
        <w:tc>
          <w:tcPr>
            <w:tcW w:w="1546" w:type="dxa"/>
            <w:tcBorders>
              <w:top w:val="single" w:color="000000" w:sz="6" w:space="0"/>
              <w:left w:val="single" w:color="000000" w:sz="6" w:space="0"/>
              <w:bottom w:val="single" w:color="000000" w:sz="6" w:space="0"/>
              <w:right w:val="single" w:color="000000" w:sz="6" w:space="0"/>
            </w:tcBorders>
          </w:tcPr>
          <w:p w14:paraId="2C9E0A35">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1313D256">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1962B8CF">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9E0D474">
            <w:pPr>
              <w:keepNext w:val="0"/>
              <w:keepLines w:val="0"/>
              <w:pageBreakBefore w:val="0"/>
              <w:widowControl w:val="0"/>
              <w:kinsoku/>
              <w:wordWrap w:val="0"/>
              <w:overflowPunct/>
              <w:topLinePunct w:val="0"/>
              <w:autoSpaceDE/>
              <w:autoSpaceDN/>
              <w:bidi w:val="0"/>
              <w:snapToGrid/>
              <w:rPr>
                <w:color w:val="auto"/>
                <w:highlight w:val="none"/>
              </w:rPr>
            </w:pPr>
          </w:p>
        </w:tc>
      </w:tr>
      <w:tr w14:paraId="6A845714">
        <w:tblPrEx>
          <w:tblCellMar>
            <w:top w:w="0" w:type="dxa"/>
            <w:left w:w="0" w:type="dxa"/>
            <w:bottom w:w="0" w:type="dxa"/>
            <w:right w:w="0" w:type="dxa"/>
          </w:tblCellMar>
        </w:tblPrEx>
        <w:trPr>
          <w:trHeight w:val="535"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6C0C7BC9">
            <w:pPr>
              <w:pStyle w:val="38"/>
              <w:keepNext w:val="0"/>
              <w:keepLines w:val="0"/>
              <w:pageBreakBefore w:val="0"/>
              <w:widowControl w:val="0"/>
              <w:kinsoku/>
              <w:wordWrap w:val="0"/>
              <w:overflowPunct/>
              <w:topLinePunct w:val="0"/>
              <w:autoSpaceDE/>
              <w:autoSpaceDN/>
              <w:bidi w:val="0"/>
              <w:snapToGrid/>
              <w:spacing w:before="153" w:line="240" w:lineRule="auto"/>
              <w:ind w:left="794"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缺陷责任期</w:t>
            </w:r>
          </w:p>
        </w:tc>
        <w:tc>
          <w:tcPr>
            <w:tcW w:w="1546" w:type="dxa"/>
            <w:tcBorders>
              <w:top w:val="single" w:color="000000" w:sz="6" w:space="0"/>
              <w:left w:val="single" w:color="000000" w:sz="6" w:space="0"/>
              <w:bottom w:val="single" w:color="000000" w:sz="6" w:space="0"/>
              <w:right w:val="single" w:color="000000" w:sz="6" w:space="0"/>
            </w:tcBorders>
          </w:tcPr>
          <w:p w14:paraId="0BD9BCF2">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756D13CD">
            <w:pPr>
              <w:keepNext w:val="0"/>
              <w:keepLines w:val="0"/>
              <w:pageBreakBefore w:val="0"/>
              <w:widowControl w:val="0"/>
              <w:kinsoku/>
              <w:wordWrap w:val="0"/>
              <w:overflowPunct/>
              <w:topLinePunct w:val="0"/>
              <w:autoSpaceDE/>
              <w:autoSpaceDN/>
              <w:bidi w:val="0"/>
              <w:snapToGrid/>
              <w:rPr>
                <w:color w:val="auto"/>
                <w:highlight w:val="none"/>
              </w:rPr>
            </w:pPr>
          </w:p>
        </w:tc>
        <w:tc>
          <w:tcPr>
            <w:tcW w:w="1549" w:type="dxa"/>
            <w:tcBorders>
              <w:top w:val="single" w:color="000000" w:sz="6" w:space="0"/>
              <w:left w:val="single" w:color="000000" w:sz="6" w:space="0"/>
              <w:bottom w:val="single" w:color="000000" w:sz="6" w:space="0"/>
              <w:right w:val="single" w:color="000000" w:sz="6" w:space="0"/>
            </w:tcBorders>
          </w:tcPr>
          <w:p w14:paraId="58BCA9B3">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45264D36">
            <w:pPr>
              <w:keepNext w:val="0"/>
              <w:keepLines w:val="0"/>
              <w:pageBreakBefore w:val="0"/>
              <w:widowControl w:val="0"/>
              <w:kinsoku/>
              <w:wordWrap w:val="0"/>
              <w:overflowPunct/>
              <w:topLinePunct w:val="0"/>
              <w:autoSpaceDE/>
              <w:autoSpaceDN/>
              <w:bidi w:val="0"/>
              <w:snapToGrid/>
              <w:rPr>
                <w:color w:val="auto"/>
                <w:highlight w:val="none"/>
              </w:rPr>
            </w:pPr>
          </w:p>
        </w:tc>
      </w:tr>
      <w:tr w14:paraId="66488431">
        <w:tblPrEx>
          <w:tblCellMar>
            <w:top w:w="0" w:type="dxa"/>
            <w:left w:w="0" w:type="dxa"/>
            <w:bottom w:w="0" w:type="dxa"/>
            <w:right w:w="0" w:type="dxa"/>
          </w:tblCellMar>
        </w:tblPrEx>
        <w:trPr>
          <w:trHeight w:val="533" w:hRule="exact"/>
        </w:trPr>
        <w:tc>
          <w:tcPr>
            <w:tcW w:w="2655" w:type="dxa"/>
            <w:gridSpan w:val="2"/>
            <w:tcBorders>
              <w:top w:val="single" w:color="000000" w:sz="6" w:space="0"/>
              <w:left w:val="single" w:color="000000" w:sz="6" w:space="0"/>
              <w:bottom w:val="single" w:color="000000" w:sz="6" w:space="0"/>
              <w:right w:val="single" w:color="000000" w:sz="6" w:space="0"/>
            </w:tcBorders>
          </w:tcPr>
          <w:p w14:paraId="0C12E07D">
            <w:pPr>
              <w:pStyle w:val="38"/>
              <w:keepNext w:val="0"/>
              <w:keepLines w:val="0"/>
              <w:pageBreakBefore w:val="0"/>
              <w:widowControl w:val="0"/>
              <w:tabs>
                <w:tab w:val="left" w:pos="1636"/>
              </w:tabs>
              <w:kinsoku/>
              <w:wordWrap w:val="0"/>
              <w:overflowPunct/>
              <w:topLinePunct w:val="0"/>
              <w:autoSpaceDE/>
              <w:autoSpaceDN/>
              <w:bidi w:val="0"/>
              <w:snapToGrid/>
              <w:spacing w:before="153" w:line="240" w:lineRule="auto"/>
              <w:ind w:left="794"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小</w:t>
            </w:r>
            <w:r>
              <w:rPr>
                <w:rFonts w:ascii="宋体" w:hAnsi="宋体" w:eastAsia="宋体" w:cs="宋体"/>
                <w:color w:val="auto"/>
                <w:sz w:val="21"/>
                <w:szCs w:val="21"/>
                <w:highlight w:val="none"/>
              </w:rPr>
              <w:tab/>
            </w:r>
            <w:r>
              <w:rPr>
                <w:rFonts w:ascii="宋体" w:hAnsi="宋体" w:eastAsia="宋体" w:cs="宋体"/>
                <w:color w:val="auto"/>
                <w:sz w:val="21"/>
                <w:szCs w:val="21"/>
                <w:highlight w:val="none"/>
              </w:rPr>
              <w:t>计</w:t>
            </w:r>
          </w:p>
        </w:tc>
        <w:tc>
          <w:tcPr>
            <w:tcW w:w="1546" w:type="dxa"/>
            <w:tcBorders>
              <w:top w:val="single" w:color="000000" w:sz="6" w:space="0"/>
              <w:left w:val="single" w:color="000000" w:sz="6" w:space="0"/>
              <w:bottom w:val="single" w:color="000000" w:sz="6" w:space="0"/>
              <w:right w:val="single" w:color="000000" w:sz="6" w:space="0"/>
            </w:tcBorders>
          </w:tcPr>
          <w:p w14:paraId="55D949B4">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36F319E0">
            <w:pPr>
              <w:pStyle w:val="38"/>
              <w:keepNext w:val="0"/>
              <w:keepLines w:val="0"/>
              <w:pageBreakBefore w:val="0"/>
              <w:widowControl w:val="0"/>
              <w:kinsoku/>
              <w:wordWrap w:val="0"/>
              <w:overflowPunct/>
              <w:topLinePunct w:val="0"/>
              <w:autoSpaceDE/>
              <w:autoSpaceDN/>
              <w:bidi w:val="0"/>
              <w:snapToGrid/>
              <w:spacing w:line="240" w:lineRule="auto"/>
              <w:ind w:right="0"/>
              <w:jc w:val="center"/>
              <w:rPr>
                <w:rFonts w:ascii="Times New Roman" w:hAnsi="Times New Roman" w:eastAsia="Times New Roman" w:cs="Times New Roman"/>
                <w:color w:val="auto"/>
                <w:sz w:val="21"/>
                <w:szCs w:val="21"/>
                <w:highlight w:val="none"/>
              </w:rPr>
            </w:pPr>
            <w:r>
              <w:rPr>
                <w:rFonts w:ascii="Times New Roman"/>
                <w:color w:val="auto"/>
                <w:sz w:val="21"/>
                <w:highlight w:val="none"/>
              </w:rPr>
              <w:t>100.00</w:t>
            </w:r>
          </w:p>
        </w:tc>
        <w:tc>
          <w:tcPr>
            <w:tcW w:w="1549" w:type="dxa"/>
            <w:tcBorders>
              <w:top w:val="single" w:color="000000" w:sz="6" w:space="0"/>
              <w:left w:val="single" w:color="000000" w:sz="6" w:space="0"/>
              <w:bottom w:val="single" w:color="000000" w:sz="6" w:space="0"/>
              <w:right w:val="single" w:color="000000" w:sz="6" w:space="0"/>
            </w:tcBorders>
          </w:tcPr>
          <w:p w14:paraId="4192E187">
            <w:pPr>
              <w:keepNext w:val="0"/>
              <w:keepLines w:val="0"/>
              <w:pageBreakBefore w:val="0"/>
              <w:widowControl w:val="0"/>
              <w:kinsoku/>
              <w:wordWrap w:val="0"/>
              <w:overflowPunct/>
              <w:topLinePunct w:val="0"/>
              <w:autoSpaceDE/>
              <w:autoSpaceDN/>
              <w:bidi w:val="0"/>
              <w:snapToGrid/>
              <w:rPr>
                <w:color w:val="auto"/>
                <w:highlight w:val="none"/>
              </w:rPr>
            </w:pPr>
          </w:p>
        </w:tc>
        <w:tc>
          <w:tcPr>
            <w:tcW w:w="1548" w:type="dxa"/>
            <w:tcBorders>
              <w:top w:val="single" w:color="000000" w:sz="6" w:space="0"/>
              <w:left w:val="single" w:color="000000" w:sz="6" w:space="0"/>
              <w:bottom w:val="single" w:color="000000" w:sz="6" w:space="0"/>
              <w:right w:val="single" w:color="000000" w:sz="6" w:space="0"/>
            </w:tcBorders>
          </w:tcPr>
          <w:p w14:paraId="0E5B0C81">
            <w:pPr>
              <w:keepNext w:val="0"/>
              <w:keepLines w:val="0"/>
              <w:pageBreakBefore w:val="0"/>
              <w:widowControl w:val="0"/>
              <w:kinsoku/>
              <w:wordWrap w:val="0"/>
              <w:overflowPunct/>
              <w:topLinePunct w:val="0"/>
              <w:autoSpaceDE/>
              <w:autoSpaceDN/>
              <w:bidi w:val="0"/>
              <w:snapToGrid/>
              <w:rPr>
                <w:color w:val="auto"/>
                <w:highlight w:val="none"/>
              </w:rPr>
            </w:pPr>
          </w:p>
        </w:tc>
      </w:tr>
      <w:tr w14:paraId="58B06CFB">
        <w:tblPrEx>
          <w:tblCellMar>
            <w:top w:w="0" w:type="dxa"/>
            <w:left w:w="0" w:type="dxa"/>
            <w:bottom w:w="0" w:type="dxa"/>
            <w:right w:w="0" w:type="dxa"/>
          </w:tblCellMar>
        </w:tblPrEx>
        <w:trPr>
          <w:trHeight w:val="535" w:hRule="exact"/>
        </w:trPr>
        <w:tc>
          <w:tcPr>
            <w:tcW w:w="8846" w:type="dxa"/>
            <w:gridSpan w:val="6"/>
            <w:tcBorders>
              <w:top w:val="single" w:color="000000" w:sz="6" w:space="0"/>
              <w:left w:val="single" w:color="000000" w:sz="6" w:space="0"/>
              <w:bottom w:val="single" w:color="000000" w:sz="6" w:space="0"/>
              <w:right w:val="single" w:color="000000" w:sz="6" w:space="0"/>
            </w:tcBorders>
          </w:tcPr>
          <w:p w14:paraId="3A376159">
            <w:pPr>
              <w:pStyle w:val="38"/>
              <w:keepNext w:val="0"/>
              <w:keepLines w:val="0"/>
              <w:pageBreakBefore w:val="0"/>
              <w:widowControl w:val="0"/>
              <w:kinsoku/>
              <w:wordWrap w:val="0"/>
              <w:overflowPunct/>
              <w:topLinePunct w:val="0"/>
              <w:autoSpaceDE/>
              <w:autoSpaceDN/>
              <w:bidi w:val="0"/>
              <w:snapToGrid/>
              <w:spacing w:before="155" w:line="240" w:lineRule="auto"/>
              <w:ind w:left="21" w:right="0"/>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t>投标价：</w:t>
            </w:r>
          </w:p>
        </w:tc>
      </w:tr>
      <w:tr w14:paraId="1EBB406A">
        <w:tblPrEx>
          <w:tblCellMar>
            <w:top w:w="0" w:type="dxa"/>
            <w:left w:w="0" w:type="dxa"/>
            <w:bottom w:w="0" w:type="dxa"/>
            <w:right w:w="0" w:type="dxa"/>
          </w:tblCellMar>
        </w:tblPrEx>
        <w:trPr>
          <w:trHeight w:val="3178" w:hRule="exact"/>
        </w:trPr>
        <w:tc>
          <w:tcPr>
            <w:tcW w:w="629" w:type="dxa"/>
            <w:tcBorders>
              <w:top w:val="single" w:color="000000" w:sz="6" w:space="0"/>
              <w:left w:val="single" w:color="000000" w:sz="6" w:space="0"/>
              <w:bottom w:val="single" w:color="000000" w:sz="6" w:space="0"/>
              <w:right w:val="single" w:color="000000" w:sz="6" w:space="0"/>
            </w:tcBorders>
          </w:tcPr>
          <w:p w14:paraId="7D6628FC">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762F4B1">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B6005E7">
            <w:pPr>
              <w:pStyle w:val="38"/>
              <w:keepNext w:val="0"/>
              <w:keepLines w:val="0"/>
              <w:pageBreakBefore w:val="0"/>
              <w:widowControl w:val="0"/>
              <w:kinsoku/>
              <w:wordWrap w:val="0"/>
              <w:overflowPunct/>
              <w:topLinePunct w:val="0"/>
              <w:autoSpaceDE/>
              <w:autoSpaceDN/>
              <w:bidi w:val="0"/>
              <w:snapToGrid/>
              <w:spacing w:before="153" w:line="240" w:lineRule="auto"/>
              <w:ind w:left="201" w:right="0"/>
              <w:jc w:val="left"/>
              <w:rPr>
                <w:rFonts w:ascii="宋体" w:hAnsi="宋体" w:eastAsia="宋体" w:cs="宋体"/>
                <w:color w:val="auto"/>
                <w:sz w:val="21"/>
                <w:szCs w:val="21"/>
                <w:highlight w:val="none"/>
              </w:rPr>
            </w:pPr>
            <w:r>
              <w:rPr>
                <w:rFonts w:ascii="宋体" w:hAnsi="宋体" w:eastAsia="宋体" w:cs="宋体"/>
                <w:color w:val="auto"/>
                <w:w w:val="100"/>
                <w:sz w:val="21"/>
                <w:szCs w:val="21"/>
                <w:highlight w:val="none"/>
              </w:rPr>
              <w:t>说</w:t>
            </w:r>
          </w:p>
          <w:p w14:paraId="602801C4">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DE0C58A">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22EC1926">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41105A60">
            <w:pPr>
              <w:pStyle w:val="38"/>
              <w:keepNext w:val="0"/>
              <w:keepLines w:val="0"/>
              <w:pageBreakBefore w:val="0"/>
              <w:widowControl w:val="0"/>
              <w:kinsoku/>
              <w:wordWrap w:val="0"/>
              <w:overflowPunct/>
              <w:topLinePunct w:val="0"/>
              <w:autoSpaceDE/>
              <w:autoSpaceDN/>
              <w:bidi w:val="0"/>
              <w:snapToGrid/>
              <w:spacing w:line="240" w:lineRule="auto"/>
              <w:ind w:right="0"/>
              <w:jc w:val="left"/>
              <w:rPr>
                <w:rFonts w:ascii="黑体" w:hAnsi="黑体" w:eastAsia="黑体" w:cs="黑体"/>
                <w:color w:val="auto"/>
                <w:sz w:val="20"/>
                <w:szCs w:val="20"/>
                <w:highlight w:val="none"/>
              </w:rPr>
            </w:pPr>
          </w:p>
          <w:p w14:paraId="3E875622">
            <w:pPr>
              <w:pStyle w:val="38"/>
              <w:keepNext w:val="0"/>
              <w:keepLines w:val="0"/>
              <w:pageBreakBefore w:val="0"/>
              <w:widowControl w:val="0"/>
              <w:kinsoku/>
              <w:wordWrap w:val="0"/>
              <w:overflowPunct/>
              <w:topLinePunct w:val="0"/>
              <w:autoSpaceDE/>
              <w:autoSpaceDN/>
              <w:bidi w:val="0"/>
              <w:snapToGrid/>
              <w:spacing w:before="2" w:line="240" w:lineRule="auto"/>
              <w:ind w:right="0"/>
              <w:jc w:val="left"/>
              <w:rPr>
                <w:rFonts w:ascii="黑体" w:hAnsi="黑体" w:eastAsia="黑体" w:cs="黑体"/>
                <w:color w:val="auto"/>
                <w:sz w:val="21"/>
                <w:szCs w:val="21"/>
                <w:highlight w:val="none"/>
              </w:rPr>
            </w:pPr>
          </w:p>
          <w:p w14:paraId="1BE37192">
            <w:pPr>
              <w:pStyle w:val="38"/>
              <w:keepNext w:val="0"/>
              <w:keepLines w:val="0"/>
              <w:pageBreakBefore w:val="0"/>
              <w:widowControl w:val="0"/>
              <w:kinsoku/>
              <w:wordWrap w:val="0"/>
              <w:overflowPunct/>
              <w:topLinePunct w:val="0"/>
              <w:autoSpaceDE/>
              <w:autoSpaceDN/>
              <w:bidi w:val="0"/>
              <w:snapToGrid/>
              <w:spacing w:line="240" w:lineRule="auto"/>
              <w:ind w:left="201" w:right="0"/>
              <w:jc w:val="left"/>
              <w:rPr>
                <w:rFonts w:ascii="宋体" w:hAnsi="宋体" w:eastAsia="宋体" w:cs="宋体"/>
                <w:color w:val="auto"/>
                <w:sz w:val="21"/>
                <w:szCs w:val="21"/>
                <w:highlight w:val="none"/>
              </w:rPr>
            </w:pPr>
            <w:r>
              <w:rPr>
                <w:rFonts w:ascii="宋体" w:hAnsi="宋体" w:eastAsia="宋体" w:cs="宋体"/>
                <w:color w:val="auto"/>
                <w:w w:val="100"/>
                <w:sz w:val="21"/>
                <w:szCs w:val="21"/>
                <w:highlight w:val="none"/>
              </w:rPr>
              <w:t>明</w:t>
            </w:r>
          </w:p>
        </w:tc>
        <w:tc>
          <w:tcPr>
            <w:tcW w:w="8217" w:type="dxa"/>
            <w:gridSpan w:val="5"/>
            <w:tcBorders>
              <w:top w:val="single" w:color="000000" w:sz="6" w:space="0"/>
              <w:left w:val="single" w:color="000000" w:sz="6" w:space="0"/>
              <w:bottom w:val="single" w:color="000000" w:sz="6" w:space="0"/>
              <w:right w:val="single" w:color="000000" w:sz="6" w:space="0"/>
            </w:tcBorders>
          </w:tcPr>
          <w:p w14:paraId="3985EA69">
            <w:pPr>
              <w:keepNext w:val="0"/>
              <w:keepLines w:val="0"/>
              <w:pageBreakBefore w:val="0"/>
              <w:widowControl w:val="0"/>
              <w:kinsoku/>
              <w:wordWrap w:val="0"/>
              <w:overflowPunct/>
              <w:topLinePunct w:val="0"/>
              <w:autoSpaceDE/>
              <w:autoSpaceDN/>
              <w:bidi w:val="0"/>
              <w:snapToGrid/>
              <w:rPr>
                <w:color w:val="auto"/>
                <w:highlight w:val="none"/>
              </w:rPr>
            </w:pPr>
          </w:p>
        </w:tc>
      </w:tr>
    </w:tbl>
    <w:p w14:paraId="60C3D74D">
      <w:pPr>
        <w:keepNext w:val="0"/>
        <w:keepLines w:val="0"/>
        <w:pageBreakBefore w:val="0"/>
        <w:widowControl w:val="0"/>
        <w:kinsoku/>
        <w:wordWrap w:val="0"/>
        <w:overflowPunct/>
        <w:topLinePunct w:val="0"/>
        <w:autoSpaceDE/>
        <w:autoSpaceDN/>
        <w:bidi w:val="0"/>
        <w:adjustRightInd/>
        <w:snapToGrid/>
        <w:spacing w:before="0" w:beforeLines="50" w:line="360" w:lineRule="auto"/>
        <w:ind w:left="0" w:righ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注：1.投标人可按工程进度估算并填写本表。</w:t>
      </w:r>
    </w:p>
    <w:p w14:paraId="3E7094F4">
      <w:pPr>
        <w:ind w:firstLine="840" w:firstLineChars="400"/>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用款额按所报单价和总额价估算，不包括价格调整和暂列金额、暂估价</w:t>
      </w:r>
      <w:r>
        <w:rPr>
          <w:rFonts w:hint="eastAsia" w:ascii="宋体" w:hAnsi="宋体" w:cs="宋体"/>
          <w:color w:val="auto"/>
          <w:sz w:val="21"/>
          <w:szCs w:val="21"/>
          <w:highlight w:val="none"/>
          <w:lang w:eastAsia="zh-CN"/>
        </w:rPr>
        <w:t>，</w:t>
      </w:r>
      <w:r>
        <w:rPr>
          <w:rFonts w:ascii="宋体" w:hAnsi="宋体" w:eastAsia="宋体" w:cs="宋体"/>
          <w:color w:val="auto"/>
          <w:spacing w:val="1"/>
          <w:sz w:val="21"/>
          <w:szCs w:val="21"/>
          <w:highlight w:val="none"/>
        </w:rPr>
        <w:t>但应考虑</w:t>
      </w:r>
      <w:r>
        <w:rPr>
          <w:rFonts w:ascii="宋体" w:hAnsi="宋体" w:eastAsia="宋体" w:cs="宋体"/>
          <w:color w:val="auto"/>
          <w:spacing w:val="-1"/>
          <w:sz w:val="21"/>
          <w:szCs w:val="21"/>
          <w:highlight w:val="none"/>
        </w:rPr>
        <w:t>签发付款证书后到实际支付的时间间</w:t>
      </w:r>
      <w:r>
        <w:rPr>
          <w:rFonts w:ascii="宋体" w:hAnsi="宋体" w:eastAsia="宋体" w:cs="宋体"/>
          <w:color w:val="auto"/>
          <w:sz w:val="21"/>
          <w:szCs w:val="21"/>
          <w:highlight w:val="none"/>
        </w:rPr>
        <w:t>隔</w:t>
      </w:r>
      <w:r>
        <w:rPr>
          <w:rFonts w:hint="eastAsia" w:ascii="宋体" w:hAnsi="宋体" w:eastAsia="宋体" w:cs="宋体"/>
          <w:color w:val="000000" w:themeColor="text1"/>
          <w:sz w:val="21"/>
          <w:szCs w:val="21"/>
          <w:highlight w:val="none"/>
          <w:lang w:eastAsia="zh-CN"/>
          <w14:textFill>
            <w14:solidFill>
              <w14:schemeClr w14:val="tx1"/>
            </w14:solidFill>
          </w14:textFill>
        </w:rPr>
        <w:t>。</w:t>
      </w:r>
    </w:p>
    <w:sectPr>
      <w:footerReference r:id="rId19" w:type="first"/>
      <w:headerReference r:id="rId17" w:type="default"/>
      <w:footerReference r:id="rId18" w:type="default"/>
      <w:pgSz w:w="11905" w:h="16838"/>
      <w:pgMar w:top="1440" w:right="1417" w:bottom="1440" w:left="1417" w:header="850" w:footer="1106" w:gutter="0"/>
      <w:pgBorders>
        <w:top w:val="none" w:sz="0" w:space="0"/>
        <w:left w:val="none" w:sz="0" w:space="0"/>
        <w:bottom w:val="none" w:sz="0" w:space="0"/>
        <w:right w:val="none" w:sz="0" w:space="0"/>
      </w:pgBorders>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4788880-1D9C-499B-923A-CFF94A484656}"/>
  </w:font>
  <w:font w:name="黑体">
    <w:panose1 w:val="02010609060101010101"/>
    <w:charset w:val="86"/>
    <w:family w:val="auto"/>
    <w:pitch w:val="default"/>
    <w:sig w:usb0="800002BF" w:usb1="38CF7CFA" w:usb2="00000016" w:usb3="00000000" w:csb0="00040001" w:csb1="00000000"/>
    <w:embedRegular r:id="rId2" w:fontKey="{9D99D97A-0582-4CB3-9F16-FA83BE041B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embedRegular r:id="rId3" w:fontKey="{E812D7BA-F081-44CE-A32F-DCDED73BB50D}"/>
  </w:font>
  <w:font w:name="仿宋">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roman"/>
    <w:pitch w:val="default"/>
    <w:sig w:usb0="00000000" w:usb1="00000000" w:usb2="0000007F" w:usb3="00000000" w:csb0="203F01FF" w:csb1="DFFF0000"/>
  </w:font>
  <w:font w:name="MingLiU">
    <w:altName w:val="PMingLiU-ExtB"/>
    <w:panose1 w:val="02010609000101010101"/>
    <w:charset w:val="88"/>
    <w:family w:val="modern"/>
    <w:pitch w:val="default"/>
    <w:sig w:usb0="00000000" w:usb1="00000000" w:usb2="00000016" w:usb3="00000000" w:csb0="00100001" w:csb1="00000000"/>
  </w:font>
  <w:font w:name="Candara">
    <w:panose1 w:val="020E0502030303020204"/>
    <w:charset w:val="00"/>
    <w:family w:val="swiss"/>
    <w:pitch w:val="default"/>
    <w:sig w:usb0="A00002EF" w:usb1="4000A44B" w:usb2="00000000" w:usb3="00000000" w:csb0="2000019F" w:csb1="00000000"/>
  </w:font>
  <w:font w:name="KSOFE8859BCF">
    <w:panose1 w:val="020106090601010101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 w:name="KSOF6B65719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32E87">
    <w:pPr>
      <w:pStyle w:val="20"/>
      <w:tabs>
        <w:tab w:val="center" w:pos="4153"/>
        <w:tab w:val="right"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35300">
    <w:pPr>
      <w:pStyle w:val="20"/>
      <w:tabs>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402B7">
    <w:pPr>
      <w:pStyle w:val="20"/>
      <w:tabs>
        <w:tab w:val="center" w:pos="4153"/>
        <w:tab w:val="right" w:pos="8306"/>
      </w:tabs>
      <w:jc w:val="center"/>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3C4DD3">
                          <w:pPr>
                            <w:pStyle w:val="20"/>
                            <w:tabs>
                              <w:tab w:val="center" w:pos="4153"/>
                              <w:tab w:val="right" w:pos="8306"/>
                            </w:tabs>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43C4DD3">
                    <w:pPr>
                      <w:pStyle w:val="20"/>
                      <w:tabs>
                        <w:tab w:val="center" w:pos="4153"/>
                        <w:tab w:val="right" w:pos="8306"/>
                      </w:tabs>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7D0FE424">
    <w:pPr>
      <w:pStyle w:val="20"/>
      <w:tabs>
        <w:tab w:val="center" w:pos="4153"/>
        <w:tab w:val="right"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8F58B">
    <w:pPr>
      <w:pStyle w:val="20"/>
      <w:tabs>
        <w:tab w:val="center" w:pos="4153"/>
        <w:tab w:val="right" w:pos="8306"/>
      </w:tabs>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A33AE">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84A33AE">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C1A7A">
    <w:pPr>
      <w:spacing w:before="0" w:after="0" w:line="14" w:lineRule="auto"/>
      <w:rPr>
        <w:sz w:val="2"/>
        <w:szCs w:val="2"/>
      </w:rPr>
    </w:pPr>
    <w:r>
      <w:rPr>
        <w:sz w:val="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300CBB">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2300CBB">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517DE">
    <w:pPr>
      <w:pStyle w:val="20"/>
      <w:tabs>
        <w:tab w:val="center" w:pos="4153"/>
        <w:tab w:val="right" w:pos="8306"/>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2DADFAF">
                          <w:pPr>
                            <w:pStyle w:val="20"/>
                            <w:tabs>
                              <w:tab w:val="center" w:pos="4153"/>
                              <w:tab w:val="right" w:pos="8306"/>
                            </w:tabs>
                          </w:pPr>
                          <w:r>
                            <w:fldChar w:fldCharType="begin"/>
                          </w:r>
                          <w:r>
                            <w:instrText xml:space="preserve"> PAGE  \* MERGEFORMAT </w:instrText>
                          </w:r>
                          <w:r>
                            <w:fldChar w:fldCharType="separate"/>
                          </w:r>
                          <w:r>
                            <w:t>88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22DADFAF">
                    <w:pPr>
                      <w:pStyle w:val="20"/>
                      <w:tabs>
                        <w:tab w:val="center" w:pos="4153"/>
                        <w:tab w:val="right" w:pos="8306"/>
                      </w:tabs>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FAEB4">
    <w:pPr>
      <w:pStyle w:val="2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7B690">
                          <w:pPr>
                            <w:pStyle w:val="20"/>
                          </w:pPr>
                          <w:r>
                            <w:fldChar w:fldCharType="begin"/>
                          </w:r>
                          <w:r>
                            <w:instrText xml:space="preserve"> PAGE  \* MERGEFORMAT </w:instrText>
                          </w:r>
                          <w:r>
                            <w:fldChar w:fldCharType="separate"/>
                          </w:r>
                          <w:r>
                            <w:t>134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AA7B690">
                    <w:pPr>
                      <w:pStyle w:val="20"/>
                    </w:pPr>
                    <w:r>
                      <w:fldChar w:fldCharType="begin"/>
                    </w:r>
                    <w:r>
                      <w:instrText xml:space="preserve"> PAGE  \* MERGEFORMAT </w:instrText>
                    </w:r>
                    <w:r>
                      <w:fldChar w:fldCharType="separate"/>
                    </w:r>
                    <w:r>
                      <w:t>134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CF0DB">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12ECE">
                          <w:pPr>
                            <w:pStyle w:val="20"/>
                          </w:pPr>
                          <w:r>
                            <w:fldChar w:fldCharType="begin"/>
                          </w:r>
                          <w:r>
                            <w:instrText xml:space="preserve"> PAGE  \* MERGEFORMAT </w:instrText>
                          </w:r>
                          <w:r>
                            <w:fldChar w:fldCharType="separate"/>
                          </w:r>
                          <w:r>
                            <w:t>133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E512ECE">
                    <w:pPr>
                      <w:pStyle w:val="20"/>
                    </w:pPr>
                    <w:r>
                      <w:fldChar w:fldCharType="begin"/>
                    </w:r>
                    <w:r>
                      <w:instrText xml:space="preserve"> PAGE  \* MERGEFORMAT </w:instrText>
                    </w:r>
                    <w:r>
                      <w:fldChar w:fldCharType="separate"/>
                    </w:r>
                    <w:r>
                      <w:t>133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4310A">
    <w:pPr>
      <w:pStyle w:val="21"/>
      <w:pBdr>
        <w:bottom w:val="none" w:color="auto" w:sz="0" w:space="0"/>
      </w:pBdr>
      <w:tabs>
        <w:tab w:val="center" w:pos="4153"/>
        <w:tab w:val="right"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1A75E">
    <w:pPr>
      <w:pStyle w:val="21"/>
      <w:pBdr>
        <w:bottom w:val="none" w:color="auto" w:sz="0" w:space="0"/>
      </w:pBdr>
      <w:tabs>
        <w:tab w:val="center" w:pos="4153"/>
        <w:tab w:val="right"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21E82">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1344D">
    <w:pPr>
      <w:pStyle w:val="2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90D25">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9318">
    <w:pPr>
      <w:pStyle w:val="21"/>
      <w:tabs>
        <w:tab w:val="center" w:pos="4153"/>
        <w:tab w:val="right" w:pos="8306"/>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4394A">
    <w:pPr>
      <w:pStyle w:val="2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D8F92">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0CBB3">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937E27"/>
    <w:multiLevelType w:val="singleLevel"/>
    <w:tmpl w:val="B6937E27"/>
    <w:lvl w:ilvl="0" w:tentative="0">
      <w:start w:val="1"/>
      <w:numFmt w:val="decimal"/>
      <w:suff w:val="nothing"/>
      <w:lvlText w:val="（%1）"/>
      <w:lvlJc w:val="left"/>
    </w:lvl>
  </w:abstractNum>
  <w:abstractNum w:abstractNumId="1">
    <w:nsid w:val="2027350F"/>
    <w:multiLevelType w:val="multilevel"/>
    <w:tmpl w:val="2027350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219DF0C"/>
    <w:multiLevelType w:val="singleLevel"/>
    <w:tmpl w:val="4219DF0C"/>
    <w:lvl w:ilvl="0" w:tentative="0">
      <w:start w:val="10"/>
      <w:numFmt w:val="decimal"/>
      <w:suff w:val="space"/>
      <w:lvlText w:val="%1."/>
      <w:lvlJc w:val="left"/>
    </w:lvl>
  </w:abstractNum>
  <w:abstractNum w:abstractNumId="3">
    <w:nsid w:val="428D6BFA"/>
    <w:multiLevelType w:val="multilevel"/>
    <w:tmpl w:val="428D6BFA"/>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C11E063"/>
    <w:multiLevelType w:val="singleLevel"/>
    <w:tmpl w:val="4C11E063"/>
    <w:lvl w:ilvl="0" w:tentative="0">
      <w:start w:val="1"/>
      <w:numFmt w:val="lowerLetter"/>
      <w:lvlText w:val="%1."/>
      <w:lvlJc w:val="left"/>
      <w:pPr>
        <w:tabs>
          <w:tab w:val="left" w:pos="312"/>
        </w:tabs>
      </w:pPr>
    </w:lvl>
  </w:abstractNum>
  <w:num w:numId="1">
    <w:abstractNumId w:val="2"/>
  </w:num>
  <w:num w:numId="2">
    <w:abstractNumId w:val="0"/>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9D6123"/>
    <w:rsid w:val="009B68BA"/>
    <w:rsid w:val="011802E1"/>
    <w:rsid w:val="015416E7"/>
    <w:rsid w:val="0172748F"/>
    <w:rsid w:val="020D4BEC"/>
    <w:rsid w:val="023B0973"/>
    <w:rsid w:val="02C8355E"/>
    <w:rsid w:val="03D93C1E"/>
    <w:rsid w:val="04356F3B"/>
    <w:rsid w:val="04615859"/>
    <w:rsid w:val="05D75C71"/>
    <w:rsid w:val="05F732E7"/>
    <w:rsid w:val="061816F7"/>
    <w:rsid w:val="067032E2"/>
    <w:rsid w:val="07A56FBB"/>
    <w:rsid w:val="07AB35C8"/>
    <w:rsid w:val="08DB1294"/>
    <w:rsid w:val="091361A6"/>
    <w:rsid w:val="094B23D3"/>
    <w:rsid w:val="09631DB4"/>
    <w:rsid w:val="09C16A5F"/>
    <w:rsid w:val="0A1506D3"/>
    <w:rsid w:val="0A6F38B0"/>
    <w:rsid w:val="0A83711F"/>
    <w:rsid w:val="0A8F4C91"/>
    <w:rsid w:val="0ADD5B52"/>
    <w:rsid w:val="0B0A13B9"/>
    <w:rsid w:val="0B13787C"/>
    <w:rsid w:val="0B2578C4"/>
    <w:rsid w:val="0BBB7727"/>
    <w:rsid w:val="0BFF07E0"/>
    <w:rsid w:val="0C655925"/>
    <w:rsid w:val="0D173089"/>
    <w:rsid w:val="0DC61A39"/>
    <w:rsid w:val="0DD75680"/>
    <w:rsid w:val="0E3959B5"/>
    <w:rsid w:val="0E961A71"/>
    <w:rsid w:val="0F2403D3"/>
    <w:rsid w:val="1011745A"/>
    <w:rsid w:val="10746B3D"/>
    <w:rsid w:val="10AD6B6D"/>
    <w:rsid w:val="10AE33DE"/>
    <w:rsid w:val="10C800EF"/>
    <w:rsid w:val="110B2617"/>
    <w:rsid w:val="111655F2"/>
    <w:rsid w:val="11194576"/>
    <w:rsid w:val="1160689C"/>
    <w:rsid w:val="123506D6"/>
    <w:rsid w:val="13160BA1"/>
    <w:rsid w:val="13516249"/>
    <w:rsid w:val="13601E38"/>
    <w:rsid w:val="13664E85"/>
    <w:rsid w:val="13D725BC"/>
    <w:rsid w:val="14836DB7"/>
    <w:rsid w:val="15320874"/>
    <w:rsid w:val="17F4375B"/>
    <w:rsid w:val="181F06C4"/>
    <w:rsid w:val="18280CFE"/>
    <w:rsid w:val="18A237AC"/>
    <w:rsid w:val="1A3559D5"/>
    <w:rsid w:val="1AD87FFA"/>
    <w:rsid w:val="1ADA66DE"/>
    <w:rsid w:val="1B1C1260"/>
    <w:rsid w:val="1B730995"/>
    <w:rsid w:val="1C3C12E2"/>
    <w:rsid w:val="1C6C4C37"/>
    <w:rsid w:val="1D4A6D95"/>
    <w:rsid w:val="1D844CBF"/>
    <w:rsid w:val="1E5B441F"/>
    <w:rsid w:val="203942EC"/>
    <w:rsid w:val="20B01709"/>
    <w:rsid w:val="21BB2A7B"/>
    <w:rsid w:val="21DE311D"/>
    <w:rsid w:val="223A1B3F"/>
    <w:rsid w:val="240E05F5"/>
    <w:rsid w:val="244E17C6"/>
    <w:rsid w:val="24D9609E"/>
    <w:rsid w:val="26AF70B6"/>
    <w:rsid w:val="26E928A1"/>
    <w:rsid w:val="27055676"/>
    <w:rsid w:val="272730F1"/>
    <w:rsid w:val="27C60B5C"/>
    <w:rsid w:val="2801645C"/>
    <w:rsid w:val="28574CEA"/>
    <w:rsid w:val="28895E5D"/>
    <w:rsid w:val="28A00A82"/>
    <w:rsid w:val="28F01F05"/>
    <w:rsid w:val="293A1E76"/>
    <w:rsid w:val="29A100A6"/>
    <w:rsid w:val="2A4D7372"/>
    <w:rsid w:val="2ABD5256"/>
    <w:rsid w:val="2B5C71EC"/>
    <w:rsid w:val="2B71245C"/>
    <w:rsid w:val="2B8D3D88"/>
    <w:rsid w:val="2D21349B"/>
    <w:rsid w:val="2D3E6814"/>
    <w:rsid w:val="2DAC674F"/>
    <w:rsid w:val="2DBF09AB"/>
    <w:rsid w:val="2DCC2C44"/>
    <w:rsid w:val="2DDF13FE"/>
    <w:rsid w:val="2EFE112F"/>
    <w:rsid w:val="2F4B380B"/>
    <w:rsid w:val="2F944FDE"/>
    <w:rsid w:val="31014FEA"/>
    <w:rsid w:val="31EF49ED"/>
    <w:rsid w:val="327159CF"/>
    <w:rsid w:val="32812F75"/>
    <w:rsid w:val="32E00B94"/>
    <w:rsid w:val="332633D4"/>
    <w:rsid w:val="33AA5A5A"/>
    <w:rsid w:val="33C57D06"/>
    <w:rsid w:val="34CD27CC"/>
    <w:rsid w:val="34FD7B87"/>
    <w:rsid w:val="353A0493"/>
    <w:rsid w:val="35612026"/>
    <w:rsid w:val="35C74615"/>
    <w:rsid w:val="35D4040C"/>
    <w:rsid w:val="362E16A7"/>
    <w:rsid w:val="369938DF"/>
    <w:rsid w:val="37044AB5"/>
    <w:rsid w:val="3727673C"/>
    <w:rsid w:val="375657B1"/>
    <w:rsid w:val="37914FF6"/>
    <w:rsid w:val="37D0718F"/>
    <w:rsid w:val="37D3697D"/>
    <w:rsid w:val="389F7C3A"/>
    <w:rsid w:val="39AB195F"/>
    <w:rsid w:val="3A345DF9"/>
    <w:rsid w:val="3A806485"/>
    <w:rsid w:val="3AF32936"/>
    <w:rsid w:val="3B0741BF"/>
    <w:rsid w:val="3B97172B"/>
    <w:rsid w:val="3C0E61B4"/>
    <w:rsid w:val="3C656CE0"/>
    <w:rsid w:val="3CB736D4"/>
    <w:rsid w:val="3CE1017B"/>
    <w:rsid w:val="3DAE7C70"/>
    <w:rsid w:val="3E284505"/>
    <w:rsid w:val="3E303B8F"/>
    <w:rsid w:val="3F9B06C8"/>
    <w:rsid w:val="3FBD584C"/>
    <w:rsid w:val="40F61110"/>
    <w:rsid w:val="41317350"/>
    <w:rsid w:val="41C51A2C"/>
    <w:rsid w:val="41D60436"/>
    <w:rsid w:val="421502BE"/>
    <w:rsid w:val="42B35F10"/>
    <w:rsid w:val="42E2552F"/>
    <w:rsid w:val="435074A8"/>
    <w:rsid w:val="4382626E"/>
    <w:rsid w:val="43B93802"/>
    <w:rsid w:val="43D1290A"/>
    <w:rsid w:val="447B26A2"/>
    <w:rsid w:val="44F70CB5"/>
    <w:rsid w:val="45091C30"/>
    <w:rsid w:val="460C1A2C"/>
    <w:rsid w:val="46667A13"/>
    <w:rsid w:val="467A34E7"/>
    <w:rsid w:val="46965745"/>
    <w:rsid w:val="46EE5581"/>
    <w:rsid w:val="46F42D7C"/>
    <w:rsid w:val="483E7495"/>
    <w:rsid w:val="488021D7"/>
    <w:rsid w:val="492F0F49"/>
    <w:rsid w:val="49383123"/>
    <w:rsid w:val="49665436"/>
    <w:rsid w:val="49B61E52"/>
    <w:rsid w:val="4A2731E8"/>
    <w:rsid w:val="4A653DFE"/>
    <w:rsid w:val="4AA02F8B"/>
    <w:rsid w:val="4AEE728F"/>
    <w:rsid w:val="4AF40DEB"/>
    <w:rsid w:val="4B1F5D72"/>
    <w:rsid w:val="4BBE31FB"/>
    <w:rsid w:val="4CD621BE"/>
    <w:rsid w:val="4D1E35BD"/>
    <w:rsid w:val="4DEC34D2"/>
    <w:rsid w:val="4EAC7F2D"/>
    <w:rsid w:val="50303D46"/>
    <w:rsid w:val="506307A4"/>
    <w:rsid w:val="51FF53E1"/>
    <w:rsid w:val="523C0E6D"/>
    <w:rsid w:val="526C0667"/>
    <w:rsid w:val="529D2BFB"/>
    <w:rsid w:val="52D81AC8"/>
    <w:rsid w:val="533D4D64"/>
    <w:rsid w:val="54464DDF"/>
    <w:rsid w:val="547D2A60"/>
    <w:rsid w:val="54C16B7B"/>
    <w:rsid w:val="54FB1594"/>
    <w:rsid w:val="553B62FA"/>
    <w:rsid w:val="55FB7373"/>
    <w:rsid w:val="562D5C92"/>
    <w:rsid w:val="564F3020"/>
    <w:rsid w:val="587A058F"/>
    <w:rsid w:val="597F02A1"/>
    <w:rsid w:val="5C16520E"/>
    <w:rsid w:val="5C2A72AF"/>
    <w:rsid w:val="5D254A52"/>
    <w:rsid w:val="5D307731"/>
    <w:rsid w:val="5DD918BF"/>
    <w:rsid w:val="5EEC59B8"/>
    <w:rsid w:val="5F6030FF"/>
    <w:rsid w:val="5FCC652B"/>
    <w:rsid w:val="6028345A"/>
    <w:rsid w:val="60700B70"/>
    <w:rsid w:val="62970423"/>
    <w:rsid w:val="63471E49"/>
    <w:rsid w:val="6421062F"/>
    <w:rsid w:val="657318E8"/>
    <w:rsid w:val="66352476"/>
    <w:rsid w:val="67912D2E"/>
    <w:rsid w:val="67A220F8"/>
    <w:rsid w:val="68652C4B"/>
    <w:rsid w:val="68A66F76"/>
    <w:rsid w:val="692A1AE0"/>
    <w:rsid w:val="69536C84"/>
    <w:rsid w:val="6A482675"/>
    <w:rsid w:val="6A967A4C"/>
    <w:rsid w:val="6AB82EA8"/>
    <w:rsid w:val="6AF91C7B"/>
    <w:rsid w:val="6BA0733A"/>
    <w:rsid w:val="6BC92E1D"/>
    <w:rsid w:val="6C40252E"/>
    <w:rsid w:val="6C69456F"/>
    <w:rsid w:val="6DC61CBE"/>
    <w:rsid w:val="6DF1172F"/>
    <w:rsid w:val="6E351F90"/>
    <w:rsid w:val="6EAF19FF"/>
    <w:rsid w:val="6EBD2C54"/>
    <w:rsid w:val="6FA47BE8"/>
    <w:rsid w:val="70307F6E"/>
    <w:rsid w:val="70921316"/>
    <w:rsid w:val="711C542C"/>
    <w:rsid w:val="717B1DA2"/>
    <w:rsid w:val="717E20A3"/>
    <w:rsid w:val="719974E5"/>
    <w:rsid w:val="71A453FC"/>
    <w:rsid w:val="721455EC"/>
    <w:rsid w:val="722717C4"/>
    <w:rsid w:val="72A5676D"/>
    <w:rsid w:val="73021BDB"/>
    <w:rsid w:val="73CE69D0"/>
    <w:rsid w:val="73D404BC"/>
    <w:rsid w:val="74065409"/>
    <w:rsid w:val="746918AE"/>
    <w:rsid w:val="74B03CF2"/>
    <w:rsid w:val="74B64E68"/>
    <w:rsid w:val="74C02EB9"/>
    <w:rsid w:val="74E24046"/>
    <w:rsid w:val="750357EF"/>
    <w:rsid w:val="754B46EE"/>
    <w:rsid w:val="75F95225"/>
    <w:rsid w:val="76324596"/>
    <w:rsid w:val="76393874"/>
    <w:rsid w:val="766B7842"/>
    <w:rsid w:val="76896614"/>
    <w:rsid w:val="76BB75CB"/>
    <w:rsid w:val="77D4468A"/>
    <w:rsid w:val="77EA2C39"/>
    <w:rsid w:val="781754D2"/>
    <w:rsid w:val="787B1E58"/>
    <w:rsid w:val="789D6123"/>
    <w:rsid w:val="791D480C"/>
    <w:rsid w:val="79446CD2"/>
    <w:rsid w:val="79A75FA3"/>
    <w:rsid w:val="7A57076C"/>
    <w:rsid w:val="7B1E609F"/>
    <w:rsid w:val="7B81057E"/>
    <w:rsid w:val="7BC379C1"/>
    <w:rsid w:val="7D001153"/>
    <w:rsid w:val="7D032E2D"/>
    <w:rsid w:val="7D4A0A5C"/>
    <w:rsid w:val="7DE77FE6"/>
    <w:rsid w:val="7FBB59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1"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99"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line="576" w:lineRule="auto"/>
      <w:outlineLvl w:val="0"/>
    </w:pPr>
    <w:rPr>
      <w:b/>
      <w:kern w:val="44"/>
      <w:sz w:val="44"/>
      <w:szCs w:val="44"/>
    </w:rPr>
  </w:style>
  <w:style w:type="paragraph" w:styleId="3">
    <w:name w:val="heading 2"/>
    <w:basedOn w:val="1"/>
    <w:next w:val="1"/>
    <w:qFormat/>
    <w:uiPriority w:val="99"/>
    <w:pPr>
      <w:keepNext/>
      <w:spacing w:before="100" w:beforeAutospacing="1" w:after="100" w:afterAutospacing="1" w:line="480" w:lineRule="auto"/>
      <w:ind w:left="1548" w:hanging="1128"/>
      <w:outlineLvl w:val="1"/>
    </w:pPr>
    <w:rPr>
      <w:rFonts w:ascii="黑体" w:hAnsi="宋体" w:eastAsia="黑体"/>
      <w:color w:val="000000"/>
      <w:sz w:val="32"/>
      <w:szCs w:val="32"/>
    </w:rPr>
  </w:style>
  <w:style w:type="paragraph" w:styleId="4">
    <w:name w:val="heading 3"/>
    <w:basedOn w:val="1"/>
    <w:next w:val="1"/>
    <w:qFormat/>
    <w:uiPriority w:val="99"/>
    <w:pPr>
      <w:keepNext/>
      <w:spacing w:before="100" w:beforeAutospacing="1" w:after="100" w:afterAutospacing="1"/>
      <w:ind w:left="2940" w:hanging="420"/>
      <w:outlineLvl w:val="2"/>
    </w:pPr>
    <w:rPr>
      <w:rFonts w:eastAsia="黑体"/>
      <w:b/>
      <w:bCs/>
      <w:sz w:val="30"/>
      <w:szCs w:val="30"/>
    </w:rPr>
  </w:style>
  <w:style w:type="paragraph" w:styleId="5">
    <w:name w:val="heading 4"/>
    <w:basedOn w:val="1"/>
    <w:qFormat/>
    <w:uiPriority w:val="1"/>
    <w:pPr>
      <w:spacing w:before="4"/>
      <w:ind w:left="1668"/>
      <w:outlineLvl w:val="4"/>
    </w:pPr>
    <w:rPr>
      <w:rFonts w:ascii="黑体" w:hAnsi="黑体" w:eastAsia="黑体"/>
      <w:sz w:val="31"/>
      <w:szCs w:val="31"/>
      <w:u w:val="single"/>
    </w:rPr>
  </w:style>
  <w:style w:type="paragraph" w:styleId="6">
    <w:name w:val="heading 5"/>
    <w:basedOn w:val="1"/>
    <w:qFormat/>
    <w:uiPriority w:val="1"/>
    <w:pPr>
      <w:spacing w:before="7"/>
      <w:outlineLvl w:val="5"/>
    </w:pPr>
    <w:rPr>
      <w:rFonts w:ascii="黑体" w:hAnsi="黑体" w:eastAsia="黑体"/>
      <w:sz w:val="30"/>
      <w:szCs w:val="30"/>
    </w:rPr>
  </w:style>
  <w:style w:type="character" w:default="1" w:styleId="30">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adjustRightInd w:val="0"/>
      <w:ind w:firstLine="420"/>
      <w:jc w:val="left"/>
      <w:textAlignment w:val="baseline"/>
    </w:pPr>
    <w:rPr>
      <w:rFonts w:eastAsia="楷体_GB2312"/>
      <w:sz w:val="24"/>
    </w:rPr>
  </w:style>
  <w:style w:type="paragraph" w:styleId="8">
    <w:name w:val="annotation text"/>
    <w:basedOn w:val="1"/>
    <w:qFormat/>
    <w:uiPriority w:val="0"/>
    <w:pPr>
      <w:jc w:val="left"/>
    </w:pPr>
  </w:style>
  <w:style w:type="paragraph" w:styleId="9">
    <w:name w:val="Salutation"/>
    <w:basedOn w:val="1"/>
    <w:next w:val="1"/>
    <w:unhideWhenUsed/>
    <w:qFormat/>
    <w:uiPriority w:val="99"/>
    <w:rPr>
      <w:rFonts w:ascii="宋体"/>
      <w:sz w:val="24"/>
      <w:szCs w:val="24"/>
    </w:rPr>
  </w:style>
  <w:style w:type="paragraph" w:styleId="10">
    <w:name w:val="Body Text"/>
    <w:basedOn w:val="1"/>
    <w:next w:val="11"/>
    <w:unhideWhenUsed/>
    <w:qFormat/>
    <w:uiPriority w:val="99"/>
    <w:pPr>
      <w:spacing w:line="520" w:lineRule="exact"/>
    </w:pPr>
    <w:rPr>
      <w:rFonts w:ascii="方正仿宋_GB2312" w:hAnsi="宋体"/>
      <w:color w:val="008000"/>
      <w:sz w:val="24"/>
      <w:szCs w:val="24"/>
    </w:rPr>
  </w:style>
  <w:style w:type="paragraph" w:customStyle="1" w:styleId="11">
    <w:name w:val="style4"/>
    <w:basedOn w:val="12"/>
    <w:next w:val="14"/>
    <w:qFormat/>
    <w:uiPriority w:val="0"/>
    <w:pPr>
      <w:spacing w:before="280" w:after="280"/>
      <w:jc w:val="both"/>
    </w:pPr>
    <w:rPr>
      <w:rFonts w:ascii="宋体"/>
      <w:kern w:val="2"/>
      <w:sz w:val="18"/>
      <w:lang w:val="en-US" w:eastAsia="zh-CN" w:bidi="ar-SA"/>
    </w:rPr>
  </w:style>
  <w:style w:type="paragraph" w:customStyle="1" w:styleId="12">
    <w:name w:val="Normal"/>
    <w:next w:val="13"/>
    <w:qFormat/>
    <w:uiPriority w:val="0"/>
    <w:pPr>
      <w:widowControl w:val="0"/>
      <w:jc w:val="both"/>
    </w:pPr>
    <w:rPr>
      <w:rFonts w:ascii="方正仿宋_GB2312" w:hAnsi="方正仿宋_GB2312" w:eastAsia="方正仿宋_GB2312" w:cs="Times New Roman"/>
      <w:kern w:val="2"/>
      <w:sz w:val="21"/>
      <w:szCs w:val="24"/>
      <w:lang w:val="en-US" w:eastAsia="zh-CN" w:bidi="ar-SA"/>
    </w:rPr>
  </w:style>
  <w:style w:type="paragraph" w:styleId="13">
    <w:name w:val="Body Text First Indent"/>
    <w:basedOn w:val="10"/>
    <w:next w:val="1"/>
    <w:unhideWhenUsed/>
    <w:qFormat/>
    <w:uiPriority w:val="99"/>
    <w:pPr>
      <w:spacing w:line="360" w:lineRule="auto"/>
      <w:ind w:firstLine="420" w:firstLineChars="100"/>
    </w:pPr>
  </w:style>
  <w:style w:type="paragraph" w:customStyle="1" w:styleId="14">
    <w:name w:val="2"/>
    <w:next w:val="1"/>
    <w:qFormat/>
    <w:uiPriority w:val="0"/>
    <w:pPr>
      <w:widowControl w:val="0"/>
      <w:jc w:val="both"/>
    </w:pPr>
    <w:rPr>
      <w:rFonts w:ascii="Calibri" w:hAnsi="Calibri" w:eastAsia="宋体" w:cs="Times New Roman"/>
      <w:sz w:val="21"/>
      <w:szCs w:val="22"/>
      <w:lang w:val="en-US" w:eastAsia="zh-CN" w:bidi="ar-SA"/>
    </w:rPr>
  </w:style>
  <w:style w:type="paragraph" w:styleId="15">
    <w:name w:val="Body Text Indent"/>
    <w:basedOn w:val="1"/>
    <w:next w:val="16"/>
    <w:unhideWhenUsed/>
    <w:qFormat/>
    <w:uiPriority w:val="99"/>
    <w:pPr>
      <w:spacing w:line="360" w:lineRule="auto"/>
      <w:ind w:firstLine="482" w:firstLineChars="100"/>
      <w:jc w:val="center"/>
    </w:pPr>
    <w:rPr>
      <w:rFonts w:ascii="黑体" w:eastAsia="黑体"/>
      <w:b/>
      <w:sz w:val="48"/>
      <w:szCs w:val="48"/>
    </w:rPr>
  </w:style>
  <w:style w:type="paragraph" w:styleId="16">
    <w:name w:val="envelope return"/>
    <w:basedOn w:val="1"/>
    <w:unhideWhenUsed/>
    <w:qFormat/>
    <w:uiPriority w:val="99"/>
    <w:pPr>
      <w:snapToGrid w:val="0"/>
    </w:pPr>
    <w:rPr>
      <w:rFonts w:ascii="Arial" w:hAnsi="Arial"/>
    </w:rPr>
  </w:style>
  <w:style w:type="paragraph" w:styleId="17">
    <w:name w:val="toc 3"/>
    <w:basedOn w:val="1"/>
    <w:next w:val="1"/>
    <w:qFormat/>
    <w:uiPriority w:val="0"/>
    <w:pPr>
      <w:ind w:left="840" w:leftChars="400"/>
    </w:pPr>
  </w:style>
  <w:style w:type="paragraph" w:styleId="18">
    <w:name w:val="Plain Text"/>
    <w:basedOn w:val="1"/>
    <w:next w:val="10"/>
    <w:unhideWhenUsed/>
    <w:qFormat/>
    <w:uiPriority w:val="99"/>
    <w:rPr>
      <w:rFonts w:ascii="宋体" w:hAnsi="Courier New"/>
    </w:rPr>
  </w:style>
  <w:style w:type="paragraph" w:styleId="19">
    <w:name w:val="Body Text Indent 2"/>
    <w:basedOn w:val="1"/>
    <w:qFormat/>
    <w:uiPriority w:val="0"/>
    <w:pPr>
      <w:spacing w:after="120" w:line="480" w:lineRule="auto"/>
      <w:ind w:left="200" w:leftChars="200"/>
    </w:pPr>
  </w:style>
  <w:style w:type="paragraph" w:styleId="20">
    <w:name w:val="footer"/>
    <w:basedOn w:val="1"/>
    <w:unhideWhenUsed/>
    <w:qFormat/>
    <w:uiPriority w:val="99"/>
    <w:pPr>
      <w:snapToGrid w:val="0"/>
      <w:jc w:val="left"/>
    </w:pPr>
    <w:rPr>
      <w:sz w:val="18"/>
      <w:szCs w:val="18"/>
    </w:rPr>
  </w:style>
  <w:style w:type="paragraph" w:styleId="21">
    <w:name w:val="header"/>
    <w:basedOn w:val="1"/>
    <w:unhideWhenUsed/>
    <w:qFormat/>
    <w:uiPriority w:val="99"/>
    <w:pPr>
      <w:snapToGrid w:val="0"/>
    </w:pPr>
    <w:rPr>
      <w:sz w:val="18"/>
      <w:szCs w:val="18"/>
    </w:rPr>
  </w:style>
  <w:style w:type="paragraph" w:styleId="22">
    <w:name w:val="toc 1"/>
    <w:basedOn w:val="1"/>
    <w:next w:val="1"/>
    <w:unhideWhenUsed/>
    <w:qFormat/>
    <w:uiPriority w:val="99"/>
    <w:pPr>
      <w:spacing w:line="360" w:lineRule="auto"/>
    </w:pPr>
    <w:rPr>
      <w:rFonts w:ascii="黑体" w:eastAsia="黑体"/>
      <w:b/>
      <w:bCs/>
      <w:sz w:val="24"/>
      <w:szCs w:val="24"/>
    </w:rPr>
  </w:style>
  <w:style w:type="paragraph" w:styleId="23">
    <w:name w:val="footnote text"/>
    <w:basedOn w:val="1"/>
    <w:semiHidden/>
    <w:qFormat/>
    <w:uiPriority w:val="0"/>
    <w:pPr>
      <w:snapToGrid w:val="0"/>
      <w:jc w:val="left"/>
    </w:pPr>
    <w:rPr>
      <w:sz w:val="18"/>
      <w:szCs w:val="18"/>
    </w:rPr>
  </w:style>
  <w:style w:type="paragraph" w:styleId="24">
    <w:name w:val="toc 2"/>
    <w:basedOn w:val="1"/>
    <w:next w:val="1"/>
    <w:qFormat/>
    <w:uiPriority w:val="0"/>
    <w:pPr>
      <w:ind w:left="420" w:leftChars="200"/>
    </w:pPr>
  </w:style>
  <w:style w:type="paragraph" w:styleId="25">
    <w:name w:val="Body Text 2"/>
    <w:basedOn w:val="1"/>
    <w:next w:val="10"/>
    <w:qFormat/>
    <w:uiPriority w:val="0"/>
    <w:pPr>
      <w:spacing w:line="500" w:lineRule="exact"/>
      <w:jc w:val="center"/>
    </w:pPr>
    <w:rPr>
      <w:rFonts w:hAnsi="宋体" w:eastAsia="方正小标宋_GBK"/>
      <w:spacing w:val="-20"/>
      <w:sz w:val="44"/>
    </w:rPr>
  </w:style>
  <w:style w:type="paragraph" w:styleId="26">
    <w:name w:val="Normal (Web)"/>
    <w:basedOn w:val="1"/>
    <w:unhideWhenUsed/>
    <w:qFormat/>
    <w:uiPriority w:val="99"/>
    <w:pPr>
      <w:jc w:val="left"/>
    </w:pPr>
    <w:rPr>
      <w:kern w:val="0"/>
      <w:sz w:val="24"/>
      <w:szCs w:val="24"/>
    </w:rPr>
  </w:style>
  <w:style w:type="paragraph" w:styleId="27">
    <w:name w:val="Title"/>
    <w:basedOn w:val="1"/>
    <w:next w:val="1"/>
    <w:link w:val="42"/>
    <w:qFormat/>
    <w:uiPriority w:val="99"/>
    <w:pPr>
      <w:jc w:val="center"/>
      <w:outlineLvl w:val="0"/>
    </w:pPr>
    <w:rPr>
      <w:rFonts w:ascii="Cambria" w:hAnsi="Cambria"/>
      <w:b/>
      <w:bCs/>
      <w:sz w:val="32"/>
      <w:szCs w:val="32"/>
    </w:rPr>
  </w:style>
  <w:style w:type="paragraph" w:styleId="28">
    <w:name w:val="Body Text First Indent 2"/>
    <w:basedOn w:val="15"/>
    <w:next w:val="13"/>
    <w:unhideWhenUsed/>
    <w:qFormat/>
    <w:uiPriority w:val="99"/>
    <w:pPr>
      <w:ind w:firstLine="420" w:firstLineChars="200"/>
    </w:pPr>
    <w:rPr>
      <w:sz w:val="21"/>
    </w:rPr>
  </w:style>
  <w:style w:type="character" w:styleId="31">
    <w:name w:val="Hyperlink"/>
    <w:basedOn w:val="30"/>
    <w:qFormat/>
    <w:uiPriority w:val="0"/>
    <w:rPr>
      <w:rFonts w:cs="Times New Roman"/>
      <w:color w:val="0000FF"/>
      <w:u w:val="single"/>
    </w:rPr>
  </w:style>
  <w:style w:type="paragraph" w:customStyle="1" w:styleId="32">
    <w:name w:val="正文文本8"/>
    <w:basedOn w:val="1"/>
    <w:qFormat/>
    <w:uiPriority w:val="0"/>
    <w:pPr>
      <w:shd w:val="clear" w:color="auto" w:fill="FFFFFF"/>
      <w:spacing w:line="398" w:lineRule="exact"/>
      <w:ind w:hanging="3860"/>
      <w:jc w:val="distribute"/>
    </w:pPr>
    <w:rPr>
      <w:rFonts w:ascii="PMingLiU-ExtB" w:hAnsi="PMingLiU-ExtB" w:eastAsia="PMingLiU-ExtB" w:cs="宋体"/>
      <w:sz w:val="22"/>
      <w:szCs w:val="22"/>
    </w:rPr>
  </w:style>
  <w:style w:type="paragraph" w:customStyle="1" w:styleId="33">
    <w:name w:val="p0"/>
    <w:basedOn w:val="1"/>
    <w:qFormat/>
    <w:uiPriority w:val="0"/>
    <w:pPr>
      <w:widowControl/>
      <w:jc w:val="left"/>
    </w:pPr>
    <w:rPr>
      <w:rFonts w:ascii="宋体" w:hAnsi="宋体" w:cs="宋体"/>
      <w:kern w:val="0"/>
      <w:sz w:val="24"/>
      <w:szCs w:val="24"/>
    </w:rPr>
  </w:style>
  <w:style w:type="paragraph" w:customStyle="1" w:styleId="34">
    <w:name w:val="Default"/>
    <w:basedOn w:val="18"/>
    <w:next w:val="23"/>
    <w:qFormat/>
    <w:uiPriority w:val="0"/>
    <w:pPr>
      <w:autoSpaceDE w:val="0"/>
      <w:autoSpaceDN w:val="0"/>
      <w:adjustRightInd w:val="0"/>
      <w:jc w:val="left"/>
    </w:pPr>
    <w:rPr>
      <w:rFonts w:cs="宋体"/>
      <w:color w:val="000000"/>
      <w:kern w:val="0"/>
      <w:sz w:val="24"/>
      <w:szCs w:val="24"/>
    </w:rPr>
  </w:style>
  <w:style w:type="paragraph" w:customStyle="1" w:styleId="35">
    <w:name w:val="样式 标题 2 + Times New Roman 四号 非加粗 段前: 5 磅 段后: 0 磅 行距: 固定值 20..."/>
    <w:basedOn w:val="3"/>
    <w:qFormat/>
    <w:uiPriority w:val="0"/>
    <w:pPr>
      <w:keepLines/>
      <w:spacing w:before="0" w:beforeAutospacing="0" w:after="0" w:afterAutospacing="0" w:line="400" w:lineRule="exact"/>
      <w:ind w:left="0" w:firstLine="0"/>
    </w:pPr>
    <w:rPr>
      <w:rFonts w:ascii="Times New Roman" w:hAnsi="Times New Roman" w:cs="宋体"/>
      <w:color w:val="auto"/>
      <w:sz w:val="28"/>
      <w:szCs w:val="28"/>
    </w:rPr>
  </w:style>
  <w:style w:type="paragraph" w:customStyle="1" w:styleId="36">
    <w:name w:val="样式 标题 3 + (中文) 黑体 小四 非加粗 段前: 7.8 磅 段后: 0 磅 行距: 固定值 20 磅"/>
    <w:basedOn w:val="4"/>
    <w:qFormat/>
    <w:uiPriority w:val="0"/>
    <w:pPr>
      <w:keepLines/>
      <w:spacing w:before="0" w:beforeAutospacing="0" w:after="0" w:afterAutospacing="0" w:line="400" w:lineRule="exact"/>
      <w:ind w:left="0" w:firstLine="0"/>
    </w:pPr>
    <w:rPr>
      <w:rFonts w:cs="宋体"/>
      <w:b w:val="0"/>
      <w:bCs w:val="0"/>
      <w:sz w:val="24"/>
      <w:szCs w:val="24"/>
    </w:rPr>
  </w:style>
  <w:style w:type="paragraph" w:customStyle="1" w:styleId="37">
    <w:name w:val="Char1 Char Char Char"/>
    <w:basedOn w:val="1"/>
    <w:qFormat/>
    <w:uiPriority w:val="0"/>
  </w:style>
  <w:style w:type="paragraph" w:customStyle="1" w:styleId="38">
    <w:name w:val="Table Paragraph"/>
    <w:basedOn w:val="1"/>
    <w:qFormat/>
    <w:uiPriority w:val="1"/>
  </w:style>
  <w:style w:type="character" w:customStyle="1" w:styleId="39">
    <w:name w:val="17"/>
    <w:basedOn w:val="30"/>
    <w:qFormat/>
    <w:uiPriority w:val="0"/>
    <w:rPr>
      <w:rFonts w:hint="default" w:ascii="Times New Roman" w:hAnsi="Times New Roman" w:eastAsia="黑体" w:cs="Times New Roman"/>
      <w:b/>
      <w:bCs/>
      <w:sz w:val="30"/>
      <w:szCs w:val="30"/>
    </w:rPr>
  </w:style>
  <w:style w:type="paragraph" w:customStyle="1" w:styleId="40">
    <w:name w:val="xl54"/>
    <w:basedOn w:val="1"/>
    <w:qFormat/>
    <w:uiPriority w:val="0"/>
    <w:pPr>
      <w:widowControl/>
      <w:spacing w:before="100" w:beforeAutospacing="1" w:after="100" w:afterAutospacing="1"/>
      <w:jc w:val="left"/>
      <w:textAlignment w:val="center"/>
    </w:pPr>
    <w:rPr>
      <w:rFonts w:ascii="方正仿宋_GB2312" w:hAnsi="Arial Unicode MS"/>
      <w:kern w:val="0"/>
      <w:sz w:val="18"/>
      <w:szCs w:val="18"/>
    </w:rPr>
  </w:style>
  <w:style w:type="paragraph" w:customStyle="1" w:styleId="41">
    <w:name w:val=" Char1 Char Char Char"/>
    <w:basedOn w:val="1"/>
    <w:qFormat/>
    <w:uiPriority w:val="0"/>
    <w:rPr>
      <w:szCs w:val="20"/>
    </w:rPr>
  </w:style>
  <w:style w:type="character" w:customStyle="1" w:styleId="42">
    <w:name w:val="标题 字符"/>
    <w:link w:val="27"/>
    <w:qFormat/>
    <w:uiPriority w:val="0"/>
    <w:rPr>
      <w:rFonts w:ascii="Cambria" w:hAnsi="Cambria"/>
      <w:b/>
      <w:bCs/>
      <w:sz w:val="32"/>
      <w:szCs w:val="32"/>
    </w:rPr>
  </w:style>
  <w:style w:type="paragraph" w:customStyle="1" w:styleId="43">
    <w:name w:val="标题 #12"/>
    <w:basedOn w:val="1"/>
    <w:qFormat/>
    <w:uiPriority w:val="0"/>
    <w:pPr>
      <w:shd w:val="clear" w:color="auto" w:fill="FFFFFF"/>
      <w:spacing w:after="840" w:afterLines="0" w:line="0" w:lineRule="atLeast"/>
      <w:jc w:val="center"/>
    </w:pPr>
    <w:rPr>
      <w:rFonts w:ascii="MingLiU" w:hAnsi="MingLiU" w:eastAsia="MingLiU"/>
      <w:spacing w:val="10"/>
      <w:kern w:val="0"/>
      <w:sz w:val="28"/>
      <w:szCs w:val="28"/>
    </w:rPr>
  </w:style>
  <w:style w:type="character" w:customStyle="1" w:styleId="44">
    <w:name w:val="正文文本 + 8.5 pt1"/>
    <w:qFormat/>
    <w:uiPriority w:val="0"/>
    <w:rPr>
      <w:rFonts w:ascii="MingLiU" w:hAnsi="MingLiU" w:eastAsia="MingLiU" w:cs="MingLiU"/>
      <w:color w:val="000000"/>
      <w:spacing w:val="0"/>
      <w:w w:val="100"/>
      <w:position w:val="0"/>
      <w:sz w:val="17"/>
      <w:szCs w:val="17"/>
      <w:u w:val="none"/>
      <w:lang w:val="zh-TW"/>
    </w:rPr>
  </w:style>
  <w:style w:type="character" w:customStyle="1" w:styleId="45">
    <w:name w:val="正文文本 + 8.5 pt2"/>
    <w:qFormat/>
    <w:uiPriority w:val="0"/>
    <w:rPr>
      <w:rFonts w:ascii="MingLiU" w:hAnsi="MingLiU" w:eastAsia="MingLiU" w:cs="MingLiU"/>
      <w:color w:val="000000"/>
      <w:spacing w:val="0"/>
      <w:w w:val="100"/>
      <w:position w:val="0"/>
      <w:sz w:val="17"/>
      <w:szCs w:val="17"/>
      <w:u w:val="none"/>
      <w:lang w:val="zh-TW"/>
    </w:rPr>
  </w:style>
  <w:style w:type="character" w:customStyle="1" w:styleId="46">
    <w:name w:val="正文文本 + 8.5 pt3"/>
    <w:qFormat/>
    <w:uiPriority w:val="0"/>
    <w:rPr>
      <w:rFonts w:ascii="MingLiU" w:hAnsi="MingLiU" w:eastAsia="MingLiU" w:cs="MingLiU"/>
      <w:color w:val="000000"/>
      <w:spacing w:val="-20"/>
      <w:w w:val="100"/>
      <w:position w:val="0"/>
      <w:sz w:val="17"/>
      <w:szCs w:val="17"/>
      <w:u w:val="none"/>
      <w:lang w:val="zh-TW"/>
    </w:rPr>
  </w:style>
  <w:style w:type="character" w:customStyle="1" w:styleId="47">
    <w:name w:val="正文文本 + 8.5 pt4"/>
    <w:qFormat/>
    <w:uiPriority w:val="0"/>
    <w:rPr>
      <w:rFonts w:ascii="MingLiU" w:hAnsi="MingLiU" w:eastAsia="MingLiU" w:cs="MingLiU"/>
      <w:color w:val="000000"/>
      <w:spacing w:val="30"/>
      <w:w w:val="100"/>
      <w:position w:val="0"/>
      <w:sz w:val="17"/>
      <w:szCs w:val="17"/>
      <w:u w:val="none"/>
      <w:lang w:val="zh-TW"/>
    </w:rPr>
  </w:style>
  <w:style w:type="character" w:customStyle="1" w:styleId="48">
    <w:name w:val="正文文本 (16)4"/>
    <w:qFormat/>
    <w:uiPriority w:val="0"/>
    <w:rPr>
      <w:rFonts w:ascii="MingLiU" w:hAnsi="MingLiU" w:eastAsia="MingLiU" w:cs="MingLiU"/>
      <w:color w:val="000000"/>
      <w:spacing w:val="0"/>
      <w:w w:val="100"/>
      <w:position w:val="0"/>
      <w:sz w:val="17"/>
      <w:szCs w:val="17"/>
      <w:u w:val="none"/>
      <w:lang w:val="zh-TW"/>
    </w:rPr>
  </w:style>
  <w:style w:type="character" w:customStyle="1" w:styleId="49">
    <w:name w:val="正文文本 + 8.5 pt"/>
    <w:qFormat/>
    <w:uiPriority w:val="0"/>
    <w:rPr>
      <w:rFonts w:ascii="MingLiU" w:hAnsi="MingLiU" w:eastAsia="MingLiU" w:cs="MingLiU"/>
      <w:color w:val="000000"/>
      <w:spacing w:val="0"/>
      <w:w w:val="100"/>
      <w:position w:val="0"/>
      <w:sz w:val="17"/>
      <w:szCs w:val="17"/>
      <w:u w:val="none"/>
      <w:lang w:val="zh-TW"/>
    </w:rPr>
  </w:style>
  <w:style w:type="paragraph" w:customStyle="1" w:styleId="50">
    <w:name w:val="正文文本 (16)6"/>
    <w:basedOn w:val="1"/>
    <w:qFormat/>
    <w:uiPriority w:val="0"/>
    <w:pPr>
      <w:shd w:val="clear" w:color="auto" w:fill="FFFFFF"/>
      <w:spacing w:before="300" w:beforeLines="0" w:line="293" w:lineRule="exact"/>
      <w:ind w:hanging="260"/>
      <w:jc w:val="distribute"/>
    </w:pPr>
    <w:rPr>
      <w:rFonts w:ascii="MingLiU" w:hAnsi="MingLiU" w:eastAsia="MingLiU"/>
      <w:kern w:val="0"/>
      <w:sz w:val="17"/>
      <w:szCs w:val="17"/>
    </w:rPr>
  </w:style>
  <w:style w:type="character" w:customStyle="1" w:styleId="51">
    <w:name w:val="正文文本 (16)5"/>
    <w:qFormat/>
    <w:uiPriority w:val="0"/>
    <w:rPr>
      <w:rFonts w:ascii="MingLiU" w:hAnsi="MingLiU" w:eastAsia="MingLiU" w:cs="MingLiU"/>
      <w:color w:val="000000"/>
      <w:spacing w:val="0"/>
      <w:w w:val="100"/>
      <w:position w:val="0"/>
      <w:sz w:val="17"/>
      <w:szCs w:val="17"/>
      <w:u w:val="none"/>
      <w:lang w:val="en-US"/>
    </w:rPr>
  </w:style>
  <w:style w:type="paragraph" w:customStyle="1" w:styleId="52">
    <w:name w:val="表格标题5"/>
    <w:basedOn w:val="1"/>
    <w:qFormat/>
    <w:uiPriority w:val="0"/>
    <w:pPr>
      <w:shd w:val="clear" w:color="auto" w:fill="FFFFFF"/>
      <w:spacing w:line="278" w:lineRule="exact"/>
      <w:jc w:val="distribute"/>
    </w:pPr>
    <w:rPr>
      <w:rFonts w:ascii="MingLiU" w:hAnsi="MingLiU" w:eastAsia="MingLiU"/>
      <w:kern w:val="0"/>
      <w:sz w:val="17"/>
      <w:szCs w:val="17"/>
    </w:rPr>
  </w:style>
  <w:style w:type="character" w:customStyle="1" w:styleId="53">
    <w:name w:val="表格标题4"/>
    <w:qFormat/>
    <w:uiPriority w:val="0"/>
    <w:rPr>
      <w:rFonts w:ascii="MingLiU" w:hAnsi="MingLiU" w:eastAsia="MingLiU" w:cs="MingLiU"/>
      <w:color w:val="000000"/>
      <w:spacing w:val="0"/>
      <w:w w:val="100"/>
      <w:position w:val="0"/>
      <w:sz w:val="17"/>
      <w:szCs w:val="17"/>
      <w:u w:val="none"/>
      <w:lang w:val="zh-TW"/>
    </w:rPr>
  </w:style>
  <w:style w:type="character" w:customStyle="1" w:styleId="54">
    <w:name w:val="正文文本4"/>
    <w:qFormat/>
    <w:uiPriority w:val="0"/>
    <w:rPr>
      <w:rFonts w:ascii="MingLiU" w:hAnsi="MingLiU" w:eastAsia="MingLiU" w:cs="MingLiU"/>
      <w:color w:val="000000"/>
      <w:spacing w:val="0"/>
      <w:w w:val="100"/>
      <w:position w:val="0"/>
      <w:sz w:val="22"/>
      <w:szCs w:val="22"/>
      <w:u w:val="none"/>
      <w:lang w:val="zh-TW"/>
    </w:rPr>
  </w:style>
  <w:style w:type="paragraph" w:customStyle="1" w:styleId="55">
    <w:name w:val="表格标题 (5)"/>
    <w:basedOn w:val="1"/>
    <w:qFormat/>
    <w:uiPriority w:val="0"/>
    <w:pPr>
      <w:shd w:val="clear" w:color="auto" w:fill="FFFFFF"/>
      <w:spacing w:line="0" w:lineRule="atLeast"/>
    </w:pPr>
    <w:rPr>
      <w:rFonts w:ascii="MingLiU" w:hAnsi="MingLiU" w:eastAsia="MingLiU" w:cs="MingLiU"/>
      <w:b/>
      <w:bCs/>
      <w:spacing w:val="10"/>
      <w:sz w:val="20"/>
      <w:szCs w:val="20"/>
    </w:rPr>
  </w:style>
  <w:style w:type="character" w:customStyle="1" w:styleId="56">
    <w:name w:val="正文文本 + 9.5 pt25"/>
    <w:qFormat/>
    <w:uiPriority w:val="0"/>
    <w:rPr>
      <w:rFonts w:ascii="MingLiU" w:hAnsi="MingLiU" w:eastAsia="MingLiU" w:cs="MingLiU"/>
      <w:color w:val="000000"/>
      <w:spacing w:val="10"/>
      <w:w w:val="100"/>
      <w:position w:val="0"/>
      <w:sz w:val="19"/>
      <w:szCs w:val="19"/>
      <w:u w:val="none"/>
      <w:lang w:val="zh-TW"/>
    </w:rPr>
  </w:style>
  <w:style w:type="character" w:customStyle="1" w:styleId="57">
    <w:name w:val="正文文本 + 9.5 pt26"/>
    <w:qFormat/>
    <w:uiPriority w:val="0"/>
    <w:rPr>
      <w:rFonts w:ascii="MingLiU" w:hAnsi="MingLiU" w:eastAsia="MingLiU" w:cs="MingLiU"/>
      <w:color w:val="000000"/>
      <w:spacing w:val="0"/>
      <w:w w:val="100"/>
      <w:position w:val="0"/>
      <w:sz w:val="19"/>
      <w:szCs w:val="19"/>
      <w:u w:val="none"/>
      <w:lang w:val="en-US"/>
    </w:rPr>
  </w:style>
  <w:style w:type="character" w:customStyle="1" w:styleId="58">
    <w:name w:val="正文文本 + Candara1"/>
    <w:qFormat/>
    <w:uiPriority w:val="0"/>
    <w:rPr>
      <w:rFonts w:ascii="Candara" w:hAnsi="Candara" w:eastAsia="Candara" w:cs="Candara"/>
      <w:color w:val="000000"/>
      <w:spacing w:val="20"/>
      <w:w w:val="100"/>
      <w:position w:val="0"/>
      <w:sz w:val="11"/>
      <w:szCs w:val="11"/>
      <w:u w:val="none"/>
      <w:lang w:val="en-US"/>
    </w:rPr>
  </w:style>
  <w:style w:type="character" w:customStyle="1" w:styleId="59">
    <w:name w:val="正文文本 + 9.5 pt28"/>
    <w:qFormat/>
    <w:uiPriority w:val="0"/>
    <w:rPr>
      <w:rFonts w:ascii="MingLiU" w:hAnsi="MingLiU" w:eastAsia="MingLiU" w:cs="MingLiU"/>
      <w:color w:val="000000"/>
      <w:spacing w:val="120"/>
      <w:w w:val="100"/>
      <w:position w:val="0"/>
      <w:sz w:val="19"/>
      <w:szCs w:val="19"/>
      <w:u w:val="none"/>
      <w:lang w:val="zh-TW"/>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125</Pages>
  <Words>18973</Words>
  <Characters>21298</Characters>
  <Lines>0</Lines>
  <Paragraphs>0</Paragraphs>
  <TotalTime>3</TotalTime>
  <ScaleCrop>false</ScaleCrop>
  <LinksUpToDate>false</LinksUpToDate>
  <CharactersWithSpaces>21623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2026-05-13T08:56:00Z</dcterms:created>
  <dc:creator>NTKO</dc:creator>
  <cp:lastModifiedBy>刘阳</cp:lastModifiedBy>
  <cp:lastPrinted>2026-10-08T03:50:00Z</cp:lastPrinted>
  <dcterms:modified xsi:type="dcterms:W3CDTF">2026-10-10T07:32:07Z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77C01785C5A740278DC6F3A37E892D7C_13</vt:lpwstr>
  </property>
  <property fmtid="{D5CDD505-2E9C-101B-9397-08002B2CF9AE}" pid="4" name="KSOTemplateDocerSaveRecord">
    <vt:lpwstr>eyJoZGlkIjoiODY5ZTU4YjVkMjI3ZjAxODNkZGE4N2RiZDFhN2YyNjEiLCJ1c2VySWQiOiI0MTEwMjcxNjcifQ==</vt:lpwstr>
  </property>
</Properties>
</file>