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2C00BA">
      <w:pPr>
        <w:rPr>
          <w:rFonts w:hint="eastAsia" w:ascii="宋体" w:hAnsi="宋体"/>
          <w:b/>
          <w:color w:val="auto"/>
          <w:sz w:val="36"/>
          <w:szCs w:val="36"/>
          <w:highlight w:val="none"/>
        </w:rPr>
      </w:pPr>
      <w:r>
        <w:rPr>
          <w:rFonts w:hint="eastAsia" w:ascii="宋体" w:hAnsi="宋体"/>
          <w:b/>
          <w:color w:val="auto"/>
          <w:sz w:val="36"/>
          <w:szCs w:val="36"/>
          <w:highlight w:val="none"/>
        </w:rPr>
        <w:drawing>
          <wp:inline distT="0" distB="0" distL="114300" distR="114300">
            <wp:extent cx="6233160" cy="8632190"/>
            <wp:effectExtent l="0" t="0" r="15240" b="16510"/>
            <wp:docPr id="7" name="图片 7"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01"/>
                    <pic:cNvPicPr>
                      <a:picLocks noChangeAspect="1"/>
                    </pic:cNvPicPr>
                  </pic:nvPicPr>
                  <pic:blipFill>
                    <a:blip r:embed="rId21"/>
                    <a:stretch>
                      <a:fillRect/>
                    </a:stretch>
                  </pic:blipFill>
                  <pic:spPr>
                    <a:xfrm>
                      <a:off x="0" y="0"/>
                      <a:ext cx="6233160" cy="8632190"/>
                    </a:xfrm>
                    <a:prstGeom prst="rect">
                      <a:avLst/>
                    </a:prstGeom>
                  </pic:spPr>
                </pic:pic>
              </a:graphicData>
            </a:graphic>
          </wp:inline>
        </w:drawing>
      </w:r>
    </w:p>
    <w:p w14:paraId="60474812">
      <w:pPr>
        <w:keepNext w:val="0"/>
        <w:keepLines w:val="0"/>
        <w:pageBreakBefore w:val="0"/>
        <w:widowControl w:val="0"/>
        <w:kinsoku/>
        <w:overflowPunct/>
        <w:topLinePunct w:val="0"/>
        <w:autoSpaceDE/>
        <w:autoSpaceDN/>
        <w:bidi w:val="0"/>
        <w:adjustRightInd/>
        <w:snapToGrid/>
        <w:spacing w:line="400" w:lineRule="exact"/>
        <w:ind w:right="0" w:rightChars="0"/>
        <w:jc w:val="center"/>
        <w:textAlignment w:val="auto"/>
        <w:rPr>
          <w:rFonts w:ascii="宋体" w:hAnsi="宋体"/>
          <w:b/>
          <w:color w:val="auto"/>
          <w:sz w:val="36"/>
          <w:szCs w:val="36"/>
          <w:highlight w:val="none"/>
        </w:rPr>
      </w:pPr>
      <w:r>
        <w:rPr>
          <w:rFonts w:hint="eastAsia" w:ascii="宋体" w:hAnsi="宋体"/>
          <w:b/>
          <w:color w:val="auto"/>
          <w:sz w:val="36"/>
          <w:szCs w:val="36"/>
          <w:highlight w:val="none"/>
        </w:rPr>
        <w:t>招标代理项目部人员组成</w:t>
      </w:r>
    </w:p>
    <w:p w14:paraId="325ECD90">
      <w:pPr>
        <w:keepNext w:val="0"/>
        <w:keepLines w:val="0"/>
        <w:pageBreakBefore w:val="0"/>
        <w:widowControl w:val="0"/>
        <w:kinsoku/>
        <w:overflowPunct/>
        <w:topLinePunct w:val="0"/>
        <w:autoSpaceDE/>
        <w:autoSpaceDN/>
        <w:bidi w:val="0"/>
        <w:adjustRightInd/>
        <w:snapToGrid/>
        <w:spacing w:line="400" w:lineRule="exact"/>
        <w:ind w:right="0" w:rightChars="0" w:firstLine="2132" w:firstLineChars="590"/>
        <w:textAlignment w:val="auto"/>
        <w:rPr>
          <w:rFonts w:ascii="宋体" w:hAnsi="宋体"/>
          <w:b/>
          <w:color w:val="auto"/>
          <w:sz w:val="36"/>
          <w:szCs w:val="36"/>
          <w:highlight w:val="none"/>
        </w:rPr>
      </w:pPr>
      <w:r>
        <w:rPr>
          <w:rFonts w:hint="eastAsia" w:ascii="宋体" w:hAnsi="宋体"/>
          <w:b/>
          <w:color w:val="auto"/>
          <w:sz w:val="36"/>
          <w:szCs w:val="36"/>
          <w:highlight w:val="none"/>
        </w:rPr>
        <w:t xml:space="preserve"> </w:t>
      </w:r>
    </w:p>
    <w:p w14:paraId="0F784B78">
      <w:pPr>
        <w:keepNext w:val="0"/>
        <w:keepLines w:val="0"/>
        <w:pageBreakBefore w:val="0"/>
        <w:widowControl w:val="0"/>
        <w:kinsoku/>
        <w:overflowPunct/>
        <w:topLinePunct w:val="0"/>
        <w:autoSpaceDE/>
        <w:autoSpaceDN/>
        <w:bidi w:val="0"/>
        <w:adjustRightInd/>
        <w:snapToGrid/>
        <w:spacing w:line="400" w:lineRule="exact"/>
        <w:ind w:right="0" w:rightChars="0" w:firstLine="663" w:firstLineChars="150"/>
        <w:textAlignment w:val="auto"/>
        <w:rPr>
          <w:rFonts w:ascii="宋体" w:hAnsi="宋体"/>
          <w:b/>
          <w:color w:val="auto"/>
          <w:sz w:val="44"/>
          <w:szCs w:val="44"/>
          <w:highlight w:val="none"/>
        </w:rPr>
      </w:pPr>
      <w:r>
        <w:rPr>
          <w:rFonts w:hint="eastAsia" w:ascii="宋体" w:hAnsi="宋体"/>
          <w:b/>
          <w:color w:val="auto"/>
          <w:sz w:val="44"/>
          <w:szCs w:val="44"/>
          <w:highlight w:val="none"/>
        </w:rPr>
        <w:t xml:space="preserve"> </w:t>
      </w:r>
    </w:p>
    <w:p w14:paraId="5740833E">
      <w:pPr>
        <w:numPr>
          <w:ilvl w:val="0"/>
          <w:numId w:val="1"/>
        </w:numPr>
        <w:spacing w:line="480" w:lineRule="auto"/>
        <w:ind w:left="901" w:right="-34" w:rightChars="-16"/>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项目负责人</w:t>
      </w:r>
      <w:r>
        <w:rPr>
          <w:rFonts w:hint="eastAsia" w:ascii="宋体" w:hAnsi="宋体" w:eastAsia="宋体" w:cs="宋体"/>
          <w:color w:val="auto"/>
          <w:sz w:val="32"/>
          <w:szCs w:val="32"/>
          <w:highlight w:val="none"/>
          <w:u w:val="single"/>
          <w:lang w:val="en-US" w:eastAsia="zh-CN"/>
        </w:rPr>
        <w:t xml:space="preserve"> 韩香粉  </w:t>
      </w:r>
      <w:r>
        <w:rPr>
          <w:rFonts w:hint="eastAsia" w:ascii="宋体" w:hAnsi="宋体" w:eastAsia="宋体" w:cs="宋体"/>
          <w:color w:val="auto"/>
          <w:sz w:val="32"/>
          <w:szCs w:val="32"/>
          <w:highlight w:val="none"/>
          <w:u w:val="none"/>
        </w:rPr>
        <w:t>（</w:t>
      </w:r>
      <w:r>
        <w:rPr>
          <w:rFonts w:hint="eastAsia" w:ascii="宋体" w:hAnsi="宋体" w:eastAsia="宋体" w:cs="宋体"/>
          <w:color w:val="auto"/>
          <w:sz w:val="32"/>
          <w:szCs w:val="32"/>
          <w:highlight w:val="none"/>
        </w:rPr>
        <w:t>建设类注册执业（职业）</w:t>
      </w:r>
    </w:p>
    <w:p w14:paraId="5024F699">
      <w:pPr>
        <w:numPr>
          <w:ilvl w:val="0"/>
          <w:numId w:val="0"/>
        </w:numPr>
        <w:spacing w:line="480" w:lineRule="auto"/>
        <w:ind w:right="-34" w:rightChars="-16" w:firstLine="960" w:firstLineChars="30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注册证号</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lang w:val="en-US" w:eastAsia="zh-CN"/>
        </w:rPr>
        <w:t xml:space="preserve"> 建[造】11134100006018</w:t>
      </w:r>
    </w:p>
    <w:p w14:paraId="6B2DE487">
      <w:pPr>
        <w:spacing w:line="360" w:lineRule="auto"/>
        <w:ind w:left="178" w:leftChars="85" w:right="-34" w:rightChars="-16" w:firstLine="480" w:firstLineChars="150"/>
        <w:rPr>
          <w:rFonts w:hint="eastAsia" w:ascii="宋体" w:hAnsi="宋体" w:eastAsia="宋体" w:cs="宋体"/>
          <w:color w:val="auto"/>
          <w:sz w:val="32"/>
          <w:szCs w:val="32"/>
          <w:highlight w:val="none"/>
        </w:rPr>
      </w:pPr>
    </w:p>
    <w:p w14:paraId="5CF38DCA">
      <w:pPr>
        <w:numPr>
          <w:ilvl w:val="0"/>
          <w:numId w:val="1"/>
        </w:numPr>
        <w:spacing w:line="720" w:lineRule="auto"/>
        <w:ind w:left="899" w:right="-34" w:rightChars="-16"/>
        <w:rPr>
          <w:rFonts w:hint="default"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rPr>
        <w:t>其他人员</w:t>
      </w:r>
      <w:r>
        <w:rPr>
          <w:rFonts w:hint="eastAsia" w:ascii="宋体" w:hAnsi="宋体" w:eastAsia="宋体" w:cs="宋体"/>
          <w:color w:val="auto"/>
          <w:sz w:val="32"/>
          <w:szCs w:val="32"/>
          <w:highlight w:val="none"/>
          <w:lang w:val="en-US" w:eastAsia="zh-CN"/>
        </w:rPr>
        <w:t xml:space="preserve">: 郭文豪 岗位证书：Z4501000312 </w:t>
      </w:r>
    </w:p>
    <w:p w14:paraId="76764082">
      <w:pPr>
        <w:pStyle w:val="9"/>
        <w:spacing w:line="720" w:lineRule="auto"/>
        <w:ind w:firstLine="2240" w:firstLineChars="70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 任行敏  岗位证书：Z45020200700 </w:t>
      </w:r>
    </w:p>
    <w:p w14:paraId="772F87A3">
      <w:pPr>
        <w:pStyle w:val="22"/>
        <w:spacing w:line="720" w:lineRule="auto"/>
        <w:ind w:firstLine="2240" w:firstLineChars="800"/>
        <w:jc w:val="both"/>
        <w:rPr>
          <w:rFonts w:hint="default"/>
          <w:b/>
          <w:bCs/>
          <w:color w:val="auto"/>
          <w:highlight w:val="none"/>
          <w:lang w:val="en-US"/>
        </w:rPr>
      </w:pPr>
      <w:r>
        <w:rPr>
          <w:rFonts w:hint="eastAsia" w:ascii="宋体" w:hAnsi="宋体" w:eastAsia="宋体" w:cs="宋体"/>
          <w:color w:val="auto"/>
          <w:sz w:val="32"/>
          <w:szCs w:val="32"/>
          <w:highlight w:val="none"/>
          <w:lang w:val="en-US" w:eastAsia="zh-CN"/>
        </w:rPr>
        <w:t xml:space="preserve">  程斌    岗位证书： Z45020202410</w:t>
      </w:r>
    </w:p>
    <w:p w14:paraId="0ADA430A">
      <w:pPr>
        <w:spacing w:beforeLines="200" w:afterLines="200" w:line="400" w:lineRule="exact"/>
        <w:ind w:left="178" w:leftChars="85" w:right="-34" w:rightChars="-16" w:firstLine="640" w:firstLineChars="200"/>
        <w:rPr>
          <w:rFonts w:hint="eastAsia" w:ascii="宋体" w:hAnsi="宋体"/>
          <w:color w:val="auto"/>
          <w:sz w:val="32"/>
          <w:szCs w:val="32"/>
          <w:highlight w:val="none"/>
        </w:rPr>
      </w:pPr>
    </w:p>
    <w:p w14:paraId="5856DD2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7428964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08BF6546">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5A253E7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57F13EF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64B2B63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3FB091D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30F5935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4E08819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0F48004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5375FD5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sdt>
      <w:sdtPr>
        <w:rPr>
          <w:rFonts w:ascii="宋体" w:hAnsi="宋体" w:eastAsia="宋体" w:cs="Times New Roman"/>
          <w:kern w:val="2"/>
          <w:sz w:val="21"/>
          <w:szCs w:val="21"/>
          <w:highlight w:val="none"/>
          <w:lang w:val="en-US" w:eastAsia="zh-CN" w:bidi="ar-SA"/>
        </w:rPr>
        <w:id w:val="147475080"/>
        <w15:color w:val="DBDBDB"/>
        <w:docPartObj>
          <w:docPartGallery w:val="Table of Contents"/>
          <w:docPartUnique/>
        </w:docPartObj>
      </w:sdtPr>
      <w:sdtEndPr>
        <w:rPr>
          <w:rFonts w:ascii="宋体" w:hAnsi="宋体" w:eastAsia="宋体" w:cs="Times New Roman"/>
          <w:kern w:val="2"/>
          <w:sz w:val="21"/>
          <w:szCs w:val="21"/>
          <w:highlight w:val="none"/>
          <w:lang w:val="en-US" w:eastAsia="zh-CN" w:bidi="ar-SA"/>
        </w:rPr>
      </w:sdtEndPr>
      <w:sdtContent>
        <w:p w14:paraId="089705AC">
          <w:pPr>
            <w:spacing w:before="0" w:beforeLines="0" w:after="0" w:afterLines="0" w:line="240" w:lineRule="auto"/>
            <w:ind w:left="0" w:leftChars="0" w:right="0" w:rightChars="0" w:firstLine="0" w:firstLineChars="0"/>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目</w:t>
          </w:r>
          <w:r>
            <w:rPr>
              <w:rFonts w:hint="eastAsia" w:ascii="宋体" w:hAnsi="宋体" w:eastAsia="宋体" w:cs="宋体"/>
              <w:b/>
              <w:bCs/>
              <w:sz w:val="44"/>
              <w:szCs w:val="44"/>
              <w:highlight w:val="none"/>
              <w:lang w:val="en-US" w:eastAsia="zh-CN"/>
            </w:rPr>
            <w:t xml:space="preserve"> </w:t>
          </w:r>
          <w:r>
            <w:rPr>
              <w:rFonts w:hint="eastAsia" w:ascii="宋体" w:hAnsi="宋体" w:eastAsia="宋体" w:cs="宋体"/>
              <w:b/>
              <w:bCs/>
              <w:sz w:val="44"/>
              <w:szCs w:val="44"/>
              <w:highlight w:val="none"/>
            </w:rPr>
            <w:t>录</w:t>
          </w:r>
        </w:p>
        <w:p w14:paraId="62D78545">
          <w:pPr>
            <w:pStyle w:val="20"/>
            <w:tabs>
              <w:tab w:val="right" w:leader="dot" w:pos="9070"/>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\h \u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_Toc29118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28"/>
              <w:highlight w:val="none"/>
            </w:rPr>
            <w:t>第一章  招标公告</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_Toc29118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1B676D68">
          <w:pPr>
            <w:pStyle w:val="20"/>
            <w:tabs>
              <w:tab w:val="right" w:leader="dot" w:pos="9070"/>
            </w:tabs>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_Toc14021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28"/>
              <w:highlight w:val="none"/>
              <w:lang w:eastAsia="zh-CN"/>
            </w:rPr>
            <w:t>第二章</w:t>
          </w:r>
          <w:r>
            <w:rPr>
              <w:rFonts w:hint="eastAsia" w:ascii="宋体" w:hAnsi="宋体" w:eastAsia="宋体" w:cs="宋体"/>
              <w:b/>
              <w:bCs/>
              <w:kern w:val="44"/>
              <w:sz w:val="28"/>
              <w:szCs w:val="28"/>
              <w:highlight w:val="none"/>
            </w:rPr>
            <w:t xml:space="preserve"> </w:t>
          </w:r>
          <w:r>
            <w:rPr>
              <w:rFonts w:hint="eastAsia" w:ascii="宋体" w:hAnsi="宋体" w:eastAsia="宋体" w:cs="宋体"/>
              <w:b/>
              <w:bCs/>
              <w:kern w:val="44"/>
              <w:sz w:val="28"/>
              <w:szCs w:val="28"/>
              <w:highlight w:val="none"/>
              <w:lang w:val="en-US" w:eastAsia="zh-CN"/>
            </w:rPr>
            <w:t xml:space="preserve"> </w:t>
          </w:r>
          <w:r>
            <w:rPr>
              <w:rFonts w:hint="eastAsia" w:ascii="宋体" w:hAnsi="宋体" w:eastAsia="宋体" w:cs="宋体"/>
              <w:b/>
              <w:bCs/>
              <w:kern w:val="44"/>
              <w:sz w:val="28"/>
              <w:szCs w:val="28"/>
              <w:highlight w:val="none"/>
            </w:rPr>
            <w:t>投标人须知</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_Toc14021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46793A1E">
          <w:pPr>
            <w:pStyle w:val="20"/>
            <w:tabs>
              <w:tab w:val="right" w:leader="dot" w:pos="9070"/>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_Toc32765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28"/>
              <w:highlight w:val="none"/>
            </w:rPr>
            <w:t>第三章  评标办法</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_Toc32765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39</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5EA82AE0">
          <w:pPr>
            <w:pStyle w:val="20"/>
            <w:tabs>
              <w:tab w:val="right" w:leader="dot" w:pos="9070"/>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_Toc8343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28"/>
              <w:highlight w:val="none"/>
              <w:lang w:val="en-US" w:eastAsia="zh-CN" w:bidi="ar-SA"/>
            </w:rPr>
            <w:t>第四章  定标办法（核查随机法）</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_Toc8343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50</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37CB6465">
          <w:pPr>
            <w:pStyle w:val="20"/>
            <w:tabs>
              <w:tab w:val="right" w:leader="dot" w:pos="9070"/>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_Toc14967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28"/>
              <w:highlight w:val="none"/>
              <w:lang w:val="en-US" w:eastAsia="zh-CN" w:bidi="ar-SA"/>
            </w:rPr>
            <w:t>第五章</w:t>
          </w:r>
          <w:r>
            <w:rPr>
              <w:rFonts w:hint="eastAsia" w:ascii="宋体" w:hAnsi="宋体" w:eastAsia="宋体" w:cs="宋体"/>
              <w:b/>
              <w:bCs/>
              <w:sz w:val="28"/>
              <w:szCs w:val="28"/>
              <w:highlight w:val="none"/>
            </w:rPr>
            <w:t xml:space="preserve"> </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合同条款及格式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_Toc14967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54</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0012320E">
          <w:pPr>
            <w:pStyle w:val="20"/>
            <w:tabs>
              <w:tab w:val="right" w:leader="dot" w:pos="9070"/>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_Toc26755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六</w:t>
          </w:r>
          <w:r>
            <w:rPr>
              <w:rFonts w:hint="eastAsia" w:ascii="宋体" w:hAnsi="宋体" w:eastAsia="宋体" w:cs="宋体"/>
              <w:b/>
              <w:bCs/>
              <w:sz w:val="28"/>
              <w:szCs w:val="28"/>
              <w:highlight w:val="none"/>
            </w:rPr>
            <w:t>章  工程量清单（另册）</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_Toc26755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102</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5C8A61E6">
          <w:pPr>
            <w:pStyle w:val="20"/>
            <w:tabs>
              <w:tab w:val="right" w:leader="dot" w:pos="9070"/>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_Toc24395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七</w:t>
          </w:r>
          <w:r>
            <w:rPr>
              <w:rFonts w:hint="eastAsia" w:ascii="宋体" w:hAnsi="宋体" w:eastAsia="宋体" w:cs="宋体"/>
              <w:b/>
              <w:bCs/>
              <w:sz w:val="28"/>
              <w:szCs w:val="28"/>
              <w:highlight w:val="none"/>
            </w:rPr>
            <w:t>章  图纸（另册）</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_Toc24395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107</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219541BC">
          <w:pPr>
            <w:pStyle w:val="20"/>
            <w:tabs>
              <w:tab w:val="right" w:leader="dot" w:pos="9070"/>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_Toc23649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八</w:t>
          </w:r>
          <w:r>
            <w:rPr>
              <w:rFonts w:hint="eastAsia" w:ascii="宋体" w:hAnsi="宋体" w:eastAsia="宋体" w:cs="宋体"/>
              <w:b/>
              <w:bCs/>
              <w:sz w:val="28"/>
              <w:szCs w:val="28"/>
              <w:highlight w:val="none"/>
            </w:rPr>
            <w:t>章  技术规范</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_Toc23649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109</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385D2570">
          <w:pPr>
            <w:pStyle w:val="20"/>
            <w:tabs>
              <w:tab w:val="right" w:leader="dot" w:pos="9070"/>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_Toc21572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九</w:t>
          </w:r>
          <w:r>
            <w:rPr>
              <w:rFonts w:hint="eastAsia" w:ascii="宋体" w:hAnsi="宋体" w:eastAsia="宋体" w:cs="宋体"/>
              <w:b/>
              <w:bCs/>
              <w:sz w:val="28"/>
              <w:szCs w:val="28"/>
              <w:highlight w:val="none"/>
            </w:rPr>
            <w:t>章  工程量清单计量规则</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_Toc21572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110</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4B6E3289">
          <w:pPr>
            <w:pStyle w:val="20"/>
            <w:tabs>
              <w:tab w:val="right" w:leader="dot" w:pos="9070"/>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\l _Toc9434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十</w:t>
          </w:r>
          <w:r>
            <w:rPr>
              <w:rFonts w:hint="eastAsia" w:ascii="宋体" w:hAnsi="宋体" w:eastAsia="宋体" w:cs="宋体"/>
              <w:b/>
              <w:bCs/>
              <w:sz w:val="28"/>
              <w:szCs w:val="28"/>
              <w:highlight w:val="none"/>
            </w:rPr>
            <w:t>章  投标文件格式</w:t>
          </w:r>
          <w:r>
            <w:rPr>
              <w:rFonts w:hint="eastAsia" w:ascii="宋体" w:hAnsi="宋体" w:eastAsia="宋体" w:cs="宋体"/>
              <w:b/>
              <w:bCs/>
              <w:sz w:val="28"/>
              <w:szCs w:val="28"/>
              <w:highlight w:val="none"/>
            </w:rPr>
            <w:tab/>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PAGEREF _Toc9434 \h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112</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fldChar w:fldCharType="end"/>
          </w:r>
        </w:p>
        <w:p w14:paraId="6EB2731B">
          <w:pPr>
            <w:rPr>
              <w:highlight w:val="none"/>
            </w:rPr>
          </w:pPr>
          <w:r>
            <w:rPr>
              <w:rFonts w:hint="eastAsia" w:ascii="宋体" w:hAnsi="宋体" w:eastAsia="宋体" w:cs="宋体"/>
              <w:b/>
              <w:bCs/>
              <w:sz w:val="28"/>
              <w:szCs w:val="28"/>
              <w:highlight w:val="none"/>
            </w:rPr>
            <w:fldChar w:fldCharType="end"/>
          </w:r>
        </w:p>
      </w:sdtContent>
    </w:sdt>
    <w:p w14:paraId="4A025CAD">
      <w:pPr>
        <w:rPr>
          <w:highlight w:val="none"/>
        </w:rPr>
      </w:pPr>
    </w:p>
    <w:p w14:paraId="09F2202C">
      <w:pPr>
        <w:rPr>
          <w:rFonts w:hint="eastAsia"/>
          <w:highlight w:val="none"/>
        </w:rPr>
      </w:pPr>
      <w:r>
        <w:rPr>
          <w:rFonts w:hint="eastAsia"/>
          <w:highlight w:val="none"/>
        </w:rPr>
        <w:br w:type="page"/>
      </w:r>
    </w:p>
    <w:p w14:paraId="7BB984C3">
      <w:pPr>
        <w:pStyle w:val="12"/>
        <w:rPr>
          <w:rFonts w:hint="eastAsia"/>
          <w:highlight w:val="none"/>
        </w:rPr>
        <w:sectPr>
          <w:footerReference r:id="rId4" w:type="first"/>
          <w:footerReference r:id="rId3" w:type="default"/>
          <w:footnotePr>
            <w:numFmt w:val="decimalEnclosedCircleChinese"/>
          </w:footnotePr>
          <w:pgSz w:w="11906" w:h="16838"/>
          <w:pgMar w:top="1587" w:right="1418" w:bottom="1417" w:left="1418" w:header="851" w:footer="992" w:gutter="0"/>
          <w:pgNumType w:fmt="decimal" w:start="1"/>
          <w:cols w:space="720" w:num="1"/>
          <w:titlePg/>
          <w:docGrid w:type="lines" w:linePitch="312" w:charSpace="0"/>
        </w:sectPr>
      </w:pPr>
    </w:p>
    <w:p w14:paraId="5F817737">
      <w:pPr>
        <w:keepNext w:val="0"/>
        <w:keepLines w:val="0"/>
        <w:pageBreakBefore w:val="0"/>
        <w:widowControl w:val="0"/>
        <w:kinsoku/>
        <w:wordWrap/>
        <w:overflowPunct/>
        <w:topLinePunct w:val="0"/>
        <w:autoSpaceDE/>
        <w:autoSpaceDN/>
        <w:bidi w:val="0"/>
        <w:adjustRightInd w:val="0"/>
        <w:snapToGrid w:val="0"/>
        <w:spacing w:before="5305" w:beforeLines="1700" w:line="360" w:lineRule="auto"/>
        <w:jc w:val="center"/>
        <w:textAlignment w:val="auto"/>
        <w:rPr>
          <w:rFonts w:ascii="宋体" w:hAnsi="宋体"/>
          <w:b/>
          <w:bCs/>
          <w:color w:val="auto"/>
          <w:sz w:val="56"/>
          <w:szCs w:val="56"/>
          <w:highlight w:val="none"/>
        </w:rPr>
      </w:pPr>
      <w:r>
        <w:rPr>
          <w:rFonts w:hint="eastAsia" w:ascii="宋体" w:hAnsi="宋体"/>
          <w:color w:val="auto"/>
          <w:highlight w:val="none"/>
        </w:rPr>
        <w:t xml:space="preserve">  </w:t>
      </w:r>
      <w:bookmarkStart w:id="0" w:name="_Toc132601549"/>
      <w:bookmarkEnd w:id="0"/>
      <w:bookmarkStart w:id="1" w:name="_Toc132601550"/>
      <w:bookmarkEnd w:id="1"/>
      <w:bookmarkStart w:id="2" w:name="_Hlt111980651"/>
      <w:r>
        <w:rPr>
          <w:rFonts w:hint="eastAsia" w:ascii="宋体" w:hAnsi="宋体"/>
          <w:b/>
          <w:bCs/>
          <w:color w:val="auto"/>
          <w:sz w:val="56"/>
          <w:szCs w:val="56"/>
          <w:highlight w:val="none"/>
          <w:lang w:eastAsia="zh-CN"/>
        </w:rPr>
        <w:t>第</w:t>
      </w:r>
      <w:r>
        <w:rPr>
          <w:rFonts w:hint="eastAsia" w:ascii="宋体" w:hAnsi="宋体"/>
          <w:b/>
          <w:bCs/>
          <w:color w:val="auto"/>
          <w:sz w:val="56"/>
          <w:szCs w:val="56"/>
          <w:highlight w:val="none"/>
          <w:lang w:val="en-US" w:eastAsia="zh-CN"/>
        </w:rPr>
        <w:t xml:space="preserve"> </w:t>
      </w:r>
      <w:r>
        <w:rPr>
          <w:rFonts w:hint="eastAsia" w:ascii="宋体" w:hAnsi="宋体"/>
          <w:b/>
          <w:bCs/>
          <w:color w:val="auto"/>
          <w:sz w:val="56"/>
          <w:szCs w:val="56"/>
          <w:highlight w:val="none"/>
          <w:lang w:eastAsia="zh-CN"/>
        </w:rPr>
        <w:t>一</w:t>
      </w:r>
      <w:r>
        <w:rPr>
          <w:rFonts w:hint="eastAsia" w:ascii="宋体" w:hAnsi="宋体"/>
          <w:b/>
          <w:bCs/>
          <w:color w:val="auto"/>
          <w:sz w:val="56"/>
          <w:szCs w:val="56"/>
          <w:highlight w:val="none"/>
          <w:lang w:val="en-US" w:eastAsia="zh-CN"/>
        </w:rPr>
        <w:t xml:space="preserve"> </w:t>
      </w:r>
      <w:r>
        <w:rPr>
          <w:rFonts w:hint="eastAsia" w:ascii="宋体" w:hAnsi="宋体"/>
          <w:b/>
          <w:bCs/>
          <w:color w:val="auto"/>
          <w:sz w:val="56"/>
          <w:szCs w:val="56"/>
          <w:highlight w:val="none"/>
          <w:lang w:eastAsia="zh-CN"/>
        </w:rPr>
        <w:t>卷</w:t>
      </w:r>
      <w:r>
        <w:rPr>
          <w:rFonts w:hint="eastAsia" w:ascii="宋体" w:hAnsi="宋体"/>
          <w:b/>
          <w:bCs/>
          <w:color w:val="auto"/>
          <w:sz w:val="56"/>
          <w:szCs w:val="56"/>
          <w:highlight w:val="none"/>
        </w:rPr>
        <w:t xml:space="preserve"> </w:t>
      </w:r>
      <w:bookmarkEnd w:id="2"/>
    </w:p>
    <w:p w14:paraId="0D640BE5">
      <w:pPr>
        <w:adjustRightInd w:val="0"/>
        <w:snapToGrid w:val="0"/>
        <w:spacing w:line="360" w:lineRule="auto"/>
        <w:jc w:val="center"/>
        <w:rPr>
          <w:rFonts w:ascii="宋体" w:hAnsi="宋体" w:cs="宋体"/>
          <w:color w:val="auto"/>
          <w:highlight w:val="none"/>
        </w:rPr>
        <w:sectPr>
          <w:footerReference r:id="rId6" w:type="first"/>
          <w:footerReference r:id="rId5" w:type="default"/>
          <w:pgSz w:w="11906" w:h="16838"/>
          <w:pgMar w:top="1587" w:right="1417" w:bottom="1417" w:left="1417" w:header="851" w:footer="992" w:gutter="0"/>
          <w:pgBorders>
            <w:top w:val="none" w:sz="0" w:space="0"/>
            <w:left w:val="none" w:sz="0" w:space="0"/>
            <w:bottom w:val="none" w:sz="0" w:space="0"/>
            <w:right w:val="none" w:sz="0" w:space="0"/>
          </w:pgBorders>
          <w:cols w:space="720" w:num="1"/>
          <w:docGrid w:type="lines" w:linePitch="312" w:charSpace="0"/>
        </w:sectPr>
      </w:pPr>
    </w:p>
    <w:p w14:paraId="1CFFD899">
      <w:pPr>
        <w:keepNext w:val="0"/>
        <w:keepLines w:val="0"/>
        <w:pageBreakBefore w:val="0"/>
        <w:widowControl w:val="0"/>
        <w:kinsoku/>
        <w:wordWrap/>
        <w:overflowPunct/>
        <w:topLinePunct w:val="0"/>
        <w:autoSpaceDE/>
        <w:autoSpaceDN/>
        <w:bidi w:val="0"/>
        <w:adjustRightInd w:val="0"/>
        <w:snapToGrid w:val="0"/>
        <w:spacing w:before="5305" w:beforeLines="1700" w:line="240" w:lineRule="auto"/>
        <w:jc w:val="center"/>
        <w:textAlignment w:val="auto"/>
        <w:outlineLvl w:val="0"/>
        <w:rPr>
          <w:b/>
          <w:color w:val="auto"/>
          <w:kern w:val="44"/>
          <w:sz w:val="48"/>
          <w:szCs w:val="48"/>
          <w:highlight w:val="none"/>
        </w:rPr>
      </w:pPr>
      <w:bookmarkStart w:id="3" w:name="_Toc24402"/>
      <w:bookmarkEnd w:id="3"/>
      <w:bookmarkStart w:id="4" w:name="_Toc29118"/>
      <w:r>
        <w:rPr>
          <w:rFonts w:hint="eastAsia" w:ascii="宋体" w:hAnsi="宋体"/>
          <w:b/>
          <w:color w:val="auto"/>
          <w:kern w:val="44"/>
          <w:sz w:val="48"/>
          <w:szCs w:val="48"/>
          <w:highlight w:val="none"/>
        </w:rPr>
        <w:t>第一章  招标公告</w:t>
      </w:r>
      <w:bookmarkEnd w:id="4"/>
      <w:bookmarkStart w:id="5" w:name="OLE_LINK1"/>
      <w:bookmarkEnd w:id="5"/>
      <w:bookmarkStart w:id="6" w:name="OLE_LINK3"/>
      <w:bookmarkEnd w:id="6"/>
      <w:bookmarkStart w:id="7" w:name="OLE_LINK4"/>
      <w:bookmarkEnd w:id="7"/>
      <w:bookmarkStart w:id="8" w:name="OLE_LINK2"/>
      <w:bookmarkEnd w:id="8"/>
    </w:p>
    <w:p w14:paraId="06C3E04E">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outlineLvl w:val="0"/>
        <w:rPr>
          <w:rFonts w:hint="eastAsia" w:ascii="宋体" w:hAnsi="宋体"/>
          <w:b/>
          <w:bCs/>
          <w:color w:val="auto"/>
          <w:sz w:val="28"/>
          <w:szCs w:val="28"/>
          <w:highlight w:val="none"/>
        </w:rPr>
        <w:sectPr>
          <w:footerReference r:id="rId8" w:type="first"/>
          <w:footerReference r:id="rId7" w:type="default"/>
          <w:pgSz w:w="11906" w:h="16838"/>
          <w:pgMar w:top="1587" w:right="1417" w:bottom="1417" w:left="1417"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21450BA4">
      <w:pPr>
        <w:keepNext w:val="0"/>
        <w:keepLines w:val="0"/>
        <w:pageBreakBefore w:val="0"/>
        <w:widowControl w:val="0"/>
        <w:kinsoku/>
        <w:wordWrap w:val="0"/>
        <w:overflowPunct/>
        <w:topLinePunct w:val="0"/>
        <w:autoSpaceDE/>
        <w:autoSpaceDN/>
        <w:bidi w:val="0"/>
        <w:adjustRightInd w:val="0"/>
        <w:snapToGrid w:val="0"/>
        <w:spacing w:line="360" w:lineRule="auto"/>
        <w:ind w:right="0"/>
        <w:jc w:val="center"/>
        <w:textAlignment w:val="auto"/>
        <w:rPr>
          <w:rFonts w:ascii="宋体" w:hAnsi="宋体"/>
          <w:b/>
          <w:color w:val="auto"/>
          <w:sz w:val="28"/>
          <w:szCs w:val="28"/>
          <w:highlight w:val="none"/>
        </w:rPr>
      </w:pPr>
      <w:r>
        <w:rPr>
          <w:rFonts w:hint="eastAsia" w:ascii="宋体" w:hAnsi="宋体"/>
          <w:b/>
          <w:color w:val="auto"/>
          <w:sz w:val="28"/>
          <w:szCs w:val="28"/>
          <w:highlight w:val="none"/>
          <w:lang w:val="en-US" w:eastAsia="zh-CN"/>
        </w:rPr>
        <w:t>2026年新蔡县农村公路建设养护项目</w:t>
      </w:r>
      <w:r>
        <w:rPr>
          <w:rFonts w:hint="eastAsia" w:ascii="宋体" w:hAnsi="宋体"/>
          <w:b/>
          <w:color w:val="auto"/>
          <w:sz w:val="28"/>
          <w:szCs w:val="28"/>
          <w:highlight w:val="none"/>
        </w:rPr>
        <w:t>招标公告</w:t>
      </w:r>
    </w:p>
    <w:p w14:paraId="0B2EF4D0">
      <w:pPr>
        <w:keepNext w:val="0"/>
        <w:keepLines w:val="0"/>
        <w:pageBreakBefore w:val="0"/>
        <w:widowControl w:val="0"/>
        <w:kinsoku/>
        <w:wordWrap w:val="0"/>
        <w:overflowPunct/>
        <w:topLinePunct w:val="0"/>
        <w:autoSpaceDE/>
        <w:autoSpaceDN/>
        <w:bidi w:val="0"/>
        <w:adjustRightInd/>
        <w:snapToGrid/>
        <w:spacing w:line="360" w:lineRule="auto"/>
        <w:ind w:right="0"/>
        <w:jc w:val="center"/>
        <w:textAlignment w:val="auto"/>
        <w:rPr>
          <w:rFonts w:hint="default" w:ascii="宋体" w:hAnsi="宋体" w:cs="宋体"/>
          <w:b/>
          <w:bCs w:val="0"/>
          <w:color w:val="auto"/>
          <w:sz w:val="24"/>
          <w:szCs w:val="24"/>
          <w:highlight w:val="none"/>
          <w:lang w:val="en-US" w:eastAsia="zh-CN"/>
        </w:rPr>
      </w:pPr>
      <w:bookmarkStart w:id="9" w:name="_Toc288741553"/>
      <w:bookmarkEnd w:id="9"/>
      <w:bookmarkStart w:id="10" w:name="_Toc14021"/>
      <w:r>
        <w:rPr>
          <w:rFonts w:hint="eastAsia" w:ascii="宋体" w:hAnsi="宋体" w:eastAsia="宋体" w:cs="宋体"/>
          <w:b/>
          <w:bCs w:val="0"/>
          <w:color w:val="auto"/>
          <w:sz w:val="24"/>
          <w:szCs w:val="24"/>
          <w:highlight w:val="none"/>
          <w:lang w:val="en-US" w:eastAsia="zh-CN"/>
        </w:rPr>
        <w:t>项目</w:t>
      </w:r>
      <w:r>
        <w:rPr>
          <w:rFonts w:hint="eastAsia" w:ascii="宋体" w:hAnsi="宋体" w:eastAsia="宋体" w:cs="宋体"/>
          <w:b/>
          <w:bCs w:val="0"/>
          <w:color w:val="auto"/>
          <w:sz w:val="24"/>
          <w:szCs w:val="24"/>
          <w:highlight w:val="none"/>
        </w:rPr>
        <w:t>编号</w:t>
      </w:r>
      <w:r>
        <w:rPr>
          <w:rFonts w:hint="eastAsia" w:ascii="宋体" w:hAnsi="宋体" w:eastAsia="宋体" w:cs="宋体"/>
          <w:b/>
          <w:bCs w:val="0"/>
          <w:color w:val="auto"/>
          <w:sz w:val="24"/>
          <w:szCs w:val="24"/>
          <w:highlight w:val="none"/>
          <w:lang w:val="en-US" w:eastAsia="zh-CN"/>
        </w:rPr>
        <w:t>:</w:t>
      </w:r>
      <w:r>
        <w:rPr>
          <w:rFonts w:hint="eastAsia" w:ascii="宋体" w:hAnsi="宋体" w:cs="宋体"/>
          <w:b/>
          <w:bCs w:val="0"/>
          <w:color w:val="auto"/>
          <w:sz w:val="24"/>
          <w:szCs w:val="24"/>
          <w:highlight w:val="none"/>
          <w:lang w:val="en-US" w:eastAsia="zh-CN"/>
        </w:rPr>
        <w:t>XCJS2026-014</w:t>
      </w:r>
    </w:p>
    <w:p w14:paraId="015B35E1">
      <w:pPr>
        <w:keepNext w:val="0"/>
        <w:keepLines w:val="0"/>
        <w:pageBreakBefore w:val="0"/>
        <w:widowControl w:val="0"/>
        <w:kinsoku/>
        <w:wordWrap w:val="0"/>
        <w:overflowPunct/>
        <w:topLinePunct w:val="0"/>
        <w:autoSpaceDE/>
        <w:autoSpaceDN/>
        <w:bidi w:val="0"/>
        <w:adjustRightInd/>
        <w:snapToGrid/>
        <w:spacing w:line="360" w:lineRule="auto"/>
        <w:ind w:right="0"/>
        <w:textAlignment w:val="auto"/>
        <w:rPr>
          <w:rFonts w:ascii="宋体" w:hAnsi="宋体"/>
          <w:color w:val="auto"/>
          <w:sz w:val="24"/>
          <w:szCs w:val="24"/>
          <w:highlight w:val="none"/>
        </w:rPr>
      </w:pPr>
      <w:r>
        <w:rPr>
          <w:rFonts w:hint="eastAsia" w:ascii="宋体" w:hAnsi="宋体"/>
          <w:b/>
          <w:color w:val="auto"/>
          <w:sz w:val="24"/>
          <w:szCs w:val="24"/>
          <w:highlight w:val="none"/>
        </w:rPr>
        <w:t>1.招标条件</w:t>
      </w:r>
    </w:p>
    <w:p w14:paraId="40E85245">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ascii="宋体" w:hAnsi="宋体"/>
          <w:color w:val="auto"/>
          <w:highlight w:val="none"/>
        </w:rPr>
      </w:pPr>
      <w:r>
        <w:rPr>
          <w:rFonts w:hint="eastAsia" w:ascii="宋体" w:hAnsi="宋体" w:eastAsia="宋体" w:cs="宋体"/>
          <w:color w:val="auto"/>
          <w:kern w:val="2"/>
          <w:sz w:val="21"/>
          <w:szCs w:val="21"/>
          <w:highlight w:val="none"/>
          <w:lang w:val="en-US" w:eastAsia="zh-CN" w:bidi="ar-SA"/>
        </w:rPr>
        <w:t>本招标项目</w:t>
      </w:r>
      <w:r>
        <w:rPr>
          <w:rFonts w:hint="eastAsia" w:ascii="宋体" w:hAnsi="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u w:val="single"/>
          <w:lang w:val="en-US" w:eastAsia="zh-CN" w:bidi="ar-SA"/>
        </w:rPr>
        <w:t xml:space="preserve">2026年新蔡县农村公路建设养护项目 </w:t>
      </w:r>
      <w:r>
        <w:rPr>
          <w:rFonts w:hint="eastAsia" w:ascii="宋体" w:hAnsi="宋体" w:eastAsia="宋体" w:cs="宋体"/>
          <w:color w:val="auto"/>
          <w:kern w:val="2"/>
          <w:sz w:val="21"/>
          <w:szCs w:val="21"/>
          <w:highlight w:val="none"/>
          <w:lang w:val="en-US" w:eastAsia="zh-CN" w:bidi="ar-SA"/>
        </w:rPr>
        <w:t>已由</w:t>
      </w:r>
      <w:r>
        <w:rPr>
          <w:rFonts w:hint="eastAsia" w:ascii="宋体" w:hAnsi="宋体" w:cs="宋体"/>
          <w:color w:val="auto"/>
          <w:kern w:val="2"/>
          <w:sz w:val="21"/>
          <w:szCs w:val="21"/>
          <w:highlight w:val="none"/>
          <w:u w:val="single"/>
          <w:lang w:val="en-US" w:eastAsia="zh-CN" w:bidi="ar-SA"/>
        </w:rPr>
        <w:t>新蔡</w:t>
      </w:r>
      <w:r>
        <w:rPr>
          <w:rFonts w:hint="eastAsia" w:ascii="宋体" w:hAnsi="宋体" w:eastAsia="宋体" w:cs="宋体"/>
          <w:color w:val="auto"/>
          <w:kern w:val="2"/>
          <w:sz w:val="21"/>
          <w:szCs w:val="21"/>
          <w:highlight w:val="none"/>
          <w:u w:val="single"/>
          <w:lang w:val="en-US" w:eastAsia="zh-CN" w:bidi="ar-SA"/>
        </w:rPr>
        <w:t>县</w:t>
      </w:r>
      <w:r>
        <w:rPr>
          <w:rFonts w:hint="eastAsia" w:ascii="宋体" w:hAnsi="宋体" w:cs="宋体"/>
          <w:color w:val="auto"/>
          <w:kern w:val="2"/>
          <w:sz w:val="21"/>
          <w:szCs w:val="21"/>
          <w:highlight w:val="none"/>
          <w:u w:val="single"/>
          <w:lang w:val="en-US" w:eastAsia="zh-CN" w:bidi="ar-SA"/>
        </w:rPr>
        <w:t xml:space="preserve">发展和改革委员会 </w:t>
      </w:r>
      <w:r>
        <w:rPr>
          <w:rFonts w:hint="eastAsia" w:ascii="宋体" w:hAnsi="宋体" w:cs="宋体"/>
          <w:color w:val="auto"/>
          <w:kern w:val="2"/>
          <w:sz w:val="21"/>
          <w:szCs w:val="21"/>
          <w:highlight w:val="none"/>
          <w:u w:val="none"/>
          <w:lang w:val="en-US" w:eastAsia="zh-CN" w:bidi="ar-SA"/>
        </w:rPr>
        <w:t xml:space="preserve">以 </w:t>
      </w:r>
      <w:r>
        <w:rPr>
          <w:rFonts w:hint="eastAsia" w:ascii="宋体" w:hAnsi="宋体" w:eastAsia="宋体" w:cs="宋体"/>
          <w:color w:val="auto"/>
          <w:kern w:val="2"/>
          <w:sz w:val="21"/>
          <w:szCs w:val="21"/>
          <w:highlight w:val="none"/>
          <w:u w:val="single"/>
          <w:lang w:val="en-US" w:eastAsia="zh-CN" w:bidi="ar-SA"/>
        </w:rPr>
        <w:t>新发改审批[2026]</w:t>
      </w:r>
      <w:r>
        <w:rPr>
          <w:rFonts w:hint="eastAsia" w:ascii="宋体" w:hAnsi="宋体" w:cs="宋体"/>
          <w:color w:val="auto"/>
          <w:kern w:val="2"/>
          <w:sz w:val="21"/>
          <w:szCs w:val="21"/>
          <w:highlight w:val="none"/>
          <w:u w:val="single"/>
          <w:lang w:val="en-US" w:eastAsia="zh-CN" w:bidi="ar-SA"/>
        </w:rPr>
        <w:t>99</w:t>
      </w:r>
      <w:r>
        <w:rPr>
          <w:rFonts w:hint="eastAsia" w:ascii="宋体" w:hAnsi="宋体" w:eastAsia="宋体" w:cs="宋体"/>
          <w:color w:val="auto"/>
          <w:kern w:val="2"/>
          <w:sz w:val="21"/>
          <w:szCs w:val="21"/>
          <w:highlight w:val="none"/>
          <w:u w:val="single"/>
          <w:lang w:val="en-US" w:eastAsia="zh-CN" w:bidi="ar-SA"/>
        </w:rPr>
        <w:t>号</w:t>
      </w:r>
      <w:r>
        <w:rPr>
          <w:rFonts w:hint="eastAsia" w:ascii="宋体" w:hAnsi="宋体" w:eastAsia="宋体" w:cs="宋体"/>
          <w:color w:val="auto"/>
          <w:kern w:val="2"/>
          <w:sz w:val="21"/>
          <w:szCs w:val="21"/>
          <w:highlight w:val="none"/>
          <w:lang w:val="en-US" w:eastAsia="zh-CN" w:bidi="ar-SA"/>
        </w:rPr>
        <w:t>批准，项目代码：</w:t>
      </w:r>
      <w:r>
        <w:rPr>
          <w:rFonts w:hint="eastAsia" w:ascii="宋体" w:hAnsi="宋体" w:cs="宋体"/>
          <w:color w:val="000000"/>
          <w:kern w:val="2"/>
          <w:sz w:val="21"/>
          <w:szCs w:val="21"/>
          <w:highlight w:val="none"/>
          <w:u w:val="single"/>
          <w:lang w:val="en-US" w:eastAsia="zh-CN" w:bidi="ar-SA"/>
        </w:rPr>
        <w:t>2607-411729-04-01-438661</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施工图设计已由</w:t>
      </w:r>
      <w:r>
        <w:rPr>
          <w:rFonts w:hint="eastAsia" w:ascii="宋体" w:hAnsi="宋体" w:cs="宋体"/>
          <w:color w:val="auto"/>
          <w:kern w:val="2"/>
          <w:sz w:val="21"/>
          <w:szCs w:val="21"/>
          <w:highlight w:val="none"/>
          <w:u w:val="single"/>
          <w:lang w:val="en-US" w:eastAsia="zh-CN" w:bidi="ar-SA"/>
        </w:rPr>
        <w:t>新蔡县交通运输局</w:t>
      </w:r>
      <w:r>
        <w:rPr>
          <w:rFonts w:hint="eastAsia" w:ascii="宋体" w:hAnsi="宋体" w:cs="宋体"/>
          <w:color w:val="auto"/>
          <w:kern w:val="2"/>
          <w:sz w:val="21"/>
          <w:szCs w:val="21"/>
          <w:highlight w:val="none"/>
          <w:lang w:val="en-US" w:eastAsia="zh-CN" w:bidi="ar-SA"/>
        </w:rPr>
        <w:t>以</w:t>
      </w:r>
      <w:r>
        <w:rPr>
          <w:rFonts w:hint="eastAsia" w:ascii="宋体" w:hAnsi="宋体" w:cs="宋体"/>
          <w:color w:val="auto"/>
          <w:kern w:val="2"/>
          <w:sz w:val="21"/>
          <w:szCs w:val="21"/>
          <w:highlight w:val="none"/>
          <w:u w:val="single"/>
          <w:lang w:val="en-US" w:eastAsia="zh-CN" w:bidi="ar-SA"/>
        </w:rPr>
        <w:t>新交文[2026]89号</w:t>
      </w:r>
      <w:r>
        <w:rPr>
          <w:rFonts w:hint="eastAsia" w:ascii="宋体" w:hAnsi="宋体" w:cs="宋体"/>
          <w:color w:val="auto"/>
          <w:kern w:val="2"/>
          <w:sz w:val="21"/>
          <w:szCs w:val="21"/>
          <w:highlight w:val="none"/>
          <w:lang w:val="en-US" w:eastAsia="zh-CN" w:bidi="ar-SA"/>
        </w:rPr>
        <w:t>批准，</w:t>
      </w:r>
      <w:r>
        <w:rPr>
          <w:rFonts w:hint="eastAsia" w:ascii="宋体" w:hAnsi="宋体" w:eastAsia="宋体" w:cs="宋体"/>
          <w:color w:val="auto"/>
          <w:kern w:val="2"/>
          <w:sz w:val="21"/>
          <w:szCs w:val="21"/>
          <w:highlight w:val="none"/>
          <w:lang w:val="en-US" w:eastAsia="zh-CN" w:bidi="ar-SA"/>
        </w:rPr>
        <w:t>招标人为</w:t>
      </w:r>
      <w:r>
        <w:rPr>
          <w:rFonts w:hint="eastAsia" w:ascii="宋体" w:hAnsi="宋体" w:eastAsia="宋体" w:cs="宋体"/>
          <w:color w:val="auto"/>
          <w:kern w:val="2"/>
          <w:sz w:val="21"/>
          <w:szCs w:val="21"/>
          <w:highlight w:val="none"/>
          <w:u w:val="single"/>
          <w:lang w:val="en-US" w:eastAsia="zh-CN" w:bidi="ar-SA"/>
        </w:rPr>
        <w:t>新蔡县农村公路事业发展中心</w:t>
      </w:r>
      <w:r>
        <w:rPr>
          <w:rFonts w:hint="eastAsia" w:ascii="宋体" w:hAnsi="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，建设资金来源为</w:t>
      </w:r>
      <w:r>
        <w:rPr>
          <w:rFonts w:hint="eastAsia" w:ascii="宋体" w:hAnsi="宋体" w:cs="宋体"/>
          <w:color w:val="000000"/>
          <w:kern w:val="2"/>
          <w:sz w:val="21"/>
          <w:szCs w:val="21"/>
          <w:highlight w:val="none"/>
          <w:u w:val="single"/>
          <w:lang w:val="en-US" w:eastAsia="zh-CN" w:bidi="ar-SA"/>
        </w:rPr>
        <w:t>财政</w:t>
      </w:r>
      <w:r>
        <w:rPr>
          <w:rFonts w:hint="eastAsia" w:ascii="宋体" w:hAnsi="宋体" w:eastAsia="宋体" w:cs="宋体"/>
          <w:color w:val="000000"/>
          <w:kern w:val="2"/>
          <w:sz w:val="21"/>
          <w:szCs w:val="21"/>
          <w:highlight w:val="none"/>
          <w:u w:val="single"/>
          <w:lang w:val="en-US" w:eastAsia="zh-CN" w:bidi="ar-SA"/>
        </w:rPr>
        <w:t>资金，</w:t>
      </w:r>
      <w:r>
        <w:rPr>
          <w:rFonts w:hint="eastAsia" w:ascii="宋体" w:hAnsi="宋体" w:cs="宋体"/>
          <w:color w:val="000000"/>
          <w:kern w:val="2"/>
          <w:sz w:val="21"/>
          <w:szCs w:val="21"/>
          <w:highlight w:val="none"/>
          <w:u w:val="single"/>
          <w:lang w:val="en-US" w:eastAsia="zh-CN" w:bidi="ar-SA"/>
        </w:rPr>
        <w:t>已落实</w:t>
      </w:r>
      <w:r>
        <w:rPr>
          <w:rFonts w:hint="eastAsia" w:ascii="宋体" w:hAnsi="宋体" w:eastAsia="宋体" w:cs="宋体"/>
          <w:color w:val="auto"/>
          <w:kern w:val="2"/>
          <w:sz w:val="21"/>
          <w:szCs w:val="21"/>
          <w:highlight w:val="none"/>
          <w:lang w:val="en-US" w:eastAsia="zh-CN" w:bidi="ar-SA"/>
        </w:rPr>
        <w:t>。项目已具备招标条件，现对该项目的施工和监理进行公开招标。</w:t>
      </w:r>
    </w:p>
    <w:p w14:paraId="4F185618">
      <w:pPr>
        <w:keepNext w:val="0"/>
        <w:keepLines w:val="0"/>
        <w:pageBreakBefore w:val="0"/>
        <w:widowControl w:val="0"/>
        <w:kinsoku/>
        <w:wordWrap w:val="0"/>
        <w:overflowPunct/>
        <w:topLinePunct w:val="0"/>
        <w:autoSpaceDE/>
        <w:autoSpaceDN/>
        <w:bidi w:val="0"/>
        <w:adjustRightInd/>
        <w:snapToGrid/>
        <w:spacing w:line="360" w:lineRule="auto"/>
        <w:ind w:right="0"/>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2.项目概况与招标范围</w:t>
      </w:r>
    </w:p>
    <w:p w14:paraId="1AA30837">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rPr>
        <w:t>2.1、项目名称：</w:t>
      </w:r>
      <w:r>
        <w:rPr>
          <w:rFonts w:hint="eastAsia" w:ascii="宋体" w:hAnsi="宋体" w:eastAsia="宋体" w:cs="宋体"/>
          <w:color w:val="auto"/>
          <w:szCs w:val="21"/>
          <w:highlight w:val="none"/>
          <w:lang w:val="en-US" w:eastAsia="zh-CN"/>
        </w:rPr>
        <w:t>2026年新蔡县农村公路建设养护项目</w:t>
      </w:r>
    </w:p>
    <w:p w14:paraId="772777D0">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2.2、项目建设地点：</w:t>
      </w:r>
      <w:r>
        <w:rPr>
          <w:rFonts w:hint="eastAsia" w:ascii="宋体" w:hAnsi="宋体" w:cs="宋体"/>
          <w:color w:val="auto"/>
          <w:szCs w:val="21"/>
          <w:highlight w:val="none"/>
          <w:lang w:val="en-US" w:eastAsia="zh-CN"/>
        </w:rPr>
        <w:t>新蔡</w:t>
      </w:r>
      <w:r>
        <w:rPr>
          <w:rFonts w:hint="eastAsia" w:ascii="宋体" w:hAnsi="宋体" w:eastAsia="宋体" w:cs="宋体"/>
          <w:color w:val="auto"/>
          <w:szCs w:val="21"/>
          <w:highlight w:val="none"/>
          <w:lang w:val="en-US" w:eastAsia="zh-CN"/>
        </w:rPr>
        <w:t>县实施农村公路62.01公里。</w:t>
      </w:r>
    </w:p>
    <w:p w14:paraId="51113818">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2.3、项目规模：项目共包含41 条农村道路，建设道路总里程62.01公里。建设标准为：四级公路，设计速度 20km/h，路基宽度4.5m、5.5m，路面宽度 3.5m、4.5m。</w:t>
      </w:r>
    </w:p>
    <w:p w14:paraId="09A44B8E">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lang w:val="en-US" w:eastAsia="zh-CN"/>
        </w:rPr>
      </w:pPr>
      <w:r>
        <w:rPr>
          <w:rFonts w:hint="default" w:ascii="宋体" w:hAnsi="宋体" w:eastAsia="宋体" w:cs="宋体"/>
          <w:color w:val="auto"/>
          <w:szCs w:val="21"/>
          <w:highlight w:val="none"/>
          <w:lang w:val="en-US"/>
        </w:rPr>
        <w:t>2.</w:t>
      </w:r>
      <w:r>
        <w:rPr>
          <w:rFonts w:hint="eastAsia" w:ascii="宋体" w:hAnsi="宋体" w:eastAsia="宋体" w:cs="宋体"/>
          <w:color w:val="auto"/>
          <w:szCs w:val="21"/>
          <w:highlight w:val="none"/>
          <w:lang w:val="en-US" w:eastAsia="zh-CN"/>
        </w:rPr>
        <w:t>4、</w:t>
      </w:r>
      <w:r>
        <w:rPr>
          <w:rFonts w:hint="default" w:ascii="宋体" w:hAnsi="宋体" w:eastAsia="宋体" w:cs="宋体"/>
          <w:color w:val="auto"/>
          <w:szCs w:val="21"/>
          <w:highlight w:val="none"/>
          <w:lang w:val="en-US"/>
        </w:rPr>
        <w:t>标段划分：本项目划分</w:t>
      </w:r>
      <w:r>
        <w:rPr>
          <w:rFonts w:hint="eastAsia" w:ascii="宋体" w:hAnsi="宋体" w:eastAsia="宋体" w:cs="宋体"/>
          <w:color w:val="auto"/>
          <w:szCs w:val="21"/>
          <w:highlight w:val="none"/>
          <w:lang w:val="en-US" w:eastAsia="zh-CN"/>
        </w:rPr>
        <w:t>二个标段</w:t>
      </w:r>
      <w:r>
        <w:rPr>
          <w:rFonts w:hint="eastAsia" w:ascii="宋体" w:hAnsi="宋体" w:cs="宋体"/>
          <w:color w:val="auto"/>
          <w:szCs w:val="21"/>
          <w:highlight w:val="none"/>
          <w:lang w:val="en-US" w:eastAsia="zh-CN"/>
        </w:rPr>
        <w:t>。</w:t>
      </w:r>
    </w:p>
    <w:p w14:paraId="4E85DAF9">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第一标段：施工标段</w:t>
      </w:r>
    </w:p>
    <w:p w14:paraId="2CE44780">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第二标段：监理标段</w:t>
      </w:r>
    </w:p>
    <w:p w14:paraId="0CB65FB6">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施工</w:t>
      </w:r>
      <w:r>
        <w:rPr>
          <w:rFonts w:hint="eastAsia" w:ascii="宋体" w:hAnsi="宋体" w:cs="宋体"/>
          <w:color w:val="auto"/>
          <w:szCs w:val="21"/>
          <w:highlight w:val="none"/>
        </w:rPr>
        <w:t>工期要求：</w:t>
      </w:r>
      <w:r>
        <w:rPr>
          <w:rFonts w:hint="eastAsia" w:ascii="宋体" w:hAnsi="宋体" w:cs="宋体"/>
          <w:color w:val="auto"/>
          <w:szCs w:val="21"/>
          <w:highlight w:val="none"/>
          <w:lang w:val="en-US" w:eastAsia="zh-CN"/>
        </w:rPr>
        <w:t>90</w:t>
      </w:r>
      <w:r>
        <w:rPr>
          <w:rFonts w:hint="eastAsia" w:ascii="宋体" w:hAnsi="宋体" w:cs="宋体"/>
          <w:color w:val="auto"/>
          <w:szCs w:val="21"/>
          <w:highlight w:val="none"/>
        </w:rPr>
        <w:t>日历天，缺陷责任</w:t>
      </w:r>
      <w:r>
        <w:rPr>
          <w:rFonts w:hint="eastAsia" w:ascii="宋体" w:hAnsi="宋体" w:cs="宋体"/>
          <w:color w:val="000000"/>
          <w:szCs w:val="21"/>
          <w:highlight w:val="none"/>
        </w:rPr>
        <w:t>期</w:t>
      </w:r>
      <w:r>
        <w:rPr>
          <w:rFonts w:hint="eastAsia" w:ascii="宋体" w:hAnsi="宋体" w:cs="宋体"/>
          <w:color w:val="000000"/>
          <w:szCs w:val="21"/>
          <w:highlight w:val="none"/>
          <w:lang w:val="en-US" w:eastAsia="zh-CN"/>
        </w:rPr>
        <w:t>24</w:t>
      </w:r>
      <w:r>
        <w:rPr>
          <w:rFonts w:hint="eastAsia" w:ascii="宋体" w:hAnsi="宋体" w:cs="宋体"/>
          <w:color w:val="000000"/>
          <w:szCs w:val="21"/>
          <w:highlight w:val="none"/>
        </w:rPr>
        <w:t>个</w:t>
      </w:r>
      <w:r>
        <w:rPr>
          <w:rFonts w:hint="eastAsia" w:ascii="宋体" w:hAnsi="宋体" w:cs="宋体"/>
          <w:color w:val="auto"/>
          <w:szCs w:val="21"/>
          <w:highlight w:val="none"/>
        </w:rPr>
        <w:t>月</w:t>
      </w:r>
      <w:r>
        <w:rPr>
          <w:rFonts w:hint="eastAsia" w:ascii="宋体" w:hAnsi="宋体" w:cs="宋体"/>
          <w:color w:val="auto"/>
          <w:szCs w:val="21"/>
          <w:highlight w:val="none"/>
          <w:lang w:eastAsia="zh-CN"/>
        </w:rPr>
        <w:t>。</w:t>
      </w:r>
    </w:p>
    <w:p w14:paraId="0530C2EE">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监理服务期：</w:t>
      </w:r>
      <w:r>
        <w:rPr>
          <w:rFonts w:hint="eastAsia" w:ascii="宋体" w:hAnsi="宋体" w:cs="宋体"/>
          <w:color w:val="auto"/>
          <w:szCs w:val="21"/>
          <w:highlight w:val="none"/>
          <w:lang w:val="en-US" w:eastAsia="zh-CN"/>
        </w:rPr>
        <w:t>签订合同之日起，至缺陷责任期期满止，包括施工准备阶段、施工阶段和验收结算阶段、配合结算审计阶段、保修阶段。</w:t>
      </w:r>
    </w:p>
    <w:p w14:paraId="6D80D050">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施工</w:t>
      </w:r>
      <w:r>
        <w:rPr>
          <w:rFonts w:hint="eastAsia" w:ascii="宋体" w:hAnsi="宋体" w:cs="宋体"/>
          <w:color w:val="auto"/>
          <w:szCs w:val="21"/>
          <w:highlight w:val="none"/>
        </w:rPr>
        <w:t>招标范围：</w:t>
      </w:r>
      <w:r>
        <w:rPr>
          <w:rFonts w:hint="eastAsia" w:ascii="宋体" w:hAnsi="宋体" w:cs="宋体"/>
          <w:color w:val="auto"/>
          <w:szCs w:val="21"/>
          <w:highlight w:val="none"/>
          <w:lang w:eastAsia="zh-CN"/>
        </w:rPr>
        <w:t>招标文件所含全部内容（最终以工程量清单、施工图纸内容和施工招标答疑纪要为准）</w:t>
      </w:r>
      <w:r>
        <w:rPr>
          <w:rFonts w:hint="eastAsia" w:ascii="宋体" w:hAnsi="宋体" w:cs="宋体"/>
          <w:color w:val="auto"/>
          <w:szCs w:val="21"/>
          <w:highlight w:val="none"/>
          <w:lang w:val="en-US" w:eastAsia="zh-CN"/>
        </w:rPr>
        <w:t>。监理招标范围：本工程施工及保修阶段监理工作。</w:t>
      </w:r>
    </w:p>
    <w:p w14:paraId="0C32B2F9">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2.7、质量要求：合格</w:t>
      </w:r>
    </w:p>
    <w:p w14:paraId="75BB947D">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w:t>
      </w:r>
      <w:r>
        <w:rPr>
          <w:rFonts w:hint="eastAsia" w:ascii="宋体" w:hAnsi="宋体" w:eastAsia="宋体" w:cs="宋体"/>
          <w:color w:val="auto"/>
          <w:szCs w:val="21"/>
          <w:highlight w:val="none"/>
          <w:lang w:val="en-US" w:eastAsia="zh-CN"/>
        </w:rPr>
        <w:t>本项目采用“评定分离”</w:t>
      </w:r>
      <w:r>
        <w:rPr>
          <w:rFonts w:hint="eastAsia" w:ascii="宋体" w:hAnsi="宋体" w:cs="宋体"/>
          <w:color w:val="auto"/>
          <w:szCs w:val="21"/>
          <w:highlight w:val="none"/>
          <w:lang w:val="en-US" w:eastAsia="zh-CN"/>
        </w:rPr>
        <w:t>核查随机法</w:t>
      </w:r>
      <w:r>
        <w:rPr>
          <w:rFonts w:hint="eastAsia" w:ascii="宋体" w:hAnsi="宋体" w:eastAsia="宋体" w:cs="宋体"/>
          <w:color w:val="auto"/>
          <w:szCs w:val="21"/>
          <w:highlight w:val="none"/>
          <w:lang w:val="en-US" w:eastAsia="zh-CN"/>
        </w:rPr>
        <w:t>确定中标人</w:t>
      </w:r>
      <w:r>
        <w:rPr>
          <w:rFonts w:hint="eastAsia" w:ascii="宋体" w:hAnsi="宋体" w:cs="宋体"/>
          <w:color w:val="auto"/>
          <w:szCs w:val="21"/>
          <w:highlight w:val="none"/>
          <w:lang w:eastAsia="zh-CN"/>
        </w:rPr>
        <w:t>。</w:t>
      </w:r>
    </w:p>
    <w:p w14:paraId="3473D50F">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3.投标人资格要求</w:t>
      </w:r>
    </w:p>
    <w:p w14:paraId="5E0840A1">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3.1施工标段资质要求</w:t>
      </w:r>
      <w:r>
        <w:rPr>
          <w:rFonts w:hint="eastAsia" w:ascii="宋体" w:hAnsi="宋体" w:eastAsia="宋体" w:cs="宋体"/>
          <w:color w:val="auto"/>
          <w:kern w:val="2"/>
          <w:sz w:val="21"/>
          <w:szCs w:val="21"/>
          <w:highlight w:val="none"/>
          <w:lang w:val="en-US" w:eastAsia="zh-CN" w:bidi="ar-SA"/>
        </w:rPr>
        <w:t>：</w:t>
      </w:r>
    </w:p>
    <w:p w14:paraId="1091B9E6">
      <w:pPr>
        <w:pStyle w:val="23"/>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firstLine="440" w:firstLineChars="0"/>
        <w:jc w:val="left"/>
        <w:textAlignment w:val="auto"/>
        <w:outlineLvl w:val="9"/>
        <w:rPr>
          <w:rFonts w:hint="eastAsia" w:ascii="宋体" w:hAnsi="宋体" w:cs="宋体"/>
          <w:color w:val="000000"/>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1）投标人须</w:t>
      </w:r>
      <w:r>
        <w:rPr>
          <w:rFonts w:hint="eastAsia" w:ascii="宋体" w:hAnsi="宋体" w:eastAsia="宋体" w:cs="宋体"/>
          <w:color w:val="000000"/>
          <w:kern w:val="2"/>
          <w:sz w:val="21"/>
          <w:szCs w:val="21"/>
          <w:highlight w:val="none"/>
          <w:lang w:val="en-US" w:eastAsia="zh-CN" w:bidi="ar-SA"/>
        </w:rPr>
        <w:t>具备独立法人资</w:t>
      </w:r>
      <w:r>
        <w:rPr>
          <w:rFonts w:hint="eastAsia" w:ascii="宋体" w:hAnsi="宋体" w:cs="宋体"/>
          <w:color w:val="000000"/>
          <w:kern w:val="2"/>
          <w:sz w:val="21"/>
          <w:szCs w:val="21"/>
          <w:highlight w:val="none"/>
          <w:lang w:val="en-US" w:eastAsia="zh-CN" w:bidi="ar-SA"/>
        </w:rPr>
        <w:t>格，具有有效的营业执照、</w:t>
      </w:r>
      <w:r>
        <w:rPr>
          <w:rFonts w:hint="eastAsia" w:ascii="宋体" w:hAnsi="宋体" w:eastAsia="宋体" w:cs="宋体"/>
          <w:color w:val="000000"/>
          <w:sz w:val="21"/>
          <w:szCs w:val="21"/>
          <w:highlight w:val="none"/>
          <w:lang w:val="en-US" w:eastAsia="zh-CN"/>
        </w:rPr>
        <w:t>具备公路工程施工总承包贰级及以上资质，具有有效的安全生产许可证</w:t>
      </w:r>
      <w:r>
        <w:rPr>
          <w:rFonts w:hint="eastAsia" w:ascii="宋体" w:hAnsi="宋体" w:eastAsia="宋体" w:cs="宋体"/>
          <w:color w:val="000000"/>
          <w:sz w:val="21"/>
          <w:szCs w:val="21"/>
          <w:highlight w:val="none"/>
        </w:rPr>
        <w:t>，并在人员、设备、资金等方面具有相应的施工能力；</w:t>
      </w:r>
    </w:p>
    <w:p w14:paraId="3D9C6202">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000000"/>
          <w:kern w:val="2"/>
          <w:sz w:val="21"/>
          <w:szCs w:val="21"/>
          <w:highlight w:val="none"/>
          <w:lang w:val="en-US" w:eastAsia="zh-CN" w:bidi="ar-SA"/>
        </w:rPr>
      </w:pPr>
      <w:bookmarkStart w:id="11" w:name="OLE_LINK15"/>
      <w:r>
        <w:rPr>
          <w:rFonts w:hint="eastAsia" w:ascii="宋体" w:hAnsi="宋体" w:cs="宋体"/>
          <w:color w:val="000000"/>
          <w:kern w:val="2"/>
          <w:sz w:val="21"/>
          <w:szCs w:val="21"/>
          <w:highlight w:val="none"/>
          <w:lang w:val="en-US" w:eastAsia="zh-CN" w:bidi="ar-SA"/>
        </w:rPr>
        <w:t>2）</w:t>
      </w:r>
      <w:r>
        <w:rPr>
          <w:rFonts w:hint="eastAsia" w:ascii="宋体" w:hAnsi="宋体" w:eastAsia="宋体" w:cs="宋体"/>
          <w:color w:val="000000"/>
          <w:kern w:val="2"/>
          <w:sz w:val="21"/>
          <w:szCs w:val="21"/>
          <w:highlight w:val="none"/>
          <w:lang w:val="en-US" w:eastAsia="zh-CN" w:bidi="ar-SA"/>
        </w:rPr>
        <w:t>拟派项目经理</w:t>
      </w:r>
      <w:r>
        <w:rPr>
          <w:rFonts w:hint="eastAsia" w:ascii="宋体" w:hAnsi="宋体" w:eastAsia="宋体" w:cs="宋体"/>
          <w:color w:val="000000"/>
          <w:sz w:val="21"/>
          <w:szCs w:val="21"/>
          <w:highlight w:val="none"/>
          <w:lang w:val="en-US" w:eastAsia="zh-CN"/>
        </w:rPr>
        <w:t>须具有公路工程专业贰级及以上注册建造师执业资格</w:t>
      </w:r>
      <w:r>
        <w:rPr>
          <w:rFonts w:hint="eastAsia" w:ascii="宋体" w:hAnsi="宋体" w:eastAsia="宋体" w:cs="宋体"/>
          <w:color w:val="000000"/>
          <w:kern w:val="2"/>
          <w:sz w:val="21"/>
          <w:szCs w:val="21"/>
          <w:highlight w:val="none"/>
          <w:lang w:val="en-US" w:eastAsia="zh-CN" w:bidi="ar-SA"/>
        </w:rPr>
        <w:t>，</w:t>
      </w:r>
      <w:r>
        <w:rPr>
          <w:rFonts w:hint="eastAsia" w:ascii="宋体" w:hAnsi="宋体" w:eastAsia="宋体" w:cs="宋体"/>
          <w:color w:val="000000"/>
          <w:sz w:val="21"/>
          <w:szCs w:val="21"/>
          <w:highlight w:val="none"/>
          <w:lang w:val="en-US" w:eastAsia="zh-CN"/>
        </w:rPr>
        <w:t>且具备有效的安全生产考核合格证书</w:t>
      </w:r>
      <w:r>
        <w:rPr>
          <w:rFonts w:hint="eastAsia" w:ascii="宋体" w:hAnsi="宋体" w:cs="宋体"/>
          <w:color w:val="000000"/>
          <w:sz w:val="21"/>
          <w:szCs w:val="21"/>
          <w:highlight w:val="none"/>
          <w:lang w:val="en-US" w:eastAsia="zh-CN"/>
        </w:rPr>
        <w:t>（B证）</w:t>
      </w:r>
      <w:r>
        <w:rPr>
          <w:rFonts w:hint="eastAsia" w:ascii="宋体" w:hAnsi="宋体" w:eastAsia="宋体" w:cs="宋体"/>
          <w:color w:val="000000"/>
          <w:kern w:val="2"/>
          <w:sz w:val="21"/>
          <w:szCs w:val="21"/>
          <w:highlight w:val="none"/>
          <w:lang w:val="en-US" w:eastAsia="zh-CN" w:bidi="ar-SA"/>
        </w:rPr>
        <w:t>。投标人应出具拟派项目经理无在建承诺书（格式自拟）</w:t>
      </w:r>
      <w:r>
        <w:rPr>
          <w:rFonts w:hint="eastAsia" w:ascii="宋体" w:hAnsi="宋体" w:cs="宋体"/>
          <w:color w:val="000000"/>
          <w:kern w:val="2"/>
          <w:sz w:val="21"/>
          <w:szCs w:val="21"/>
          <w:highlight w:val="none"/>
          <w:lang w:val="en-US" w:eastAsia="zh-CN" w:bidi="ar-SA"/>
        </w:rPr>
        <w:t>，提供劳动合同和近六个月社保缴纳证明材料。</w:t>
      </w:r>
    </w:p>
    <w:p w14:paraId="535421A8">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拟派项目总工须具有</w:t>
      </w:r>
      <w:r>
        <w:rPr>
          <w:rFonts w:hint="eastAsia" w:ascii="宋体" w:hAnsi="宋体" w:cs="宋体"/>
          <w:color w:val="auto"/>
          <w:kern w:val="2"/>
          <w:sz w:val="21"/>
          <w:szCs w:val="21"/>
          <w:highlight w:val="none"/>
          <w:lang w:val="en-US" w:eastAsia="zh-CN" w:bidi="ar-SA"/>
        </w:rPr>
        <w:t>交通或</w:t>
      </w:r>
      <w:r>
        <w:rPr>
          <w:rFonts w:hint="eastAsia" w:ascii="宋体" w:hAnsi="宋体" w:eastAsia="宋体" w:cs="宋体"/>
          <w:color w:val="auto"/>
          <w:kern w:val="2"/>
          <w:sz w:val="21"/>
          <w:szCs w:val="21"/>
          <w:highlight w:val="none"/>
          <w:lang w:val="en-US" w:eastAsia="zh-CN" w:bidi="ar-SA"/>
        </w:rPr>
        <w:t>公路</w:t>
      </w:r>
      <w:r>
        <w:rPr>
          <w:rFonts w:hint="eastAsia" w:ascii="宋体" w:hAnsi="宋体" w:cs="宋体"/>
          <w:color w:val="auto"/>
          <w:kern w:val="2"/>
          <w:sz w:val="21"/>
          <w:szCs w:val="21"/>
          <w:highlight w:val="none"/>
          <w:lang w:val="en-US" w:eastAsia="zh-CN" w:bidi="ar-SA"/>
        </w:rPr>
        <w:t>工程</w:t>
      </w:r>
      <w:r>
        <w:rPr>
          <w:rFonts w:hint="eastAsia" w:ascii="宋体" w:hAnsi="宋体" w:eastAsia="宋体" w:cs="宋体"/>
          <w:color w:val="auto"/>
          <w:kern w:val="2"/>
          <w:sz w:val="21"/>
          <w:szCs w:val="21"/>
          <w:highlight w:val="none"/>
          <w:lang w:val="en-US" w:eastAsia="zh-CN" w:bidi="ar-SA"/>
        </w:rPr>
        <w:t>相关</w:t>
      </w:r>
      <w:r>
        <w:rPr>
          <w:rFonts w:hint="eastAsia" w:ascii="宋体" w:hAnsi="宋体" w:eastAsia="宋体" w:cs="宋体"/>
          <w:color w:val="000000"/>
          <w:kern w:val="2"/>
          <w:sz w:val="21"/>
          <w:szCs w:val="21"/>
          <w:highlight w:val="none"/>
          <w:lang w:val="en-US" w:eastAsia="zh-CN" w:bidi="ar-SA"/>
        </w:rPr>
        <w:t>专业</w:t>
      </w:r>
      <w:r>
        <w:rPr>
          <w:rFonts w:hint="eastAsia" w:ascii="宋体" w:hAnsi="宋体" w:cs="宋体"/>
          <w:color w:val="000000"/>
          <w:kern w:val="2"/>
          <w:sz w:val="21"/>
          <w:szCs w:val="21"/>
          <w:highlight w:val="none"/>
          <w:lang w:val="en-US" w:eastAsia="zh-CN" w:bidi="ar-SA"/>
        </w:rPr>
        <w:t>中</w:t>
      </w:r>
      <w:r>
        <w:rPr>
          <w:rFonts w:hint="eastAsia" w:ascii="宋体" w:hAnsi="宋体" w:eastAsia="宋体" w:cs="宋体"/>
          <w:color w:val="000000"/>
          <w:kern w:val="2"/>
          <w:sz w:val="21"/>
          <w:szCs w:val="21"/>
          <w:highlight w:val="none"/>
          <w:lang w:val="en-US" w:eastAsia="zh-CN" w:bidi="ar-SA"/>
        </w:rPr>
        <w:t>级及以</w:t>
      </w:r>
      <w:r>
        <w:rPr>
          <w:rFonts w:hint="eastAsia" w:ascii="宋体" w:hAnsi="宋体" w:eastAsia="宋体" w:cs="宋体"/>
          <w:color w:val="auto"/>
          <w:kern w:val="2"/>
          <w:sz w:val="21"/>
          <w:szCs w:val="21"/>
          <w:highlight w:val="none"/>
          <w:lang w:val="en-US" w:eastAsia="zh-CN" w:bidi="ar-SA"/>
        </w:rPr>
        <w:t>上</w:t>
      </w:r>
      <w:r>
        <w:rPr>
          <w:rFonts w:hint="eastAsia" w:ascii="宋体" w:hAnsi="宋体" w:cs="宋体"/>
          <w:color w:val="auto"/>
          <w:kern w:val="2"/>
          <w:sz w:val="21"/>
          <w:szCs w:val="21"/>
          <w:highlight w:val="none"/>
          <w:lang w:val="en-US" w:eastAsia="zh-CN" w:bidi="ar-SA"/>
        </w:rPr>
        <w:t>技术</w:t>
      </w:r>
      <w:r>
        <w:rPr>
          <w:rFonts w:hint="eastAsia" w:ascii="宋体" w:hAnsi="宋体" w:eastAsia="宋体" w:cs="宋体"/>
          <w:color w:val="auto"/>
          <w:kern w:val="2"/>
          <w:sz w:val="21"/>
          <w:szCs w:val="21"/>
          <w:highlight w:val="none"/>
          <w:lang w:val="en-US" w:eastAsia="zh-CN" w:bidi="ar-SA"/>
        </w:rPr>
        <w:t>职称证书</w:t>
      </w:r>
      <w:bookmarkEnd w:id="11"/>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000000"/>
          <w:kern w:val="2"/>
          <w:sz w:val="21"/>
          <w:szCs w:val="21"/>
          <w:highlight w:val="none"/>
          <w:lang w:val="en-US" w:eastAsia="zh-CN" w:bidi="ar-SA"/>
        </w:rPr>
        <w:t>投标人应出具拟派</w:t>
      </w:r>
      <w:r>
        <w:rPr>
          <w:rFonts w:hint="eastAsia" w:ascii="宋体" w:hAnsi="宋体" w:eastAsia="宋体" w:cs="宋体"/>
          <w:color w:val="auto"/>
          <w:kern w:val="2"/>
          <w:sz w:val="21"/>
          <w:szCs w:val="21"/>
          <w:highlight w:val="none"/>
          <w:lang w:val="en-US" w:eastAsia="zh-CN" w:bidi="ar-SA"/>
        </w:rPr>
        <w:t>项目总工</w:t>
      </w:r>
      <w:r>
        <w:rPr>
          <w:rFonts w:hint="eastAsia" w:ascii="宋体" w:hAnsi="宋体" w:eastAsia="宋体" w:cs="宋体"/>
          <w:color w:val="000000"/>
          <w:kern w:val="2"/>
          <w:sz w:val="21"/>
          <w:szCs w:val="21"/>
          <w:highlight w:val="none"/>
          <w:lang w:val="en-US" w:eastAsia="zh-CN" w:bidi="ar-SA"/>
        </w:rPr>
        <w:t>无在建承诺书（格式自拟）</w:t>
      </w:r>
      <w:r>
        <w:rPr>
          <w:rFonts w:hint="eastAsia" w:ascii="宋体" w:hAnsi="宋体" w:cs="宋体"/>
          <w:color w:val="000000"/>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提供劳动合同和近六个月社保缴纳证明材料。</w:t>
      </w:r>
    </w:p>
    <w:p w14:paraId="12DB1CF9">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3.2监理标段资质要求：</w:t>
      </w:r>
    </w:p>
    <w:p w14:paraId="0B221CE5">
      <w:pPr>
        <w:pStyle w:val="23"/>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firstLine="440" w:firstLineChars="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投标人具有独立法人资格，具有有效的营业执照，投标人具备行政主管部门核发的公路工程施工监理乙级（含）以上资质或工程监理综合资质（且符合资质证书核定承揽范围的）独立法人的监理企业，并在人员、设备、资金等方面具有相应的监理能力。</w:t>
      </w:r>
    </w:p>
    <w:p w14:paraId="07EFF19C">
      <w:pPr>
        <w:pStyle w:val="23"/>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firstLine="440" w:firstLineChars="0"/>
        <w:jc w:val="left"/>
        <w:textAlignment w:val="auto"/>
        <w:outlineLvl w:val="9"/>
        <w:rPr>
          <w:rFonts w:hint="default" w:ascii="宋体" w:hAnsi="宋体" w:cs="宋体"/>
          <w:b/>
          <w:bCs/>
          <w:color w:val="auto"/>
          <w:kern w:val="2"/>
          <w:sz w:val="21"/>
          <w:szCs w:val="21"/>
          <w:highlight w:val="none"/>
          <w:lang w:val="en-US" w:eastAsia="zh-CN" w:bidi="ar-SA"/>
        </w:rPr>
      </w:pPr>
      <w:r>
        <w:rPr>
          <w:rFonts w:hint="eastAsia" w:ascii="宋体" w:hAnsi="宋体" w:cs="宋体"/>
          <w:color w:val="000000"/>
          <w:kern w:val="2"/>
          <w:sz w:val="21"/>
          <w:szCs w:val="21"/>
          <w:highlight w:val="none"/>
          <w:lang w:val="en-US" w:eastAsia="zh-CN" w:bidi="ar-SA"/>
        </w:rPr>
        <w:t>2）拟派项目总监理工程师须具有公路工程专业监理工程师执业资格且具有中级及以上职称，提供劳动合同和近六个月社保缴纳证明材料</w:t>
      </w:r>
      <w:r>
        <w:rPr>
          <w:rFonts w:hint="eastAsia" w:ascii="宋体" w:hAnsi="宋体" w:eastAsia="宋体" w:cs="宋体"/>
          <w:color w:val="auto"/>
          <w:kern w:val="2"/>
          <w:sz w:val="21"/>
          <w:szCs w:val="21"/>
          <w:highlight w:val="none"/>
          <w:lang w:val="en-US" w:eastAsia="zh-CN" w:bidi="ar-SA"/>
        </w:rPr>
        <w:t>。</w:t>
      </w:r>
    </w:p>
    <w:p w14:paraId="46725391">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3.3</w:t>
      </w:r>
      <w:r>
        <w:rPr>
          <w:rFonts w:hint="eastAsia" w:ascii="宋体" w:hAnsi="宋体" w:eastAsia="宋体" w:cs="宋体"/>
          <w:b/>
          <w:bCs/>
          <w:color w:val="auto"/>
          <w:kern w:val="2"/>
          <w:sz w:val="21"/>
          <w:szCs w:val="21"/>
          <w:highlight w:val="none"/>
          <w:lang w:val="en-US" w:eastAsia="zh-CN" w:bidi="ar-SA"/>
        </w:rPr>
        <w:t>业绩要求</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000000"/>
          <w:kern w:val="2"/>
          <w:sz w:val="21"/>
          <w:szCs w:val="21"/>
          <w:highlight w:val="none"/>
          <w:lang w:val="en-US" w:eastAsia="zh-CN" w:bidi="ar-SA"/>
        </w:rPr>
        <w:t>202</w:t>
      </w:r>
      <w:r>
        <w:rPr>
          <w:rFonts w:hint="eastAsia" w:ascii="宋体" w:hAnsi="宋体" w:cs="宋体"/>
          <w:color w:val="000000"/>
          <w:kern w:val="2"/>
          <w:sz w:val="21"/>
          <w:szCs w:val="21"/>
          <w:highlight w:val="none"/>
          <w:lang w:val="en-US" w:eastAsia="zh-CN" w:bidi="ar-SA"/>
        </w:rPr>
        <w:t>3</w:t>
      </w:r>
      <w:r>
        <w:rPr>
          <w:rFonts w:hint="eastAsia" w:ascii="宋体" w:hAnsi="宋体" w:eastAsia="宋体" w:cs="宋体"/>
          <w:color w:val="000000"/>
          <w:kern w:val="2"/>
          <w:sz w:val="21"/>
          <w:szCs w:val="21"/>
          <w:highlight w:val="none"/>
          <w:lang w:val="en-US" w:eastAsia="zh-CN" w:bidi="ar-SA"/>
        </w:rPr>
        <w:t>年</w:t>
      </w:r>
      <w:r>
        <w:rPr>
          <w:rFonts w:hint="eastAsia" w:ascii="宋体" w:hAnsi="宋体" w:cs="宋体"/>
          <w:color w:val="000000"/>
          <w:kern w:val="2"/>
          <w:sz w:val="21"/>
          <w:szCs w:val="21"/>
          <w:highlight w:val="none"/>
          <w:lang w:val="en-US" w:eastAsia="zh-CN" w:bidi="ar-SA"/>
        </w:rPr>
        <w:t>1月1日</w:t>
      </w:r>
      <w:r>
        <w:rPr>
          <w:rFonts w:hint="eastAsia" w:ascii="宋体" w:hAnsi="宋体" w:eastAsia="宋体" w:cs="宋体"/>
          <w:color w:val="000000"/>
          <w:kern w:val="2"/>
          <w:sz w:val="21"/>
          <w:szCs w:val="21"/>
          <w:highlight w:val="none"/>
          <w:lang w:val="en-US" w:eastAsia="zh-CN" w:bidi="ar-SA"/>
        </w:rPr>
        <w:t>以来投标人至少</w:t>
      </w:r>
      <w:r>
        <w:rPr>
          <w:rFonts w:hint="eastAsia" w:ascii="宋体" w:hAnsi="宋体" w:cs="宋体"/>
          <w:color w:val="000000"/>
          <w:kern w:val="2"/>
          <w:sz w:val="21"/>
          <w:szCs w:val="21"/>
          <w:highlight w:val="none"/>
          <w:lang w:val="en-US" w:eastAsia="zh-CN" w:bidi="ar-SA"/>
        </w:rPr>
        <w:t>提供</w:t>
      </w:r>
      <w:r>
        <w:rPr>
          <w:rFonts w:hint="eastAsia" w:ascii="宋体" w:hAnsi="宋体" w:eastAsia="宋体" w:cs="宋体"/>
          <w:color w:val="000000"/>
          <w:kern w:val="2"/>
          <w:sz w:val="21"/>
          <w:szCs w:val="21"/>
          <w:highlight w:val="none"/>
          <w:lang w:val="en-US" w:eastAsia="zh-CN" w:bidi="ar-SA"/>
        </w:rPr>
        <w:t>1项</w:t>
      </w:r>
      <w:r>
        <w:rPr>
          <w:rFonts w:hint="eastAsia" w:ascii="宋体" w:hAnsi="宋体" w:cs="宋体"/>
          <w:color w:val="000000"/>
          <w:kern w:val="2"/>
          <w:sz w:val="21"/>
          <w:szCs w:val="21"/>
          <w:highlight w:val="none"/>
          <w:lang w:val="en-US" w:eastAsia="zh-CN" w:bidi="ar-SA"/>
        </w:rPr>
        <w:t>交通或公路的类似工程</w:t>
      </w:r>
      <w:r>
        <w:rPr>
          <w:rFonts w:hint="eastAsia" w:ascii="宋体" w:hAnsi="宋体" w:eastAsia="宋体" w:cs="宋体"/>
          <w:color w:val="000000"/>
          <w:kern w:val="2"/>
          <w:sz w:val="21"/>
          <w:szCs w:val="21"/>
          <w:highlight w:val="none"/>
          <w:lang w:val="en-US" w:eastAsia="zh-CN" w:bidi="ar-SA"/>
        </w:rPr>
        <w:t>业绩(提供合同、中标通知书</w:t>
      </w:r>
      <w:r>
        <w:rPr>
          <w:rFonts w:hint="eastAsia" w:ascii="宋体" w:hAnsi="宋体" w:cs="宋体"/>
          <w:color w:val="000000"/>
          <w:kern w:val="2"/>
          <w:sz w:val="21"/>
          <w:szCs w:val="21"/>
          <w:highlight w:val="none"/>
          <w:lang w:val="en-US" w:eastAsia="zh-CN" w:bidi="ar-SA"/>
        </w:rPr>
        <w:t>、</w:t>
      </w:r>
      <w:r>
        <w:rPr>
          <w:rFonts w:hint="eastAsia" w:ascii="宋体" w:hAnsi="宋体" w:eastAsia="宋体" w:cs="宋体"/>
          <w:color w:val="000000"/>
          <w:kern w:val="2"/>
          <w:sz w:val="21"/>
          <w:szCs w:val="21"/>
          <w:highlight w:val="none"/>
          <w:lang w:val="en-US" w:eastAsia="zh-CN" w:bidi="ar-SA"/>
        </w:rPr>
        <w:t>中标公示网页截图并提供查询网址</w:t>
      </w:r>
      <w:r>
        <w:rPr>
          <w:rFonts w:hint="eastAsia" w:ascii="宋体" w:hAnsi="宋体" w:cs="宋体"/>
          <w:color w:val="000000"/>
          <w:kern w:val="2"/>
          <w:sz w:val="21"/>
          <w:szCs w:val="21"/>
          <w:highlight w:val="none"/>
          <w:lang w:val="en-US" w:eastAsia="zh-CN" w:bidi="ar-SA"/>
        </w:rPr>
        <w:t>，</w:t>
      </w:r>
      <w:r>
        <w:rPr>
          <w:rFonts w:hint="eastAsia" w:ascii="宋体" w:hAnsi="宋体" w:eastAsia="宋体" w:cs="宋体"/>
          <w:color w:val="000000"/>
          <w:kern w:val="2"/>
          <w:sz w:val="21"/>
          <w:szCs w:val="21"/>
          <w:highlight w:val="none"/>
          <w:lang w:val="en-US" w:eastAsia="zh-CN" w:bidi="ar-SA"/>
        </w:rPr>
        <w:t>时间以</w:t>
      </w:r>
      <w:r>
        <w:rPr>
          <w:rFonts w:hint="eastAsia" w:ascii="宋体" w:hAnsi="宋体" w:cs="宋体"/>
          <w:color w:val="000000"/>
          <w:kern w:val="2"/>
          <w:sz w:val="21"/>
          <w:szCs w:val="21"/>
          <w:highlight w:val="none"/>
          <w:lang w:val="en-US" w:eastAsia="zh-CN" w:bidi="ar-SA"/>
        </w:rPr>
        <w:t>合同</w:t>
      </w:r>
      <w:r>
        <w:rPr>
          <w:rFonts w:hint="eastAsia" w:ascii="宋体" w:hAnsi="宋体" w:eastAsia="宋体" w:cs="宋体"/>
          <w:color w:val="000000"/>
          <w:kern w:val="2"/>
          <w:sz w:val="21"/>
          <w:szCs w:val="21"/>
          <w:highlight w:val="none"/>
          <w:lang w:val="en-US" w:eastAsia="zh-CN" w:bidi="ar-SA"/>
        </w:rPr>
        <w:t>日期为准)。</w:t>
      </w:r>
    </w:p>
    <w:p w14:paraId="7936E510">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cs="宋体"/>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3.4</w:t>
      </w:r>
      <w:r>
        <w:rPr>
          <w:rFonts w:hint="eastAsia" w:ascii="宋体" w:hAnsi="宋体" w:eastAsia="宋体" w:cs="宋体"/>
          <w:b/>
          <w:bCs/>
          <w:color w:val="auto"/>
          <w:kern w:val="2"/>
          <w:sz w:val="21"/>
          <w:szCs w:val="21"/>
          <w:highlight w:val="none"/>
          <w:lang w:val="en-US" w:eastAsia="zh-CN" w:bidi="ar-SA"/>
        </w:rPr>
        <w:t>财务要求</w:t>
      </w:r>
      <w:r>
        <w:rPr>
          <w:rFonts w:hint="eastAsia" w:ascii="宋体" w:hAnsi="宋体" w:eastAsia="宋体" w:cs="宋体"/>
          <w:color w:val="auto"/>
          <w:kern w:val="2"/>
          <w:sz w:val="21"/>
          <w:szCs w:val="21"/>
          <w:highlight w:val="none"/>
          <w:lang w:val="en-US" w:eastAsia="zh-CN" w:bidi="ar-SA"/>
        </w:rPr>
        <w:t>：企业近三年财务状况良好、没有被接管、冻结、破产状态</w:t>
      </w:r>
      <w:r>
        <w:rPr>
          <w:rFonts w:hint="eastAsia" w:ascii="宋体" w:hAnsi="宋体" w:cs="宋体"/>
          <w:color w:val="auto"/>
          <w:kern w:val="2"/>
          <w:sz w:val="21"/>
          <w:szCs w:val="21"/>
          <w:highlight w:val="none"/>
          <w:lang w:val="en-US" w:eastAsia="zh-CN" w:bidi="ar-SA"/>
        </w:rPr>
        <w:t>。</w:t>
      </w:r>
    </w:p>
    <w:p w14:paraId="714E68FE">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（须提供</w:t>
      </w:r>
      <w:r>
        <w:rPr>
          <w:rFonts w:hint="eastAsia" w:ascii="宋体" w:hAnsi="宋体" w:eastAsia="宋体" w:cs="宋体"/>
          <w:color w:val="000000"/>
          <w:kern w:val="2"/>
          <w:sz w:val="21"/>
          <w:szCs w:val="21"/>
          <w:highlight w:val="none"/>
          <w:lang w:val="en-US" w:eastAsia="zh-CN" w:bidi="ar-SA"/>
        </w:rPr>
        <w:t>202</w:t>
      </w:r>
      <w:r>
        <w:rPr>
          <w:rFonts w:hint="eastAsia" w:ascii="宋体" w:hAnsi="宋体" w:cs="宋体"/>
          <w:color w:val="000000"/>
          <w:kern w:val="2"/>
          <w:sz w:val="21"/>
          <w:szCs w:val="21"/>
          <w:highlight w:val="none"/>
          <w:lang w:val="en-US" w:eastAsia="zh-CN" w:bidi="ar-SA"/>
        </w:rPr>
        <w:t>3</w:t>
      </w:r>
      <w:r>
        <w:rPr>
          <w:rFonts w:hint="eastAsia" w:ascii="宋体" w:hAnsi="宋体" w:eastAsia="宋体" w:cs="宋体"/>
          <w:color w:val="000000"/>
          <w:kern w:val="2"/>
          <w:sz w:val="21"/>
          <w:szCs w:val="21"/>
          <w:highlight w:val="none"/>
          <w:lang w:val="en-US" w:eastAsia="zh-CN" w:bidi="ar-SA"/>
        </w:rPr>
        <w:t>年度、202</w:t>
      </w:r>
      <w:r>
        <w:rPr>
          <w:rFonts w:hint="eastAsia" w:ascii="宋体" w:hAnsi="宋体" w:cs="宋体"/>
          <w:color w:val="000000"/>
          <w:kern w:val="2"/>
          <w:sz w:val="21"/>
          <w:szCs w:val="21"/>
          <w:highlight w:val="none"/>
          <w:lang w:val="en-US" w:eastAsia="zh-CN" w:bidi="ar-SA"/>
        </w:rPr>
        <w:t>4</w:t>
      </w:r>
      <w:r>
        <w:rPr>
          <w:rFonts w:hint="eastAsia" w:ascii="宋体" w:hAnsi="宋体" w:eastAsia="宋体" w:cs="宋体"/>
          <w:color w:val="000000"/>
          <w:kern w:val="2"/>
          <w:sz w:val="21"/>
          <w:szCs w:val="21"/>
          <w:highlight w:val="none"/>
          <w:lang w:val="en-US" w:eastAsia="zh-CN" w:bidi="ar-SA"/>
        </w:rPr>
        <w:t>年度、202</w:t>
      </w:r>
      <w:r>
        <w:rPr>
          <w:rFonts w:hint="eastAsia" w:ascii="宋体" w:hAnsi="宋体" w:cs="宋体"/>
          <w:color w:val="000000"/>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年度经会计师事务所或审计机构审计的财务审计报告等相关证明材料，</w:t>
      </w:r>
      <w:r>
        <w:rPr>
          <w:rFonts w:hint="eastAsia" w:ascii="宋体" w:hAnsi="宋体" w:eastAsia="宋体"/>
          <w:b w:val="0"/>
          <w:bCs w:val="0"/>
          <w:color w:val="auto"/>
          <w:sz w:val="21"/>
          <w:szCs w:val="21"/>
          <w:highlight w:val="none"/>
        </w:rPr>
        <w:t>新成立的企业以成立之后的年份为准</w:t>
      </w:r>
      <w:r>
        <w:rPr>
          <w:rFonts w:hint="eastAsia" w:ascii="宋体" w:hAnsi="宋体" w:eastAsia="宋体"/>
          <w:b w:val="0"/>
          <w:bCs w:val="0"/>
          <w:color w:val="auto"/>
          <w:sz w:val="21"/>
          <w:szCs w:val="21"/>
          <w:highlight w:val="none"/>
          <w:lang w:val="en-US" w:eastAsia="zh-CN"/>
        </w:rPr>
        <w:t>或提供银行出具的资信证明</w:t>
      </w:r>
      <w:r>
        <w:rPr>
          <w:rFonts w:hint="eastAsia" w:ascii="宋体" w:hAnsi="宋体" w:eastAsia="宋体" w:cs="宋体"/>
          <w:color w:val="auto"/>
          <w:kern w:val="2"/>
          <w:sz w:val="21"/>
          <w:szCs w:val="21"/>
          <w:highlight w:val="none"/>
          <w:lang w:val="en-US" w:eastAsia="zh-CN" w:bidi="ar-SA"/>
        </w:rPr>
        <w:t>）。</w:t>
      </w:r>
    </w:p>
    <w:p w14:paraId="5786C2CC">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3.5</w:t>
      </w:r>
      <w:r>
        <w:rPr>
          <w:rFonts w:hint="eastAsia" w:ascii="宋体" w:hAnsi="宋体" w:eastAsia="宋体" w:cs="宋体"/>
          <w:b/>
          <w:bCs/>
          <w:color w:val="auto"/>
          <w:kern w:val="2"/>
          <w:sz w:val="21"/>
          <w:szCs w:val="21"/>
          <w:highlight w:val="none"/>
          <w:lang w:val="en-US" w:eastAsia="zh-CN" w:bidi="ar-SA"/>
        </w:rPr>
        <w:t>信誉要求：</w:t>
      </w:r>
    </w:p>
    <w:p w14:paraId="6EA6AD29">
      <w:pPr>
        <w:keepNext w:val="0"/>
        <w:keepLines w:val="0"/>
        <w:pageBreakBefore w:val="0"/>
        <w:widowControl w:val="0"/>
        <w:kinsoku/>
        <w:wordWrap w:val="0"/>
        <w:overflowPunct/>
        <w:topLinePunct w:val="0"/>
        <w:autoSpaceDE/>
        <w:autoSpaceDN/>
        <w:bidi w:val="0"/>
        <w:adjustRightInd/>
        <w:snapToGrid/>
        <w:spacing w:line="360" w:lineRule="auto"/>
        <w:ind w:firstLine="630" w:firstLineChars="3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对属于失信被执行人、被列入严重违法失信企业名单的投标人将被拒绝参与投标。通过“信用中国”跳转至“中国执行信息公开网”（http://zxgk.court.gov.cn/shixin/）查询投标人、法定代表人、项目经理</w:t>
      </w:r>
      <w:r>
        <w:rPr>
          <w:rFonts w:hint="eastAsia" w:ascii="宋体" w:hAnsi="宋体" w:cs="宋体"/>
          <w:color w:val="auto"/>
          <w:kern w:val="2"/>
          <w:sz w:val="21"/>
          <w:szCs w:val="21"/>
          <w:highlight w:val="none"/>
          <w:lang w:val="en-US" w:eastAsia="zh-CN" w:bidi="ar-SA"/>
        </w:rPr>
        <w:t>或项目总监理工程师</w:t>
      </w:r>
      <w:r>
        <w:rPr>
          <w:rFonts w:hint="eastAsia" w:ascii="宋体" w:hAnsi="宋体" w:eastAsia="宋体" w:cs="宋体"/>
          <w:color w:val="auto"/>
          <w:kern w:val="2"/>
          <w:sz w:val="21"/>
          <w:szCs w:val="21"/>
          <w:highlight w:val="none"/>
          <w:lang w:val="en-US" w:eastAsia="zh-CN" w:bidi="ar-SA"/>
        </w:rPr>
        <w:t>是否为失信被执行人，在国家企业信用信息公示系统（http://www.gsxt.gov.cn/）中查询投标人是否被列入严重违法失信企业名单。</w:t>
      </w:r>
      <w:r>
        <w:rPr>
          <w:rFonts w:hint="eastAsia" w:ascii="宋体" w:hAnsi="宋体" w:eastAsia="宋体" w:cs="宋体"/>
          <w:color w:val="000000"/>
          <w:kern w:val="2"/>
          <w:sz w:val="21"/>
          <w:szCs w:val="21"/>
          <w:highlight w:val="none"/>
          <w:lang w:val="en-US" w:eastAsia="zh-CN" w:bidi="ar-SA"/>
        </w:rPr>
        <w:t>(投标人须提供网站查询打印页，打印页需包括查询日期，查询日期为公告发布之后至投标截止时间前)。</w:t>
      </w:r>
    </w:p>
    <w:p w14:paraId="250CC485">
      <w:pPr>
        <w:keepNext w:val="0"/>
        <w:keepLines w:val="0"/>
        <w:pageBreakBefore w:val="0"/>
        <w:kinsoku/>
        <w:overflowPunct/>
        <w:topLinePunct w:val="0"/>
        <w:autoSpaceDE/>
        <w:autoSpaceDN/>
        <w:bidi w:val="0"/>
        <w:adjustRightInd/>
        <w:snapToGrid/>
        <w:spacing w:line="360" w:lineRule="auto"/>
        <w:ind w:firstLine="422" w:firstLineChars="200"/>
        <w:jc w:val="left"/>
        <w:textAlignment w:val="auto"/>
        <w:rPr>
          <w:rFonts w:hint="eastAsia" w:ascii="宋体" w:hAnsi="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w:t>
      </w:r>
      <w:r>
        <w:rPr>
          <w:rFonts w:hint="eastAsia" w:ascii="宋体" w:hAnsi="宋体" w:cs="宋体"/>
          <w:b/>
          <w:bCs/>
          <w:color w:val="auto"/>
          <w:kern w:val="2"/>
          <w:sz w:val="21"/>
          <w:szCs w:val="21"/>
          <w:highlight w:val="none"/>
          <w:lang w:val="en-US" w:eastAsia="zh-CN" w:bidi="ar-SA"/>
        </w:rPr>
        <w:t>6</w:t>
      </w:r>
      <w:r>
        <w:rPr>
          <w:rFonts w:hint="eastAsia" w:ascii="宋体" w:hAnsi="宋体" w:eastAsia="宋体" w:cs="宋体"/>
          <w:b/>
          <w:bCs/>
          <w:color w:val="auto"/>
          <w:kern w:val="2"/>
          <w:sz w:val="21"/>
          <w:szCs w:val="21"/>
          <w:highlight w:val="none"/>
          <w:lang w:val="en-US" w:eastAsia="zh-CN" w:bidi="ar-SA"/>
        </w:rPr>
        <w:t>本次招标</w:t>
      </w:r>
      <w:r>
        <w:rPr>
          <w:rFonts w:hint="eastAsia" w:ascii="宋体" w:hAnsi="宋体" w:eastAsia="宋体" w:cs="宋体"/>
          <w:b/>
          <w:bCs/>
          <w:color w:val="auto"/>
          <w:kern w:val="2"/>
          <w:sz w:val="21"/>
          <w:szCs w:val="21"/>
          <w:highlight w:val="none"/>
          <w:u w:val="none"/>
          <w:lang w:val="en-US" w:eastAsia="zh-CN" w:bidi="ar-SA"/>
        </w:rPr>
        <w:t>不接受</w:t>
      </w:r>
      <w:r>
        <w:rPr>
          <w:rFonts w:hint="eastAsia" w:ascii="宋体" w:hAnsi="宋体" w:eastAsia="宋体" w:cs="宋体"/>
          <w:b/>
          <w:bCs/>
          <w:color w:val="auto"/>
          <w:kern w:val="2"/>
          <w:sz w:val="21"/>
          <w:szCs w:val="21"/>
          <w:highlight w:val="none"/>
          <w:lang w:val="en-US" w:eastAsia="zh-CN" w:bidi="ar-SA"/>
        </w:rPr>
        <w:t>联合体投标。</w:t>
      </w:r>
    </w:p>
    <w:p w14:paraId="5AF27241">
      <w:pPr>
        <w:keepNext w:val="0"/>
        <w:keepLines w:val="0"/>
        <w:pageBreakBefore w:val="0"/>
        <w:kinsoku/>
        <w:wordWrap w:val="0"/>
        <w:overflowPunct/>
        <w:topLinePunct w:val="0"/>
        <w:autoSpaceDE/>
        <w:autoSpaceDN/>
        <w:bidi w:val="0"/>
        <w:spacing w:line="360"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w:t>
      </w:r>
      <w:r>
        <w:rPr>
          <w:rFonts w:hint="eastAsia" w:ascii="宋体" w:hAnsi="宋体" w:cs="宋体"/>
          <w:b/>
          <w:bCs/>
          <w:color w:val="auto"/>
          <w:kern w:val="2"/>
          <w:sz w:val="21"/>
          <w:szCs w:val="21"/>
          <w:highlight w:val="none"/>
          <w:lang w:val="en-US" w:eastAsia="zh-CN" w:bidi="ar-SA"/>
        </w:rPr>
        <w:t>7</w:t>
      </w:r>
      <w:r>
        <w:rPr>
          <w:rFonts w:hint="eastAsia" w:ascii="宋体" w:hAnsi="宋体" w:eastAsia="宋体" w:cs="宋体"/>
          <w:b/>
          <w:bCs/>
          <w:color w:val="auto"/>
          <w:kern w:val="2"/>
          <w:sz w:val="21"/>
          <w:szCs w:val="21"/>
          <w:highlight w:val="none"/>
          <w:lang w:val="en-US" w:eastAsia="zh-CN" w:bidi="ar-SA"/>
        </w:rPr>
        <w:t>其他要求：</w:t>
      </w:r>
    </w:p>
    <w:p w14:paraId="70AF1644">
      <w:pPr>
        <w:keepNext w:val="0"/>
        <w:keepLines w:val="0"/>
        <w:pageBreakBefore w:val="0"/>
        <w:numPr>
          <w:ilvl w:val="0"/>
          <w:numId w:val="0"/>
        </w:numPr>
        <w:kinsoku/>
        <w:wordWrap w:val="0"/>
        <w:overflowPunct/>
        <w:topLinePunct w:val="0"/>
        <w:autoSpaceDE/>
        <w:autoSpaceDN/>
        <w:bidi w:val="0"/>
        <w:spacing w:line="360"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1）与招标人存在利害关系可能影响招标公正性的单位</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不得参加投标。单位负责人为同一人或存在控股、管理关系的不同单位，不得参加同一标段投标，否则</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相关投标均无效。</w:t>
      </w:r>
      <w:r>
        <w:rPr>
          <w:rFonts w:hint="eastAsia" w:ascii="宋体" w:hAnsi="宋体" w:eastAsia="宋体" w:cs="宋体"/>
          <w:color w:val="auto"/>
          <w:sz w:val="21"/>
          <w:szCs w:val="21"/>
          <w:highlight w:val="none"/>
          <w:lang w:val="en-US" w:eastAsia="zh-CN"/>
        </w:rPr>
        <w:t>（投标人应自拟承诺，格式自拟，加盖单位公章）。</w:t>
      </w:r>
    </w:p>
    <w:p w14:paraId="12E2E973">
      <w:pPr>
        <w:keepNext w:val="0"/>
        <w:keepLines w:val="0"/>
        <w:pageBreakBefore w:val="0"/>
        <w:numPr>
          <w:ilvl w:val="0"/>
          <w:numId w:val="0"/>
        </w:numPr>
        <w:kinsoku/>
        <w:wordWrap w:val="0"/>
        <w:overflowPunct/>
        <w:topLinePunct w:val="0"/>
        <w:autoSpaceDE/>
        <w:autoSpaceDN/>
        <w:bidi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kern w:val="2"/>
          <w:sz w:val="21"/>
          <w:szCs w:val="21"/>
          <w:highlight w:val="none"/>
          <w:lang w:val="en-US" w:eastAsia="zh-CN" w:bidi="ar-SA"/>
        </w:rPr>
        <w:t>2）</w:t>
      </w:r>
      <w:r>
        <w:rPr>
          <w:rFonts w:hint="eastAsia" w:ascii="宋体" w:hAnsi="宋体" w:eastAsia="宋体" w:cs="宋体"/>
          <w:color w:val="auto"/>
          <w:sz w:val="21"/>
          <w:szCs w:val="21"/>
          <w:highlight w:val="none"/>
          <w:lang w:val="en-US" w:eastAsia="zh-CN"/>
        </w:rPr>
        <w:t>企业近三年没有处于被责令停产、停业或者投标资格被取消，没有骗取中标或者没有重大违约及重大工程质量、拖欠农民工工资、安全生产事故等问题；（投标人应自拟承诺，格式自拟，加盖单位公章）。</w:t>
      </w:r>
    </w:p>
    <w:p w14:paraId="7EF12B67">
      <w:pPr>
        <w:keepNext w:val="0"/>
        <w:keepLines w:val="0"/>
        <w:pageBreakBefore w:val="0"/>
        <w:numPr>
          <w:ilvl w:val="0"/>
          <w:numId w:val="0"/>
        </w:numPr>
        <w:kinsoku/>
        <w:wordWrap w:val="0"/>
        <w:overflowPunct/>
        <w:topLinePunct w:val="0"/>
        <w:autoSpaceDE/>
        <w:autoSpaceDN/>
        <w:bidi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lang w:val="en-US" w:eastAsia="zh-CN"/>
        </w:rPr>
        <w:t>企业近三年内没有被建设、公路、水利、土地等有关行政部门及相关监督部门通报有不良行为记录；（投标人应自拟承诺，格式自拟，加盖单位公章）。</w:t>
      </w:r>
    </w:p>
    <w:p w14:paraId="0D8CD408">
      <w:pPr>
        <w:keepNext w:val="0"/>
        <w:keepLines w:val="0"/>
        <w:pageBreakBefore w:val="0"/>
        <w:numPr>
          <w:ilvl w:val="0"/>
          <w:numId w:val="0"/>
        </w:numPr>
        <w:kinsoku/>
        <w:wordWrap w:val="0"/>
        <w:overflowPunct/>
        <w:topLinePunct w:val="0"/>
        <w:autoSpaceDE/>
        <w:autoSpaceDN/>
        <w:bidi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lang w:val="en-US" w:eastAsia="zh-CN"/>
        </w:rPr>
        <w:t>企业从中标到施工过程中如被发现有挂靠行为的，将没收保证金及履约保证金，并终止合同清退出场，因合同无效给建设方造成经济损失的，应当由被挂靠企业来承担（投标人应自拟承诺，格式自拟，加盖单位公章）。</w:t>
      </w:r>
    </w:p>
    <w:p w14:paraId="7F77B82B">
      <w:pPr>
        <w:keepNext w:val="0"/>
        <w:keepLines w:val="0"/>
        <w:pageBreakBefore w:val="0"/>
        <w:kinsoku/>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4.企业注册</w:t>
      </w:r>
    </w:p>
    <w:p w14:paraId="220F8D0B">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4.1投标人首先通过驻马店市公共资源交易中心电子招投标交易平台网站(以下简称“交易平台网站”)（</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"https://ggzy.zhumadian.gov.cn/TPFront/"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https://ggzy.zhumadian.gov.cn/TPFront/</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）进行交易主体注册，然后按网站通知公告及下载中心有关要求填报企业信息和上传有关扫描件原件，提交并完善企业投标所需资料信息,由企业自行核验通过，最后自行选择办理“</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"https://www.bqpoint.com/epbzt/index.html"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标证通</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”手机证书或者实体CA数字证书。“标证通”办理见</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"https://www.bqpoint.com/epbzt/index.html"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https://www.bqpoint.com/epbzt/index.html</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。实体CA数字证书申请咨询电话(北京CA：4009197888、华测CA：4006202211、深圳CA：4001123838、信安CA：0371-96596)。</w:t>
      </w:r>
    </w:p>
    <w:p w14:paraId="4DF895F9">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4.2凡有意参加投标者，请于202</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8</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lang w:val="en-US" w:eastAsia="zh-CN" w:bidi="ar-SA"/>
        </w:rPr>
        <w:t xml:space="preserve"> 11</w:t>
      </w:r>
      <w:r>
        <w:rPr>
          <w:rFonts w:hint="eastAsia" w:ascii="宋体" w:hAnsi="宋体" w:eastAsia="宋体" w:cs="宋体"/>
          <w:color w:val="auto"/>
          <w:kern w:val="2"/>
          <w:sz w:val="21"/>
          <w:szCs w:val="21"/>
          <w:highlight w:val="none"/>
          <w:lang w:val="en-US" w:eastAsia="zh-CN" w:bidi="ar-SA"/>
        </w:rPr>
        <w:t>日8：00时至202</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 xml:space="preserve"> 8 </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lang w:val="en-US" w:eastAsia="zh-CN" w:bidi="ar-SA"/>
        </w:rPr>
        <w:t xml:space="preserve"> 17 </w:t>
      </w:r>
      <w:r>
        <w:rPr>
          <w:rFonts w:hint="eastAsia" w:ascii="宋体" w:hAnsi="宋体" w:eastAsia="宋体" w:cs="宋体"/>
          <w:color w:val="auto"/>
          <w:kern w:val="2"/>
          <w:sz w:val="21"/>
          <w:szCs w:val="21"/>
          <w:highlight w:val="none"/>
          <w:lang w:val="en-US" w:eastAsia="zh-CN" w:bidi="ar-SA"/>
        </w:rPr>
        <w:t>日18:00时，登录“交易平台网站”（https://ggzy.zhumadian.gov.cn/TPFront/），凭领取的企业身份认证锁（CA密钥）登录系统进行网上投标报名。请各投标人网上报名时注意完善主体信息（如开户银行及开户账号等），以免未填写或错误导致系统判定废标。</w:t>
      </w:r>
    </w:p>
    <w:p w14:paraId="4C0C2614">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5.招标文件的获取</w:t>
      </w:r>
    </w:p>
    <w:p w14:paraId="269990FA">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5.1招标文件获取时间：请于</w:t>
      </w:r>
      <w:r>
        <w:rPr>
          <w:rFonts w:hint="eastAsia" w:ascii="宋体" w:hAnsi="宋体" w:eastAsia="宋体" w:cs="宋体"/>
          <w:color w:val="auto"/>
          <w:kern w:val="2"/>
          <w:sz w:val="21"/>
          <w:szCs w:val="21"/>
          <w:highlight w:val="none"/>
          <w:u w:val="single"/>
          <w:lang w:val="en-US" w:eastAsia="zh-CN" w:bidi="ar-SA"/>
        </w:rPr>
        <w:t>202</w:t>
      </w:r>
      <w:r>
        <w:rPr>
          <w:rFonts w:hint="eastAsia" w:ascii="宋体" w:hAnsi="宋体" w:cs="宋体"/>
          <w:color w:val="auto"/>
          <w:kern w:val="2"/>
          <w:sz w:val="21"/>
          <w:szCs w:val="21"/>
          <w:highlight w:val="none"/>
          <w:u w:val="singl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 xml:space="preserve"> </w:t>
      </w:r>
      <w:r>
        <w:rPr>
          <w:rFonts w:hint="eastAsia" w:ascii="宋体" w:hAnsi="宋体" w:cs="宋体"/>
          <w:color w:val="auto"/>
          <w:kern w:val="2"/>
          <w:sz w:val="21"/>
          <w:szCs w:val="21"/>
          <w:highlight w:val="none"/>
          <w:u w:val="single"/>
          <w:lang w:val="en-US" w:eastAsia="zh-CN" w:bidi="ar-SA"/>
        </w:rPr>
        <w:t xml:space="preserve"> 8 </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u w:val="single"/>
          <w:lang w:val="en-US" w:eastAsia="zh-CN" w:bidi="ar-SA"/>
        </w:rPr>
        <w:t xml:space="preserve">  11 </w:t>
      </w:r>
      <w:r>
        <w:rPr>
          <w:rFonts w:hint="eastAsia" w:ascii="宋体" w:hAnsi="宋体" w:eastAsia="宋体" w:cs="宋体"/>
          <w:color w:val="auto"/>
          <w:kern w:val="2"/>
          <w:sz w:val="21"/>
          <w:szCs w:val="21"/>
          <w:highlight w:val="none"/>
          <w:lang w:val="en-US" w:eastAsia="zh-CN" w:bidi="ar-SA"/>
        </w:rPr>
        <w:t>日</w:t>
      </w:r>
      <w:r>
        <w:rPr>
          <w:rFonts w:hint="eastAsia" w:ascii="宋体" w:hAnsi="宋体" w:eastAsia="宋体" w:cs="宋体"/>
          <w:color w:val="auto"/>
          <w:kern w:val="2"/>
          <w:sz w:val="21"/>
          <w:szCs w:val="21"/>
          <w:highlight w:val="none"/>
          <w:u w:val="single"/>
          <w:lang w:val="en-US" w:eastAsia="zh-CN" w:bidi="ar-SA"/>
        </w:rPr>
        <w:t>8:00</w:t>
      </w:r>
      <w:r>
        <w:rPr>
          <w:rFonts w:hint="eastAsia" w:ascii="宋体" w:hAnsi="宋体" w:eastAsia="宋体" w:cs="宋体"/>
          <w:color w:val="auto"/>
          <w:kern w:val="2"/>
          <w:sz w:val="21"/>
          <w:szCs w:val="21"/>
          <w:highlight w:val="none"/>
          <w:lang w:val="en-US" w:eastAsia="zh-CN" w:bidi="ar-SA"/>
        </w:rPr>
        <w:t>时至</w:t>
      </w:r>
      <w:r>
        <w:rPr>
          <w:rFonts w:hint="eastAsia" w:ascii="宋体" w:hAnsi="宋体" w:eastAsia="宋体" w:cs="宋体"/>
          <w:color w:val="auto"/>
          <w:kern w:val="2"/>
          <w:sz w:val="21"/>
          <w:szCs w:val="21"/>
          <w:highlight w:val="none"/>
          <w:u w:val="single"/>
          <w:lang w:val="en-US" w:eastAsia="zh-CN" w:bidi="ar-SA"/>
        </w:rPr>
        <w:t>202</w:t>
      </w:r>
      <w:r>
        <w:rPr>
          <w:rFonts w:hint="eastAsia" w:ascii="宋体" w:hAnsi="宋体" w:cs="宋体"/>
          <w:color w:val="auto"/>
          <w:kern w:val="2"/>
          <w:sz w:val="21"/>
          <w:szCs w:val="21"/>
          <w:highlight w:val="none"/>
          <w:u w:val="single"/>
          <w:lang w:val="en-US" w:eastAsia="zh-CN" w:bidi="ar-SA"/>
        </w:rPr>
        <w:t>6</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u w:val="single"/>
          <w:lang w:val="en-US" w:eastAsia="zh-CN" w:bidi="ar-SA"/>
        </w:rPr>
        <w:t xml:space="preserve"> 8  </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u w:val="single"/>
          <w:lang w:val="en-US" w:eastAsia="zh-CN" w:bidi="ar-SA"/>
        </w:rPr>
        <w:t xml:space="preserve"> 17  </w:t>
      </w:r>
      <w:r>
        <w:rPr>
          <w:rFonts w:hint="eastAsia" w:ascii="宋体" w:hAnsi="宋体" w:eastAsia="宋体" w:cs="宋体"/>
          <w:color w:val="auto"/>
          <w:kern w:val="2"/>
          <w:sz w:val="21"/>
          <w:szCs w:val="21"/>
          <w:highlight w:val="none"/>
          <w:lang w:val="en-US" w:eastAsia="zh-CN" w:bidi="ar-SA"/>
        </w:rPr>
        <w:t>日</w:t>
      </w:r>
      <w:r>
        <w:rPr>
          <w:rFonts w:hint="eastAsia" w:ascii="宋体" w:hAnsi="宋体" w:eastAsia="宋体" w:cs="宋体"/>
          <w:color w:val="auto"/>
          <w:kern w:val="2"/>
          <w:sz w:val="21"/>
          <w:szCs w:val="21"/>
          <w:highlight w:val="none"/>
          <w:u w:val="single"/>
          <w:lang w:val="en-US" w:eastAsia="zh-CN" w:bidi="ar-SA"/>
        </w:rPr>
        <w:t>18:00</w:t>
      </w:r>
      <w:r>
        <w:rPr>
          <w:rFonts w:hint="eastAsia" w:ascii="宋体" w:hAnsi="宋体" w:eastAsia="宋体" w:cs="宋体"/>
          <w:color w:val="auto"/>
          <w:kern w:val="2"/>
          <w:sz w:val="21"/>
          <w:szCs w:val="21"/>
          <w:highlight w:val="none"/>
          <w:lang w:val="en-US" w:eastAsia="zh-CN" w:bidi="ar-SA"/>
        </w:rPr>
        <w:t>时在“交易平台网站”（https://ggzy.zhumadian.gov.cn/TPFront/）免费下载招标文件。投标人未在网上下载招标文件的，其投标将被拒绝。</w:t>
      </w:r>
    </w:p>
    <w:p w14:paraId="61ABF9A7">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2"/>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5.2招标文件获取方式：凭CA密钥登陆会员系统并按网上提示下载招标文件及资料。（详见交易平台网站下载中心栏目里投标人操作手册）。</w:t>
      </w:r>
    </w:p>
    <w:p w14:paraId="59BC16D5">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2"/>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4B9AA46E">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6.资格审查方式 </w:t>
      </w:r>
    </w:p>
    <w:p w14:paraId="7A816EB7">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本招标项目对投标申请人的资格审查采用资格后审方式，主要资格审查标准和内容详见招标文件，只有资格审查合格的投标申请人才有可能被授予合同。</w:t>
      </w:r>
    </w:p>
    <w:p w14:paraId="1C24B113">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本项目采用不见面开标，投标人无需递交纸质投标文件及原件，投标企业应在项目开标前，将</w:t>
      </w:r>
      <w:r>
        <w:rPr>
          <w:rFonts w:hint="eastAsia" w:ascii="宋体" w:hAnsi="宋体" w:cs="宋体"/>
          <w:color w:val="auto"/>
          <w:kern w:val="2"/>
          <w:sz w:val="21"/>
          <w:szCs w:val="21"/>
          <w:highlight w:val="none"/>
          <w:lang w:val="en-US" w:eastAsia="zh-CN" w:bidi="ar-SA"/>
        </w:rPr>
        <w:t>相关的</w:t>
      </w:r>
      <w:r>
        <w:rPr>
          <w:rFonts w:hint="eastAsia" w:ascii="宋体" w:hAnsi="宋体" w:eastAsia="宋体" w:cs="宋体"/>
          <w:color w:val="auto"/>
          <w:kern w:val="2"/>
          <w:sz w:val="21"/>
          <w:szCs w:val="21"/>
          <w:highlight w:val="none"/>
          <w:lang w:val="en-US" w:eastAsia="zh-CN" w:bidi="ar-SA"/>
        </w:rPr>
        <w:t>资质、人员、业绩、荣誉、财务报告等投标所需材料扫描件，上传至驻马店市公共资源电子交易平台诚信库中，同时在“资格审查及评审材料”菜单下按标段挑选该标段投标所用资格审查材料，以供评标过程中评委查阅。评标时以电子投标文件及“资格审查及评审材料”菜单中选取的信息为准。</w:t>
      </w:r>
    </w:p>
    <w:p w14:paraId="2C51ED6D">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7.投标文件的上传/递交</w:t>
      </w:r>
    </w:p>
    <w:p w14:paraId="69C586B8">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7.1本项目采用不见面开标、投标人需要递交电子投标文件，无需递交纸质文件。</w:t>
      </w:r>
    </w:p>
    <w:p w14:paraId="07D072EF">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投标文件的上传/递交截止时间（投标截止时间，下同）和地点见招标文件。加密电子投标文件（*.ZMDTF格式）应在投标截止时间前通过驻马店市公共资源交易电子交易平台（http://ggzy.zhumadian.gov.cn:8820/TPbidder/login.aspx）上传完成。</w:t>
      </w:r>
    </w:p>
    <w:p w14:paraId="41EA5CA4">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34F45665">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7.4远程开标前，投标人务必在驻马店市公共资源交易电子交易平台（http://ggzy.zhumadian.gov.cn:8820/TPbidder/login.aspx）投标文件上传模块中使用“模拟解密”功能，验证本机远程自助解密环境。</w:t>
      </w:r>
    </w:p>
    <w:p w14:paraId="607B200F">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7.5逾期上传/送达的或者未上传/未送达指定地点的投标文件，招标人不予受理。</w:t>
      </w:r>
    </w:p>
    <w:p w14:paraId="5652FC5E">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4"/>
          <w:szCs w:val="24"/>
          <w:highlight w:val="none"/>
          <w:lang w:val="en-US" w:eastAsia="zh-CN" w:bidi="ar-SA"/>
        </w:rPr>
        <w:t>8.发布公告的媒介</w:t>
      </w:r>
    </w:p>
    <w:p w14:paraId="26AE759A">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本次招标公告同时在</w:t>
      </w:r>
      <w:r>
        <w:rPr>
          <w:rFonts w:hint="eastAsia" w:ascii="宋体" w:hAnsi="宋体" w:eastAsia="宋体" w:cs="宋体"/>
          <w:color w:val="000000"/>
          <w:kern w:val="2"/>
          <w:sz w:val="21"/>
          <w:szCs w:val="21"/>
          <w:highlight w:val="none"/>
          <w:lang w:val="en-US" w:eastAsia="zh-CN" w:bidi="ar-SA"/>
        </w:rPr>
        <w:t>《驻马店市公共资源交易平台》、《中国招标投标公共服务平台》</w:t>
      </w:r>
      <w:r>
        <w:rPr>
          <w:rFonts w:hint="eastAsia" w:ascii="宋体" w:hAnsi="宋体" w:cs="宋体"/>
          <w:color w:val="000000"/>
          <w:kern w:val="2"/>
          <w:sz w:val="21"/>
          <w:szCs w:val="21"/>
          <w:highlight w:val="none"/>
          <w:lang w:val="en-US" w:eastAsia="zh-CN" w:bidi="ar-SA"/>
        </w:rPr>
        <w:t>、</w:t>
      </w:r>
      <w:r>
        <w:rPr>
          <w:rFonts w:hint="eastAsia" w:ascii="宋体" w:hAnsi="宋体" w:eastAsia="宋体" w:cs="宋体"/>
          <w:color w:val="000000"/>
          <w:kern w:val="2"/>
          <w:sz w:val="21"/>
          <w:szCs w:val="21"/>
          <w:highlight w:val="none"/>
          <w:lang w:val="en-US" w:eastAsia="zh-CN" w:bidi="ar-SA"/>
        </w:rPr>
        <w:t>《</w:t>
      </w:r>
      <w:r>
        <w:rPr>
          <w:rFonts w:hint="eastAsia" w:ascii="宋体" w:hAnsi="宋体" w:cs="宋体"/>
          <w:color w:val="000000"/>
          <w:kern w:val="2"/>
          <w:sz w:val="21"/>
          <w:szCs w:val="21"/>
          <w:highlight w:val="none"/>
          <w:lang w:val="en-US" w:eastAsia="zh-CN" w:bidi="ar-SA"/>
        </w:rPr>
        <w:t>河南省政府采购网</w:t>
      </w:r>
      <w:r>
        <w:rPr>
          <w:rFonts w:hint="eastAsia" w:ascii="宋体" w:hAnsi="宋体" w:eastAsia="宋体" w:cs="宋体"/>
          <w:color w:val="000000"/>
          <w:kern w:val="2"/>
          <w:sz w:val="21"/>
          <w:szCs w:val="21"/>
          <w:highlight w:val="none"/>
          <w:lang w:val="en-US" w:eastAsia="zh-CN" w:bidi="ar-SA"/>
        </w:rPr>
        <w:t>》</w:t>
      </w:r>
      <w:r>
        <w:rPr>
          <w:rFonts w:hint="eastAsia" w:ascii="宋体" w:hAnsi="宋体" w:cs="宋体"/>
          <w:color w:val="000000"/>
          <w:kern w:val="2"/>
          <w:sz w:val="21"/>
          <w:szCs w:val="21"/>
          <w:highlight w:val="none"/>
          <w:lang w:val="en-US" w:eastAsia="zh-CN" w:bidi="ar-SA"/>
        </w:rPr>
        <w:t>、</w:t>
      </w:r>
      <w:r>
        <w:rPr>
          <w:rFonts w:hint="eastAsia" w:ascii="宋体" w:hAnsi="宋体" w:eastAsia="宋体" w:cs="宋体"/>
          <w:color w:val="000000"/>
          <w:kern w:val="2"/>
          <w:sz w:val="21"/>
          <w:szCs w:val="21"/>
          <w:highlight w:val="none"/>
          <w:lang w:val="en-US" w:eastAsia="zh-CN" w:bidi="ar-SA"/>
        </w:rPr>
        <w:t>《</w:t>
      </w:r>
      <w:r>
        <w:rPr>
          <w:rFonts w:hint="eastAsia" w:ascii="宋体" w:hAnsi="宋体" w:cs="宋体"/>
          <w:color w:val="000000"/>
          <w:kern w:val="2"/>
          <w:sz w:val="21"/>
          <w:szCs w:val="21"/>
          <w:highlight w:val="none"/>
          <w:lang w:val="en-US" w:eastAsia="zh-CN" w:bidi="ar-SA"/>
        </w:rPr>
        <w:t>新蔡县人民政府网</w:t>
      </w:r>
      <w:r>
        <w:rPr>
          <w:rFonts w:hint="eastAsia" w:ascii="宋体" w:hAnsi="宋体" w:eastAsia="宋体" w:cs="宋体"/>
          <w:color w:val="000000"/>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发布。</w:t>
      </w:r>
    </w:p>
    <w:p w14:paraId="377E8F38">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9.特别提醒：</w:t>
      </w:r>
    </w:p>
    <w:p w14:paraId="5820AE8F">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因驻马店不见面交易系统具备视频直播、语音通话等，对网络带宽及硬件要求相对较高的功能，故投标人在参与使用不见面交易系统开标的项目时，需确认是否满足如下要求：</w:t>
      </w:r>
    </w:p>
    <w:p w14:paraId="09633E70">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1、网络要求：</w:t>
      </w:r>
    </w:p>
    <w:p w14:paraId="3295AF15">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网络带宽4M以上。</w:t>
      </w:r>
    </w:p>
    <w:p w14:paraId="7AD06DD4">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2、硬件要求</w:t>
      </w:r>
    </w:p>
    <w:p w14:paraId="0A779420">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电脑要求内存4G及以上，且需配套网络摄像头、麦克风、音箱等，并确保其均能正常运转。操作系统要求Windows7及以上，IE浏览器IE11及以上。</w:t>
      </w:r>
    </w:p>
    <w:p w14:paraId="2BE1AA45">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3、人员要求</w:t>
      </w:r>
    </w:p>
    <w:p w14:paraId="56C812B7">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对于参与驻马店不见面交易系统开标的投标人，要求能熟练掌握电脑基础操作。不见面开标操作手册下载地址：</w:t>
      </w:r>
    </w:p>
    <w:p w14:paraId="30E84254">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（http://ggzy.zhumadian.gov.cn:9190/BidOpening/bidopeninghallaction/hall/login）</w:t>
      </w:r>
    </w:p>
    <w:p w14:paraId="735731A2">
      <w:pPr>
        <w:pStyle w:val="2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left"/>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10.联系方式</w:t>
      </w:r>
    </w:p>
    <w:p w14:paraId="6E4E1CCA">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招 标 人：</w:t>
      </w:r>
      <w:r>
        <w:rPr>
          <w:rFonts w:hint="default"/>
          <w:highlight w:val="none"/>
          <w:vertAlign w:val="baseline"/>
          <w:lang w:val="en-US" w:eastAsia="zh-CN"/>
        </w:rPr>
        <w:t>新蔡县农村公路事业发展中心</w:t>
      </w:r>
    </w:p>
    <w:p w14:paraId="49C93B49">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办公地址：</w:t>
      </w:r>
      <w:r>
        <w:rPr>
          <w:rFonts w:hint="default"/>
          <w:highlight w:val="none"/>
          <w:vertAlign w:val="baseline"/>
          <w:lang w:val="en-US" w:eastAsia="zh-CN"/>
        </w:rPr>
        <w:t>新蔡县驻新路西段</w:t>
      </w:r>
    </w:p>
    <w:p w14:paraId="7F079A59">
      <w:pPr>
        <w:bidi w:val="0"/>
        <w:spacing w:line="360" w:lineRule="auto"/>
        <w:ind w:right="325" w:rightChars="155" w:firstLine="400" w:firstLineChars="200"/>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电    话：13393988666</w:t>
      </w:r>
    </w:p>
    <w:p w14:paraId="2E530734">
      <w:pPr>
        <w:bidi w:val="0"/>
        <w:spacing w:line="360" w:lineRule="auto"/>
        <w:ind w:right="325" w:rightChars="155"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联 系 人：唐</w:t>
      </w:r>
      <w:r>
        <w:rPr>
          <w:rFonts w:hint="eastAsia" w:ascii="宋体" w:hAnsi="宋体" w:cs="宋体"/>
          <w:color w:val="auto"/>
          <w:sz w:val="20"/>
          <w:szCs w:val="20"/>
          <w:highlight w:val="none"/>
          <w:lang w:val="en-US" w:eastAsia="zh-CN"/>
        </w:rPr>
        <w:t>先生</w:t>
      </w:r>
    </w:p>
    <w:p w14:paraId="00597095">
      <w:pPr>
        <w:bidi w:val="0"/>
        <w:spacing w:line="360" w:lineRule="auto"/>
        <w:ind w:right="325" w:rightChars="155" w:firstLine="400" w:firstLineChars="200"/>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邮    箱：xcxncglgls@126.com</w:t>
      </w:r>
    </w:p>
    <w:p w14:paraId="7356EA93">
      <w:pPr>
        <w:spacing w:line="360" w:lineRule="auto"/>
        <w:ind w:right="325" w:rightChars="155"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代理机构：河南驰远工程管理有限公司</w:t>
      </w:r>
      <w:bookmarkStart w:id="551" w:name="_GoBack"/>
      <w:bookmarkEnd w:id="551"/>
    </w:p>
    <w:p w14:paraId="55AF1A9E">
      <w:pPr>
        <w:spacing w:line="360" w:lineRule="auto"/>
        <w:ind w:right="325" w:rightChars="155"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地    址：平顶山市新华区建设路西段281号（选煤设计院）</w:t>
      </w:r>
    </w:p>
    <w:p w14:paraId="2633C3BC">
      <w:pPr>
        <w:spacing w:line="360" w:lineRule="auto"/>
        <w:ind w:right="325" w:rightChars="155"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电    话： 17760275337</w:t>
      </w:r>
    </w:p>
    <w:p w14:paraId="2A3123CE">
      <w:pPr>
        <w:spacing w:line="360" w:lineRule="auto"/>
        <w:ind w:right="325" w:rightChars="155"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联 系 人： 韩女士</w:t>
      </w:r>
    </w:p>
    <w:p w14:paraId="0129525D">
      <w:pPr>
        <w:spacing w:line="360" w:lineRule="auto"/>
        <w:ind w:right="325" w:rightChars="155"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邮    箱：cyzmd0506@163.com</w:t>
      </w:r>
    </w:p>
    <w:p w14:paraId="0C64DB96">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监督单位：</w:t>
      </w:r>
      <w:r>
        <w:rPr>
          <w:rFonts w:hint="eastAsia" w:ascii="宋体" w:hAnsi="宋体" w:eastAsia="宋体" w:cs="宋体"/>
          <w:color w:val="000000"/>
          <w:sz w:val="20"/>
          <w:szCs w:val="20"/>
          <w:highlight w:val="none"/>
          <w:lang w:eastAsia="zh-CN"/>
        </w:rPr>
        <w:t>新蔡县交通运输局</w:t>
      </w:r>
    </w:p>
    <w:p w14:paraId="54595D36">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办公地址：</w:t>
      </w:r>
      <w:r>
        <w:rPr>
          <w:rFonts w:hint="eastAsia" w:ascii="宋体" w:hAnsi="宋体" w:eastAsia="宋体" w:cs="宋体"/>
          <w:color w:val="000000"/>
          <w:sz w:val="20"/>
          <w:szCs w:val="20"/>
          <w:highlight w:val="none"/>
          <w:lang w:eastAsia="zh-CN"/>
        </w:rPr>
        <w:t>新蔡县古吕街道新正路</w:t>
      </w:r>
    </w:p>
    <w:p w14:paraId="4FEBB217">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电    话：</w:t>
      </w:r>
      <w:r>
        <w:rPr>
          <w:rFonts w:hint="eastAsia" w:ascii="宋体" w:hAnsi="宋体" w:eastAsia="宋体" w:cs="宋体"/>
          <w:color w:val="000000"/>
          <w:sz w:val="20"/>
          <w:szCs w:val="20"/>
          <w:highlight w:val="none"/>
          <w:lang w:eastAsia="zh-CN"/>
        </w:rPr>
        <w:t>0396-5922203</w:t>
      </w:r>
    </w:p>
    <w:p w14:paraId="26D13C53">
      <w:pPr>
        <w:spacing w:line="360" w:lineRule="auto"/>
        <w:ind w:right="325" w:rightChars="155"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邮    箱：xcxjtj2007@163.com  </w:t>
      </w:r>
    </w:p>
    <w:p w14:paraId="76E1E343">
      <w:pPr>
        <w:pStyle w:val="23"/>
        <w:keepNext w:val="0"/>
        <w:keepLines w:val="0"/>
        <w:pageBreakBefore w:val="0"/>
        <w:widowControl/>
        <w:numPr>
          <w:ilvl w:val="0"/>
          <w:numId w:val="0"/>
        </w:numPr>
        <w:kinsoku/>
        <w:wordWrap/>
        <w:overflowPunct/>
        <w:topLinePunct w:val="0"/>
        <w:autoSpaceDE/>
        <w:autoSpaceDN/>
        <w:bidi w:val="0"/>
        <w:adjustRightInd/>
        <w:snapToGrid/>
        <w:spacing w:before="0" w:beforeLines="1700" w:line="240" w:lineRule="auto"/>
        <w:jc w:val="center"/>
        <w:textAlignment w:val="auto"/>
        <w:outlineLvl w:val="0"/>
        <w:rPr>
          <w:rFonts w:hint="eastAsia" w:ascii="宋体" w:hAnsi="宋体"/>
          <w:b/>
          <w:color w:val="auto"/>
          <w:kern w:val="44"/>
          <w:sz w:val="48"/>
          <w:szCs w:val="48"/>
          <w:highlight w:val="none"/>
          <w:lang w:eastAsia="zh-CN"/>
        </w:rPr>
      </w:pPr>
    </w:p>
    <w:p w14:paraId="0EEDF2BE">
      <w:pPr>
        <w:pStyle w:val="23"/>
        <w:keepNext w:val="0"/>
        <w:keepLines w:val="0"/>
        <w:pageBreakBefore w:val="0"/>
        <w:widowControl/>
        <w:numPr>
          <w:ilvl w:val="0"/>
          <w:numId w:val="0"/>
        </w:numPr>
        <w:kinsoku/>
        <w:wordWrap/>
        <w:overflowPunct/>
        <w:topLinePunct w:val="0"/>
        <w:autoSpaceDE/>
        <w:autoSpaceDN/>
        <w:bidi w:val="0"/>
        <w:adjustRightInd/>
        <w:snapToGrid/>
        <w:spacing w:before="0" w:beforeLines="1700" w:line="240" w:lineRule="auto"/>
        <w:jc w:val="center"/>
        <w:textAlignment w:val="auto"/>
        <w:outlineLvl w:val="0"/>
        <w:rPr>
          <w:rFonts w:hint="eastAsia" w:ascii="宋体" w:hAnsi="宋体"/>
          <w:b/>
          <w:color w:val="auto"/>
          <w:kern w:val="44"/>
          <w:sz w:val="48"/>
          <w:szCs w:val="48"/>
          <w:highlight w:val="none"/>
          <w:lang w:eastAsia="zh-CN"/>
        </w:rPr>
      </w:pPr>
    </w:p>
    <w:p w14:paraId="54106A01">
      <w:pPr>
        <w:pStyle w:val="23"/>
        <w:keepNext w:val="0"/>
        <w:keepLines w:val="0"/>
        <w:pageBreakBefore w:val="0"/>
        <w:widowControl/>
        <w:numPr>
          <w:ilvl w:val="0"/>
          <w:numId w:val="0"/>
        </w:numPr>
        <w:kinsoku/>
        <w:wordWrap/>
        <w:overflowPunct/>
        <w:topLinePunct w:val="0"/>
        <w:autoSpaceDE/>
        <w:autoSpaceDN/>
        <w:bidi w:val="0"/>
        <w:adjustRightInd/>
        <w:snapToGrid/>
        <w:spacing w:before="0" w:beforeLines="1700" w:line="240" w:lineRule="auto"/>
        <w:jc w:val="center"/>
        <w:textAlignment w:val="auto"/>
        <w:outlineLvl w:val="0"/>
        <w:rPr>
          <w:rFonts w:hint="eastAsia" w:ascii="宋体" w:hAnsi="宋体"/>
          <w:b/>
          <w:color w:val="auto"/>
          <w:kern w:val="44"/>
          <w:sz w:val="48"/>
          <w:szCs w:val="48"/>
          <w:highlight w:val="none"/>
          <w:lang w:eastAsia="zh-CN"/>
        </w:rPr>
      </w:pPr>
    </w:p>
    <w:p w14:paraId="1762BF78">
      <w:pPr>
        <w:pStyle w:val="23"/>
        <w:keepNext w:val="0"/>
        <w:keepLines w:val="0"/>
        <w:pageBreakBefore w:val="0"/>
        <w:widowControl/>
        <w:numPr>
          <w:ilvl w:val="0"/>
          <w:numId w:val="0"/>
        </w:numPr>
        <w:kinsoku/>
        <w:wordWrap/>
        <w:overflowPunct/>
        <w:topLinePunct w:val="0"/>
        <w:autoSpaceDE/>
        <w:autoSpaceDN/>
        <w:bidi w:val="0"/>
        <w:adjustRightInd/>
        <w:snapToGrid/>
        <w:spacing w:before="0" w:beforeLines="1700" w:line="240" w:lineRule="auto"/>
        <w:jc w:val="center"/>
        <w:textAlignment w:val="auto"/>
        <w:outlineLvl w:val="0"/>
        <w:rPr>
          <w:rFonts w:hint="eastAsia" w:ascii="宋体" w:hAnsi="宋体"/>
          <w:b/>
          <w:color w:val="auto"/>
          <w:kern w:val="44"/>
          <w:sz w:val="48"/>
          <w:szCs w:val="48"/>
          <w:highlight w:val="none"/>
        </w:rPr>
      </w:pPr>
      <w:r>
        <w:rPr>
          <w:rFonts w:hint="eastAsia" w:ascii="宋体" w:hAnsi="宋体"/>
          <w:b/>
          <w:color w:val="auto"/>
          <w:kern w:val="44"/>
          <w:sz w:val="48"/>
          <w:szCs w:val="48"/>
          <w:highlight w:val="none"/>
          <w:lang w:eastAsia="zh-CN"/>
        </w:rPr>
        <w:t>第二章</w:t>
      </w:r>
      <w:r>
        <w:rPr>
          <w:rFonts w:hint="eastAsia" w:ascii="宋体" w:hAnsi="宋体"/>
          <w:b/>
          <w:color w:val="auto"/>
          <w:kern w:val="44"/>
          <w:sz w:val="48"/>
          <w:szCs w:val="48"/>
          <w:highlight w:val="none"/>
        </w:rPr>
        <w:t xml:space="preserve"> 投标人须知</w:t>
      </w:r>
      <w:bookmarkEnd w:id="10"/>
    </w:p>
    <w:p w14:paraId="0391455F">
      <w:pPr>
        <w:pStyle w:val="23"/>
        <w:widowControl/>
        <w:numPr>
          <w:ilvl w:val="0"/>
          <w:numId w:val="0"/>
        </w:numPr>
        <w:spacing w:line="490" w:lineRule="exact"/>
        <w:jc w:val="center"/>
        <w:rPr>
          <w:rFonts w:hint="eastAsia" w:ascii="宋体" w:hAnsi="宋体"/>
          <w:b/>
          <w:color w:val="auto"/>
          <w:kern w:val="44"/>
          <w:sz w:val="48"/>
          <w:szCs w:val="48"/>
          <w:highlight w:val="none"/>
        </w:rPr>
      </w:pPr>
    </w:p>
    <w:p w14:paraId="5972BAFE">
      <w:pPr>
        <w:pStyle w:val="23"/>
        <w:widowControl/>
        <w:numPr>
          <w:ilvl w:val="0"/>
          <w:numId w:val="0"/>
        </w:numPr>
        <w:spacing w:line="490" w:lineRule="exact"/>
        <w:jc w:val="center"/>
        <w:rPr>
          <w:rFonts w:hint="eastAsia" w:ascii="宋体" w:hAnsi="宋体"/>
          <w:b/>
          <w:color w:val="auto"/>
          <w:kern w:val="44"/>
          <w:sz w:val="48"/>
          <w:szCs w:val="48"/>
          <w:highlight w:val="none"/>
        </w:rPr>
      </w:pPr>
    </w:p>
    <w:p w14:paraId="17700D27">
      <w:pPr>
        <w:pStyle w:val="23"/>
        <w:widowControl/>
        <w:numPr>
          <w:ilvl w:val="0"/>
          <w:numId w:val="0"/>
        </w:numPr>
        <w:spacing w:line="490" w:lineRule="exact"/>
        <w:jc w:val="center"/>
        <w:rPr>
          <w:rFonts w:hint="eastAsia" w:ascii="宋体" w:hAnsi="宋体"/>
          <w:b/>
          <w:color w:val="auto"/>
          <w:kern w:val="44"/>
          <w:sz w:val="48"/>
          <w:szCs w:val="48"/>
          <w:highlight w:val="none"/>
        </w:rPr>
      </w:pPr>
    </w:p>
    <w:p w14:paraId="0ACFA6A9">
      <w:pPr>
        <w:pStyle w:val="23"/>
        <w:widowControl/>
        <w:numPr>
          <w:ilvl w:val="0"/>
          <w:numId w:val="0"/>
        </w:numPr>
        <w:spacing w:line="490" w:lineRule="exact"/>
        <w:jc w:val="center"/>
        <w:rPr>
          <w:rFonts w:hint="eastAsia" w:ascii="宋体" w:hAnsi="宋体"/>
          <w:b/>
          <w:color w:val="auto"/>
          <w:kern w:val="44"/>
          <w:sz w:val="48"/>
          <w:szCs w:val="48"/>
          <w:highlight w:val="none"/>
        </w:rPr>
      </w:pPr>
    </w:p>
    <w:p w14:paraId="59F530D9">
      <w:pPr>
        <w:pStyle w:val="23"/>
        <w:widowControl/>
        <w:numPr>
          <w:ilvl w:val="0"/>
          <w:numId w:val="0"/>
        </w:numPr>
        <w:spacing w:line="490" w:lineRule="exact"/>
        <w:jc w:val="center"/>
        <w:rPr>
          <w:rFonts w:hint="eastAsia" w:ascii="宋体" w:hAnsi="宋体"/>
          <w:b/>
          <w:color w:val="auto"/>
          <w:kern w:val="44"/>
          <w:sz w:val="48"/>
          <w:szCs w:val="48"/>
          <w:highlight w:val="none"/>
        </w:rPr>
      </w:pPr>
    </w:p>
    <w:p w14:paraId="28CA3B7E">
      <w:pPr>
        <w:pStyle w:val="23"/>
        <w:widowControl/>
        <w:numPr>
          <w:ilvl w:val="0"/>
          <w:numId w:val="0"/>
        </w:numPr>
        <w:spacing w:line="490" w:lineRule="exact"/>
        <w:jc w:val="center"/>
        <w:rPr>
          <w:rFonts w:hint="eastAsia" w:ascii="宋体" w:hAnsi="宋体"/>
          <w:b/>
          <w:color w:val="auto"/>
          <w:kern w:val="44"/>
          <w:sz w:val="48"/>
          <w:szCs w:val="48"/>
          <w:highlight w:val="none"/>
        </w:rPr>
      </w:pPr>
    </w:p>
    <w:p w14:paraId="3D4FB6FB">
      <w:pPr>
        <w:pStyle w:val="23"/>
        <w:widowControl/>
        <w:numPr>
          <w:ilvl w:val="0"/>
          <w:numId w:val="0"/>
        </w:numPr>
        <w:spacing w:line="490" w:lineRule="exact"/>
        <w:jc w:val="center"/>
        <w:rPr>
          <w:rFonts w:hint="eastAsia" w:ascii="宋体" w:hAnsi="宋体"/>
          <w:b/>
          <w:color w:val="auto"/>
          <w:kern w:val="44"/>
          <w:sz w:val="48"/>
          <w:szCs w:val="48"/>
          <w:highlight w:val="none"/>
        </w:rPr>
      </w:pPr>
    </w:p>
    <w:p w14:paraId="2B4172FF">
      <w:pPr>
        <w:pStyle w:val="23"/>
        <w:widowControl/>
        <w:numPr>
          <w:ilvl w:val="0"/>
          <w:numId w:val="0"/>
        </w:numPr>
        <w:spacing w:line="490" w:lineRule="exact"/>
        <w:jc w:val="center"/>
        <w:rPr>
          <w:rFonts w:hint="eastAsia" w:ascii="宋体" w:hAnsi="宋体"/>
          <w:b/>
          <w:color w:val="auto"/>
          <w:kern w:val="44"/>
          <w:sz w:val="48"/>
          <w:szCs w:val="48"/>
          <w:highlight w:val="none"/>
        </w:rPr>
      </w:pPr>
    </w:p>
    <w:p w14:paraId="5D240EA9">
      <w:pPr>
        <w:pStyle w:val="23"/>
        <w:widowControl/>
        <w:numPr>
          <w:ilvl w:val="0"/>
          <w:numId w:val="0"/>
        </w:numPr>
        <w:spacing w:line="490" w:lineRule="exact"/>
        <w:jc w:val="center"/>
        <w:rPr>
          <w:rFonts w:hint="eastAsia" w:ascii="宋体" w:hAnsi="宋体"/>
          <w:b/>
          <w:color w:val="auto"/>
          <w:kern w:val="44"/>
          <w:sz w:val="48"/>
          <w:szCs w:val="48"/>
          <w:highlight w:val="none"/>
        </w:rPr>
      </w:pPr>
    </w:p>
    <w:p w14:paraId="2602E515">
      <w:pPr>
        <w:pStyle w:val="23"/>
        <w:widowControl/>
        <w:numPr>
          <w:ilvl w:val="0"/>
          <w:numId w:val="0"/>
        </w:numPr>
        <w:spacing w:line="490" w:lineRule="exact"/>
        <w:jc w:val="center"/>
        <w:rPr>
          <w:rFonts w:hint="eastAsia" w:ascii="宋体" w:hAnsi="宋体"/>
          <w:b/>
          <w:color w:val="auto"/>
          <w:kern w:val="44"/>
          <w:sz w:val="48"/>
          <w:szCs w:val="48"/>
          <w:highlight w:val="none"/>
        </w:rPr>
      </w:pPr>
    </w:p>
    <w:p w14:paraId="6D363047">
      <w:pPr>
        <w:pStyle w:val="23"/>
        <w:widowControl/>
        <w:numPr>
          <w:ilvl w:val="0"/>
          <w:numId w:val="0"/>
        </w:numPr>
        <w:spacing w:line="490" w:lineRule="exact"/>
        <w:jc w:val="center"/>
        <w:rPr>
          <w:rFonts w:hint="eastAsia" w:ascii="宋体" w:hAnsi="宋体"/>
          <w:b/>
          <w:color w:val="auto"/>
          <w:kern w:val="44"/>
          <w:sz w:val="48"/>
          <w:szCs w:val="48"/>
          <w:highlight w:val="none"/>
        </w:rPr>
      </w:pPr>
    </w:p>
    <w:p w14:paraId="47EBB6FF">
      <w:pPr>
        <w:pStyle w:val="23"/>
        <w:widowControl/>
        <w:numPr>
          <w:ilvl w:val="0"/>
          <w:numId w:val="0"/>
        </w:numPr>
        <w:spacing w:line="490" w:lineRule="exact"/>
        <w:jc w:val="center"/>
        <w:rPr>
          <w:rFonts w:hint="eastAsia" w:ascii="宋体" w:hAnsi="宋体"/>
          <w:b/>
          <w:color w:val="auto"/>
          <w:kern w:val="44"/>
          <w:sz w:val="48"/>
          <w:szCs w:val="48"/>
          <w:highlight w:val="none"/>
        </w:rPr>
      </w:pPr>
    </w:p>
    <w:p w14:paraId="30D29583">
      <w:pPr>
        <w:pStyle w:val="23"/>
        <w:widowControl/>
        <w:numPr>
          <w:ilvl w:val="0"/>
          <w:numId w:val="0"/>
        </w:numPr>
        <w:spacing w:line="490" w:lineRule="exact"/>
        <w:jc w:val="center"/>
        <w:rPr>
          <w:rFonts w:hint="eastAsia" w:ascii="宋体" w:hAnsi="宋体"/>
          <w:b/>
          <w:color w:val="auto"/>
          <w:kern w:val="44"/>
          <w:sz w:val="48"/>
          <w:szCs w:val="48"/>
          <w:highlight w:val="none"/>
        </w:rPr>
      </w:pPr>
    </w:p>
    <w:p w14:paraId="646A6A7A">
      <w:pPr>
        <w:pStyle w:val="23"/>
        <w:widowControl/>
        <w:numPr>
          <w:ilvl w:val="0"/>
          <w:numId w:val="0"/>
        </w:numPr>
        <w:spacing w:line="490" w:lineRule="exact"/>
        <w:jc w:val="center"/>
        <w:rPr>
          <w:rFonts w:hint="eastAsia" w:ascii="宋体" w:hAnsi="宋体"/>
          <w:b/>
          <w:color w:val="auto"/>
          <w:kern w:val="44"/>
          <w:sz w:val="48"/>
          <w:szCs w:val="48"/>
          <w:highlight w:val="none"/>
        </w:rPr>
      </w:pPr>
    </w:p>
    <w:p w14:paraId="08DE7ED5">
      <w:pPr>
        <w:pStyle w:val="23"/>
        <w:widowControl/>
        <w:numPr>
          <w:ilvl w:val="0"/>
          <w:numId w:val="0"/>
        </w:numPr>
        <w:spacing w:line="490" w:lineRule="exact"/>
        <w:jc w:val="center"/>
        <w:rPr>
          <w:rFonts w:hint="eastAsia" w:ascii="宋体" w:hAnsi="宋体"/>
          <w:b/>
          <w:color w:val="auto"/>
          <w:kern w:val="44"/>
          <w:sz w:val="48"/>
          <w:szCs w:val="48"/>
          <w:highlight w:val="none"/>
        </w:rPr>
      </w:pPr>
    </w:p>
    <w:p w14:paraId="304E752B">
      <w:pPr>
        <w:pStyle w:val="23"/>
        <w:widowControl/>
        <w:numPr>
          <w:ilvl w:val="0"/>
          <w:numId w:val="0"/>
        </w:numPr>
        <w:spacing w:line="490" w:lineRule="exact"/>
        <w:jc w:val="center"/>
        <w:rPr>
          <w:rFonts w:hint="eastAsia" w:ascii="宋体" w:hAnsi="宋体"/>
          <w:b/>
          <w:color w:val="auto"/>
          <w:kern w:val="44"/>
          <w:sz w:val="48"/>
          <w:szCs w:val="48"/>
          <w:highlight w:val="none"/>
        </w:rPr>
      </w:pPr>
    </w:p>
    <w:p w14:paraId="65380388">
      <w:pPr>
        <w:pStyle w:val="23"/>
        <w:widowControl/>
        <w:numPr>
          <w:ilvl w:val="0"/>
          <w:numId w:val="0"/>
        </w:numPr>
        <w:spacing w:line="490" w:lineRule="exact"/>
        <w:jc w:val="center"/>
        <w:rPr>
          <w:rFonts w:hint="eastAsia" w:ascii="宋体" w:hAnsi="宋体"/>
          <w:b/>
          <w:color w:val="auto"/>
          <w:kern w:val="44"/>
          <w:sz w:val="48"/>
          <w:szCs w:val="48"/>
          <w:highlight w:val="none"/>
        </w:rPr>
      </w:pPr>
    </w:p>
    <w:p w14:paraId="43A8753E">
      <w:pPr>
        <w:pStyle w:val="23"/>
        <w:keepNext w:val="0"/>
        <w:keepLines w:val="0"/>
        <w:pageBreakBefore w:val="0"/>
        <w:widowControl/>
        <w:numPr>
          <w:ilvl w:val="0"/>
          <w:numId w:val="0"/>
        </w:numPr>
        <w:kinsoku/>
        <w:wordWrap/>
        <w:overflowPunct/>
        <w:topLinePunct w:val="0"/>
        <w:autoSpaceDE/>
        <w:autoSpaceDN/>
        <w:bidi w:val="0"/>
        <w:adjustRightInd/>
        <w:snapToGrid/>
        <w:spacing w:after="0" w:line="240" w:lineRule="auto"/>
        <w:jc w:val="center"/>
        <w:textAlignment w:val="auto"/>
        <w:rPr>
          <w:rFonts w:hint="default" w:ascii="宋体" w:hAnsi="宋体" w:eastAsia="宋体"/>
          <w:b/>
          <w:color w:val="auto"/>
          <w:kern w:val="44"/>
          <w:sz w:val="44"/>
          <w:szCs w:val="44"/>
          <w:highlight w:val="none"/>
          <w:lang w:val="en-US" w:eastAsia="zh-CN"/>
        </w:rPr>
      </w:pPr>
      <w:r>
        <w:rPr>
          <w:rFonts w:hint="eastAsia" w:ascii="宋体" w:hAnsi="宋体"/>
          <w:b/>
          <w:color w:val="auto"/>
          <w:kern w:val="44"/>
          <w:sz w:val="44"/>
          <w:szCs w:val="44"/>
          <w:highlight w:val="none"/>
          <w:lang w:eastAsia="zh-CN"/>
        </w:rPr>
        <w:t>第二章</w:t>
      </w:r>
      <w:r>
        <w:rPr>
          <w:rFonts w:hint="eastAsia" w:ascii="宋体" w:hAnsi="宋体"/>
          <w:b/>
          <w:color w:val="auto"/>
          <w:kern w:val="44"/>
          <w:sz w:val="44"/>
          <w:szCs w:val="44"/>
          <w:highlight w:val="none"/>
          <w:lang w:val="en-US" w:eastAsia="zh-CN"/>
        </w:rPr>
        <w:t xml:space="preserve"> 投标人须知</w:t>
      </w:r>
    </w:p>
    <w:p w14:paraId="2E340B8F">
      <w:pPr>
        <w:keepNext w:val="0"/>
        <w:keepLines w:val="0"/>
        <w:pageBreakBefore w:val="0"/>
        <w:widowControl w:val="0"/>
        <w:kinsoku/>
        <w:wordWrap/>
        <w:overflowPunct/>
        <w:topLinePunct w:val="0"/>
        <w:autoSpaceDE/>
        <w:autoSpaceDN/>
        <w:bidi w:val="0"/>
        <w:adjustRightInd w:val="0"/>
        <w:snapToGrid w:val="0"/>
        <w:spacing w:before="0" w:beforeLines="100" w:after="0" w:afterLines="50" w:line="240" w:lineRule="auto"/>
        <w:jc w:val="both"/>
        <w:textAlignment w:val="auto"/>
        <w:outlineLvl w:val="1"/>
        <w:rPr>
          <w:rFonts w:ascii="宋体" w:hAnsi="宋体"/>
          <w:b/>
          <w:bCs/>
          <w:color w:val="auto"/>
          <w:sz w:val="28"/>
          <w:szCs w:val="28"/>
          <w:highlight w:val="none"/>
        </w:rPr>
      </w:pPr>
      <w:bookmarkStart w:id="12" w:name="_Toc3854"/>
      <w:bookmarkEnd w:id="12"/>
      <w:r>
        <w:rPr>
          <w:rFonts w:hint="eastAsia" w:ascii="宋体" w:hAnsi="宋体"/>
          <w:b/>
          <w:bCs/>
          <w:color w:val="auto"/>
          <w:sz w:val="28"/>
          <w:szCs w:val="28"/>
          <w:highlight w:val="none"/>
        </w:rPr>
        <w:t>投标人须知前附表</w:t>
      </w:r>
      <w:bookmarkStart w:id="13" w:name="_Hlt111980600"/>
      <w:bookmarkEnd w:id="13"/>
    </w:p>
    <w:tbl>
      <w:tblPr>
        <w:tblStyle w:val="27"/>
        <w:tblW w:w="9708"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5"/>
        <w:gridCol w:w="2551"/>
        <w:gridCol w:w="9"/>
        <w:gridCol w:w="6187"/>
      </w:tblGrid>
      <w:tr w14:paraId="026D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AF94B2A">
            <w:pPr>
              <w:keepNext w:val="0"/>
              <w:keepLines w:val="0"/>
              <w:pageBreakBefore w:val="0"/>
              <w:kinsoku/>
              <w:wordWrap/>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DCED3F3">
            <w:pPr>
              <w:keepNext w:val="0"/>
              <w:keepLines w:val="0"/>
              <w:pageBreakBefore w:val="0"/>
              <w:kinsoku/>
              <w:wordWrap/>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 款 名 称</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1774346">
            <w:pPr>
              <w:keepNext w:val="0"/>
              <w:keepLines w:val="0"/>
              <w:pageBreakBefore w:val="0"/>
              <w:kinsoku/>
              <w:wordWrap/>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 列 内 容</w:t>
            </w:r>
          </w:p>
        </w:tc>
      </w:tr>
      <w:tr w14:paraId="4C64C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8C561F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7567C3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307BA7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标</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人：</w:t>
            </w:r>
            <w:r>
              <w:rPr>
                <w:rFonts w:hint="default"/>
                <w:highlight w:val="none"/>
                <w:vertAlign w:val="baseline"/>
                <w:lang w:val="en-US" w:eastAsia="zh-CN"/>
              </w:rPr>
              <w:t>新蔡县农村公路事业发展中心</w:t>
            </w:r>
          </w:p>
          <w:p w14:paraId="26C7527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办公地址：</w:t>
            </w:r>
            <w:r>
              <w:rPr>
                <w:rFonts w:hint="default"/>
                <w:highlight w:val="none"/>
                <w:vertAlign w:val="baseline"/>
                <w:lang w:val="en-US" w:eastAsia="zh-CN"/>
              </w:rPr>
              <w:t>新蔡县驻新路西段</w:t>
            </w:r>
          </w:p>
          <w:p w14:paraId="5424ED85">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 系 人：唐</w:t>
            </w:r>
            <w:r>
              <w:rPr>
                <w:rFonts w:hint="eastAsia" w:ascii="宋体" w:hAnsi="宋体" w:cs="宋体"/>
                <w:color w:val="auto"/>
                <w:sz w:val="21"/>
                <w:szCs w:val="21"/>
                <w:highlight w:val="none"/>
                <w:lang w:val="en-US" w:eastAsia="zh-CN"/>
              </w:rPr>
              <w:t>先生</w:t>
            </w:r>
          </w:p>
          <w:p w14:paraId="736F26C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话：13393988666</w:t>
            </w:r>
          </w:p>
        </w:tc>
      </w:tr>
      <w:tr w14:paraId="217C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FEFEF0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6302E1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B4293F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val="en-US" w:eastAsia="zh-CN"/>
              </w:rPr>
              <w:t>河南驰远工程管理有限公司</w:t>
            </w:r>
          </w:p>
          <w:p w14:paraId="0DABDA4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地址：平顶山市新华区建设路西段281号（选煤设计院）</w:t>
            </w:r>
          </w:p>
          <w:p w14:paraId="5BBE074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联系人：韩女士</w:t>
            </w:r>
          </w:p>
          <w:p w14:paraId="2823F33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联系电话：17760275337</w:t>
            </w:r>
          </w:p>
        </w:tc>
      </w:tr>
      <w:tr w14:paraId="3593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B9AB02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6F73EC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招标项目名称</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0077E96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default"/>
                <w:highlight w:val="none"/>
                <w:vertAlign w:val="baseline"/>
                <w:lang w:val="en-US" w:eastAsia="zh-CN"/>
              </w:rPr>
              <w:t>2026年新蔡县农村公路建设养护项目</w:t>
            </w:r>
          </w:p>
        </w:tc>
      </w:tr>
      <w:tr w14:paraId="0B4A1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815B49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73A78D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标段建设地点</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88EEEF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default"/>
                <w:highlight w:val="none"/>
                <w:vertAlign w:val="baseline"/>
                <w:lang w:val="en-US" w:eastAsia="zh-CN"/>
              </w:rPr>
              <w:t>项目共包含41 条农村道路，建设道路总里程62.01公里。建设标准为：四级公路，设计速度 20km/h，路基宽度4.5m、5.5m，路面宽度 3.5m、4.5m。</w:t>
            </w:r>
          </w:p>
        </w:tc>
      </w:tr>
      <w:tr w14:paraId="27CD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26A52D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8E8FB3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C6F2F9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财政</w:t>
            </w:r>
            <w:r>
              <w:rPr>
                <w:rFonts w:hint="eastAsia" w:ascii="宋体" w:hAnsi="宋体" w:eastAsia="宋体" w:cs="宋体"/>
                <w:color w:val="000000" w:themeColor="text1"/>
                <w:kern w:val="2"/>
                <w:sz w:val="21"/>
                <w:szCs w:val="21"/>
                <w:highlight w:val="none"/>
                <w:u w:val="none"/>
                <w:lang w:val="en-US" w:eastAsia="zh-CN" w:bidi="ar-SA"/>
                <w14:textFill>
                  <w14:solidFill>
                    <w14:schemeClr w14:val="tx1"/>
                  </w14:solidFill>
                </w14:textFill>
              </w:rPr>
              <w:t>资金</w:t>
            </w: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项目出资比例为</w:t>
            </w:r>
            <w:r>
              <w:rPr>
                <w:rFonts w:hint="eastAsia" w:ascii="宋体" w:hAnsi="宋体" w:cs="宋体"/>
                <w:color w:val="000000" w:themeColor="text1"/>
                <w:szCs w:val="21"/>
                <w:highlight w:val="none"/>
                <w:u w:val="none"/>
                <w14:textFill>
                  <w14:solidFill>
                    <w14:schemeClr w14:val="tx1"/>
                  </w14:solidFill>
                </w14:textFill>
              </w:rPr>
              <w:t>100%</w:t>
            </w:r>
          </w:p>
        </w:tc>
      </w:tr>
      <w:tr w14:paraId="72B75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B4004D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DE0936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242BC8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4D27B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AD5EA0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764F3D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C39D6F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招标文件所含全部内容（最终以工程量清单、施工图纸内容和施工招标答疑纪要为准）</w:t>
            </w:r>
          </w:p>
        </w:tc>
      </w:tr>
      <w:tr w14:paraId="6E9D8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60B358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89CD97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计划工期</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0ADB963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FF0000"/>
                <w:sz w:val="21"/>
                <w:szCs w:val="21"/>
                <w:highlight w:val="none"/>
                <w:lang w:eastAsia="zh-CN"/>
              </w:rPr>
            </w:pPr>
            <w:r>
              <w:rPr>
                <w:rFonts w:hint="eastAsia" w:ascii="宋体" w:hAnsi="宋体" w:cs="宋体"/>
                <w:color w:val="auto"/>
                <w:sz w:val="21"/>
                <w:szCs w:val="21"/>
                <w:highlight w:val="none"/>
                <w:lang w:val="en-US" w:eastAsia="zh-CN"/>
              </w:rPr>
              <w:t>90日历天</w:t>
            </w:r>
            <w:r>
              <w:rPr>
                <w:rFonts w:hint="eastAsia" w:ascii="宋体" w:hAnsi="宋体" w:cs="宋体"/>
                <w:color w:val="auto"/>
                <w:szCs w:val="21"/>
                <w:highlight w:val="none"/>
              </w:rPr>
              <w:t>，缺陷责任</w:t>
            </w:r>
            <w:r>
              <w:rPr>
                <w:rFonts w:hint="eastAsia" w:ascii="宋体" w:hAnsi="宋体" w:cs="宋体"/>
                <w:color w:val="000000" w:themeColor="text1"/>
                <w:szCs w:val="21"/>
                <w:highlight w:val="none"/>
                <w14:textFill>
                  <w14:solidFill>
                    <w14:schemeClr w14:val="tx1"/>
                  </w14:solidFill>
                </w14:textFill>
              </w:rPr>
              <w:t>期</w:t>
            </w:r>
            <w:r>
              <w:rPr>
                <w:rFonts w:hint="eastAsia" w:ascii="宋体" w:hAnsi="宋体" w:cs="宋体"/>
                <w:color w:val="000000" w:themeColor="text1"/>
                <w:szCs w:val="21"/>
                <w:highlight w:val="none"/>
                <w:lang w:val="en-US" w:eastAsia="zh-CN"/>
                <w14:textFill>
                  <w14:solidFill>
                    <w14:schemeClr w14:val="tx1"/>
                  </w14:solidFill>
                </w14:textFill>
              </w:rPr>
              <w:t>24</w:t>
            </w:r>
            <w:r>
              <w:rPr>
                <w:rFonts w:hint="eastAsia" w:ascii="宋体" w:hAnsi="宋体" w:cs="宋体"/>
                <w:color w:val="000000" w:themeColor="text1"/>
                <w:szCs w:val="21"/>
                <w:highlight w:val="none"/>
                <w14:textFill>
                  <w14:solidFill>
                    <w14:schemeClr w14:val="tx1"/>
                  </w14:solidFill>
                </w14:textFill>
              </w:rPr>
              <w:t>个</w:t>
            </w:r>
            <w:r>
              <w:rPr>
                <w:rFonts w:hint="eastAsia" w:ascii="宋体" w:hAnsi="宋体" w:cs="宋体"/>
                <w:color w:val="auto"/>
                <w:szCs w:val="21"/>
                <w:highlight w:val="none"/>
              </w:rPr>
              <w:t>月</w:t>
            </w:r>
            <w:r>
              <w:rPr>
                <w:rFonts w:hint="eastAsia" w:ascii="宋体" w:hAnsi="宋体" w:cs="宋体"/>
                <w:color w:val="auto"/>
                <w:szCs w:val="21"/>
                <w:highlight w:val="none"/>
                <w:lang w:eastAsia="zh-CN"/>
              </w:rPr>
              <w:t>。</w:t>
            </w:r>
          </w:p>
          <w:p w14:paraId="4B3C17E1">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计划开工日期：以合同约定时间为准</w:t>
            </w:r>
            <w:r>
              <w:rPr>
                <w:rFonts w:hint="eastAsia" w:ascii="宋体" w:hAnsi="宋体" w:cs="宋体"/>
                <w:color w:val="auto"/>
                <w:sz w:val="21"/>
                <w:szCs w:val="21"/>
                <w:highlight w:val="none"/>
                <w:lang w:eastAsia="zh-CN"/>
              </w:rPr>
              <w:t>；</w:t>
            </w:r>
          </w:p>
          <w:p w14:paraId="3EA72FD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计划交工日期：以合同约定时间为</w:t>
            </w:r>
            <w:r>
              <w:rPr>
                <w:rFonts w:hint="eastAsia" w:ascii="宋体" w:hAnsi="宋体" w:cs="宋体"/>
                <w:color w:val="auto"/>
                <w:sz w:val="21"/>
                <w:szCs w:val="21"/>
                <w:highlight w:val="none"/>
                <w:lang w:eastAsia="zh-CN"/>
              </w:rPr>
              <w:t>准。</w:t>
            </w:r>
          </w:p>
        </w:tc>
      </w:tr>
      <w:tr w14:paraId="4BB26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C74CAF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9C2A0B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1B3513E">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pacing w:val="-18"/>
                <w:sz w:val="21"/>
                <w:szCs w:val="21"/>
                <w:highlight w:val="none"/>
              </w:rPr>
            </w:pPr>
            <w:r>
              <w:rPr>
                <w:rFonts w:hint="eastAsia" w:ascii="宋体" w:hAnsi="宋体" w:eastAsia="宋体" w:cs="宋体"/>
                <w:color w:val="auto"/>
                <w:sz w:val="21"/>
                <w:szCs w:val="21"/>
                <w:highlight w:val="none"/>
              </w:rPr>
              <w:t>合格</w:t>
            </w:r>
          </w:p>
        </w:tc>
      </w:tr>
      <w:tr w14:paraId="575A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558449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039F2A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安全目标</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E6E5C9D">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无安全事故</w:t>
            </w:r>
          </w:p>
        </w:tc>
      </w:tr>
      <w:tr w14:paraId="666C6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4298E9D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98714D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投标人资质条件、能力和信誉 </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DE7D4C0">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资质要求：见附录1</w:t>
            </w:r>
          </w:p>
          <w:p w14:paraId="079E0F57">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财务要求：见附录2</w:t>
            </w:r>
          </w:p>
          <w:p w14:paraId="535218CA">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业绩要求：见附录3</w:t>
            </w:r>
          </w:p>
          <w:p w14:paraId="05B2A070">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信誉要求：见附录4</w:t>
            </w:r>
          </w:p>
          <w:p w14:paraId="329530B1">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其他要求：</w:t>
            </w:r>
            <w:r>
              <w:rPr>
                <w:rFonts w:hint="eastAsia" w:ascii="宋体" w:hAnsi="宋体" w:eastAsia="宋体" w:cs="宋体"/>
                <w:color w:val="auto"/>
                <w:sz w:val="21"/>
                <w:szCs w:val="21"/>
                <w:highlight w:val="none"/>
              </w:rPr>
              <w:t>见附录</w:t>
            </w:r>
            <w:r>
              <w:rPr>
                <w:rFonts w:hint="eastAsia" w:ascii="宋体" w:hAnsi="宋体" w:eastAsia="宋体" w:cs="宋体"/>
                <w:color w:val="auto"/>
                <w:sz w:val="21"/>
                <w:szCs w:val="21"/>
                <w:highlight w:val="none"/>
                <w:lang w:val="en-US" w:eastAsia="zh-CN"/>
              </w:rPr>
              <w:t>5</w:t>
            </w:r>
          </w:p>
          <w:p w14:paraId="26196D6A">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项目经理和项目总工资格：见附录</w:t>
            </w:r>
            <w:r>
              <w:rPr>
                <w:rFonts w:hint="eastAsia" w:ascii="宋体" w:hAnsi="宋体" w:cs="宋体"/>
                <w:color w:val="auto"/>
                <w:sz w:val="21"/>
                <w:szCs w:val="21"/>
                <w:highlight w:val="none"/>
                <w:lang w:val="en-US" w:eastAsia="zh-CN"/>
              </w:rPr>
              <w:t>6</w:t>
            </w:r>
          </w:p>
        </w:tc>
      </w:tr>
      <w:tr w14:paraId="4C96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911E7B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0D71DC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FE29AE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25E3305A">
            <w:pPr>
              <w:pStyle w:val="30"/>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p>
          <w:p w14:paraId="2DCA8982">
            <w:pPr>
              <w:pStyle w:val="30"/>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（1）联合体所有成员数量不得超过 / 家；</w:t>
            </w:r>
          </w:p>
          <w:p w14:paraId="0D4BE5B1">
            <w:pPr>
              <w:pStyle w:val="30"/>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（2）联合体牵头人应具有 / 资质；</w:t>
            </w:r>
          </w:p>
          <w:p w14:paraId="2396CAF1">
            <w:pPr>
              <w:pStyle w:val="30"/>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0CF3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410A1F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5D5E71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投标人不得存在的其他关联情形</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B2EEF1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见须知正文</w:t>
            </w:r>
          </w:p>
        </w:tc>
      </w:tr>
      <w:tr w14:paraId="6E0F1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72857A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603FE4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投标人不得存在的其他不良状况或不良信用记录</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0F86224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见须知正文</w:t>
            </w:r>
          </w:p>
        </w:tc>
      </w:tr>
      <w:tr w14:paraId="1912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6E0BF82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1F2BD2D">
            <w:pPr>
              <w:keepNext w:val="0"/>
              <w:keepLines w:val="0"/>
              <w:pageBreakBefore w:val="0"/>
              <w:kinsoku/>
              <w:wordWrap/>
              <w:overflowPunct/>
              <w:topLinePunct w:val="0"/>
              <w:autoSpaceDE w:val="0"/>
              <w:autoSpaceDN/>
              <w:bidi w:val="0"/>
              <w:spacing w:line="360" w:lineRule="atLeast"/>
              <w:ind w:left="-106" w:leftChars="-51" w:right="-107" w:rightChars="-51" w:hanging="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投标人在投标预备会前提出问题</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9FEF68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不召开预备会，如有疑问见条款2</w:t>
            </w:r>
          </w:p>
        </w:tc>
      </w:tr>
      <w:tr w14:paraId="40FC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934536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717C99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4DB6A2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2FA8EBE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□允许，允许分包的专项工程（或不允许分包的专项工程）：</w:t>
            </w:r>
          </w:p>
          <w:p w14:paraId="68DEBEC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对分包人的资格要求：</w:t>
            </w:r>
            <w:r>
              <w:rPr>
                <w:rFonts w:hint="eastAsia" w:ascii="宋体" w:hAnsi="宋体" w:eastAsia="宋体" w:cs="宋体"/>
                <w:color w:val="auto"/>
                <w:sz w:val="21"/>
                <w:szCs w:val="21"/>
                <w:highlight w:val="none"/>
              </w:rPr>
              <w:tab/>
            </w:r>
          </w:p>
        </w:tc>
      </w:tr>
      <w:tr w14:paraId="23A0E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26F76C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0226827">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32FD899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1.招标人发布的最高投标限价、招标补遗书、澄清、修改等招标文件的补充文件（如有）；</w:t>
            </w:r>
          </w:p>
          <w:p w14:paraId="767B984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2.其他相关规范、要求等。</w:t>
            </w:r>
          </w:p>
        </w:tc>
      </w:tr>
      <w:tr w14:paraId="4D13A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56" w:type="dxa"/>
            <w:vMerge w:val="restart"/>
            <w:tcBorders>
              <w:top w:val="nil"/>
              <w:left w:val="single" w:color="auto" w:sz="4" w:space="0"/>
              <w:bottom w:val="single" w:color="auto" w:sz="4" w:space="0"/>
              <w:right w:val="single" w:color="auto" w:sz="4" w:space="0"/>
            </w:tcBorders>
            <w:noWrap/>
            <w:vAlign w:val="center"/>
          </w:tcPr>
          <w:p w14:paraId="68FEA4E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556" w:type="dxa"/>
            <w:gridSpan w:val="2"/>
            <w:vMerge w:val="restart"/>
            <w:tcBorders>
              <w:top w:val="nil"/>
              <w:left w:val="single" w:color="auto" w:sz="4" w:space="0"/>
              <w:bottom w:val="single" w:color="auto" w:sz="4" w:space="0"/>
              <w:right w:val="single" w:color="auto" w:sz="4" w:space="0"/>
            </w:tcBorders>
            <w:noWrap/>
            <w:vAlign w:val="center"/>
          </w:tcPr>
          <w:p w14:paraId="353C370E">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0C2EA7F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时间：投标截止时间15日前</w:t>
            </w:r>
          </w:p>
        </w:tc>
      </w:tr>
      <w:tr w14:paraId="4BD4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56" w:type="dxa"/>
            <w:vMerge w:val="continue"/>
            <w:tcBorders>
              <w:top w:val="nil"/>
              <w:left w:val="single" w:color="auto" w:sz="4" w:space="0"/>
              <w:bottom w:val="single" w:color="auto" w:sz="4" w:space="0"/>
              <w:right w:val="single" w:color="auto" w:sz="4" w:space="0"/>
            </w:tcBorders>
            <w:vAlign w:val="center"/>
          </w:tcPr>
          <w:p w14:paraId="2DA83AFE">
            <w:pPr>
              <w:keepNext w:val="0"/>
              <w:keepLines w:val="0"/>
              <w:pageBreakBefore w:val="0"/>
              <w:widowControl/>
              <w:kinsoku/>
              <w:wordWrap/>
              <w:overflowPunct/>
              <w:topLinePunct w:val="0"/>
              <w:autoSpaceDN/>
              <w:bidi w:val="0"/>
              <w:spacing w:line="360" w:lineRule="atLeast"/>
              <w:jc w:val="left"/>
              <w:textAlignment w:val="auto"/>
              <w:rPr>
                <w:rFonts w:hint="eastAsia" w:ascii="宋体" w:hAnsi="宋体" w:eastAsia="宋体" w:cs="宋体"/>
                <w:color w:val="auto"/>
                <w:sz w:val="21"/>
                <w:szCs w:val="21"/>
                <w:highlight w:val="none"/>
              </w:rPr>
            </w:pPr>
          </w:p>
        </w:tc>
        <w:tc>
          <w:tcPr>
            <w:tcW w:w="2556" w:type="dxa"/>
            <w:gridSpan w:val="2"/>
            <w:vMerge w:val="continue"/>
            <w:tcBorders>
              <w:top w:val="nil"/>
              <w:left w:val="single" w:color="auto" w:sz="4" w:space="0"/>
              <w:bottom w:val="single" w:color="auto" w:sz="4" w:space="0"/>
              <w:right w:val="single" w:color="auto" w:sz="4" w:space="0"/>
            </w:tcBorders>
            <w:vAlign w:val="center"/>
          </w:tcPr>
          <w:p w14:paraId="6EC65E55">
            <w:pPr>
              <w:keepNext w:val="0"/>
              <w:keepLines w:val="0"/>
              <w:pageBreakBefore w:val="0"/>
              <w:widowControl/>
              <w:kinsoku/>
              <w:wordWrap/>
              <w:overflowPunct/>
              <w:topLinePunct w:val="0"/>
              <w:autoSpaceDN/>
              <w:bidi w:val="0"/>
              <w:spacing w:line="360" w:lineRule="atLeast"/>
              <w:jc w:val="left"/>
              <w:textAlignment w:val="auto"/>
              <w:rPr>
                <w:rFonts w:hint="eastAsia" w:ascii="宋体" w:hAnsi="宋体" w:eastAsia="宋体" w:cs="宋体"/>
                <w:color w:val="auto"/>
                <w:sz w:val="21"/>
                <w:szCs w:val="21"/>
                <w:highlight w:val="none"/>
              </w:rPr>
            </w:pP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22B633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形式：通过“驻马店市公共资源交易平台”要求澄清招标文件。</w:t>
            </w:r>
          </w:p>
        </w:tc>
      </w:tr>
      <w:tr w14:paraId="4103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65405D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AAAE55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招标文件澄清发出的形式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C2C2ECA">
            <w:pPr>
              <w:keepNext w:val="0"/>
              <w:keepLines w:val="0"/>
              <w:pageBreakBefore w:val="0"/>
              <w:widowControl w:val="0"/>
              <w:kinsoku/>
              <w:wordWrap w:val="0"/>
              <w:overflowPunct/>
              <w:topLinePunct w:val="0"/>
              <w:autoSpaceDE w:val="0"/>
              <w:autoSpaceDN/>
              <w:bidi w:val="0"/>
              <w:adjustRightInd/>
              <w:snapToGrid/>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通过“驻马店市公共资源交易平台(https://ggzy.zhumadian.gov.cn/TPFront/)”进行公布，不再另行通知，请各投标人及时关注交易平台，因投标人未看到或其他原因造成的损失，由投标人自行承担。</w:t>
            </w:r>
          </w:p>
        </w:tc>
      </w:tr>
      <w:tr w14:paraId="60D8E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72DC6F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AD78545">
            <w:pPr>
              <w:keepNext w:val="0"/>
              <w:keepLines w:val="0"/>
              <w:pageBreakBefore w:val="0"/>
              <w:kinsoku/>
              <w:wordWrap/>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99000E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所有澄清均通过“驻马店市公共资源交易平台”发布，一经发布即视为投标人已收到，请各投标人关注系统通知，如有遗漏自行负责。投标人无需书面回复确认收到。</w:t>
            </w:r>
          </w:p>
        </w:tc>
      </w:tr>
      <w:tr w14:paraId="15A84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4C6BA3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E1DC944">
            <w:pPr>
              <w:keepNext w:val="0"/>
              <w:keepLines w:val="0"/>
              <w:pageBreakBefore w:val="0"/>
              <w:kinsoku/>
              <w:wordWrap/>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招标文件修改发出的形式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07FF1449">
            <w:pPr>
              <w:keepNext w:val="0"/>
              <w:keepLines w:val="0"/>
              <w:pageBreakBefore w:val="0"/>
              <w:widowControl w:val="0"/>
              <w:kinsoku/>
              <w:wordWrap w:val="0"/>
              <w:overflowPunct/>
              <w:topLinePunct w:val="0"/>
              <w:autoSpaceDE w:val="0"/>
              <w:autoSpaceDN/>
              <w:bidi w:val="0"/>
              <w:adjustRightInd/>
              <w:snapToGrid/>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通过“驻马店市公共资源交易平台(https://ggzy.zhumadian.gov.cn/TPFront/)”进行公布，不再另行通知，请各投标人及时关注交易平台，因投标人未看到或其他原因造成的损失，由投标人自行承担。</w:t>
            </w:r>
          </w:p>
        </w:tc>
      </w:tr>
      <w:tr w14:paraId="3CD4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7F620F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240F4F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投标人确认收到招标文件修改</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AD7A43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所有招标文件修改均通过“驻马店市公共资源交易平台”发布，一经发布即视为投标人已收到，请各投标人关注系统通知，如有遗漏自行负责。投标人无需书面回复确认收到。</w:t>
            </w:r>
          </w:p>
        </w:tc>
      </w:tr>
      <w:tr w14:paraId="0176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2D604F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CB11ABD">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投标文件密封形式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A55E0F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双信封</w:t>
            </w:r>
          </w:p>
          <w:p w14:paraId="42FF754E">
            <w:pPr>
              <w:keepNext w:val="0"/>
              <w:keepLines w:val="0"/>
              <w:pageBreakBefore w:val="0"/>
              <w:tabs>
                <w:tab w:val="left" w:pos="2278"/>
              </w:tabs>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□单信封</w:t>
            </w:r>
            <w:r>
              <w:rPr>
                <w:rFonts w:hint="eastAsia" w:ascii="宋体" w:hAnsi="宋体" w:eastAsia="宋体" w:cs="宋体"/>
                <w:color w:val="auto"/>
                <w:sz w:val="21"/>
                <w:szCs w:val="21"/>
                <w:highlight w:val="none"/>
                <w:lang w:eastAsia="zh-CN"/>
              </w:rPr>
              <w:tab/>
            </w:r>
          </w:p>
        </w:tc>
      </w:tr>
      <w:tr w14:paraId="694E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3C85DB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7593A11">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构成投标文件的其他资料</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4D6D1C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12CDD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949325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36E22C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增值税税金的计算方法</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5B5BF1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按国家最新规定</w:t>
            </w:r>
          </w:p>
        </w:tc>
      </w:tr>
      <w:tr w14:paraId="38B4E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5DEBA3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5E91C9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工程量清单的填写方式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6BF8498">
            <w:pPr>
              <w:keepNext w:val="0"/>
              <w:keepLines w:val="0"/>
              <w:pageBreakBefore w:val="0"/>
              <w:widowControl w:val="0"/>
              <w:kinsoku/>
              <w:wordWrap w:val="0"/>
              <w:overflowPunct/>
              <w:topLinePunct w:val="0"/>
              <w:autoSpaceDE w:val="0"/>
              <w:autoSpaceDN/>
              <w:bidi w:val="0"/>
              <w:adjustRightInd/>
              <w:snapToGrid/>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投标人按照招标人提供的工程量固化清单电子文件填写工程量清单，下载网站：驻马店市公共资源交易平台https://ggzy.zhumadian.gov.cn/TPFront/</w:t>
            </w:r>
          </w:p>
          <w:p w14:paraId="10991E15">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投标人按照招标人提供的书面工程量清单填写工程量清单</w:t>
            </w:r>
          </w:p>
        </w:tc>
      </w:tr>
      <w:tr w14:paraId="19D1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748E3F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1C2250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报价方式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A1E63C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单价</w:t>
            </w:r>
          </w:p>
          <w:p w14:paraId="7EDB1F5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总价</w:t>
            </w:r>
          </w:p>
        </w:tc>
      </w:tr>
      <w:tr w14:paraId="3D34B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6FC60A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192B48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是否接受调价函</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318D1745">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24543EA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F52A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5F145D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3.2.8</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A58670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D813F6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p w14:paraId="2D72061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有，最高投标</w:t>
            </w:r>
            <w:r>
              <w:rPr>
                <w:rFonts w:hint="eastAsia" w:ascii="宋体" w:hAnsi="宋体" w:eastAsia="宋体" w:cs="宋体"/>
                <w:color w:val="000000" w:themeColor="text1"/>
                <w:sz w:val="21"/>
                <w:szCs w:val="21"/>
                <w:highlight w:val="none"/>
                <w14:textFill>
                  <w14:solidFill>
                    <w14:schemeClr w14:val="tx1"/>
                  </w14:solidFill>
                </w14:textFill>
              </w:rPr>
              <w:t>限价：</w:t>
            </w:r>
            <w:r>
              <w:rPr>
                <w:rFonts w:hint="eastAsia" w:ascii="宋体" w:hAnsi="宋体" w:cs="宋体"/>
                <w:color w:val="000000" w:themeColor="text1"/>
                <w:sz w:val="21"/>
                <w:szCs w:val="21"/>
                <w:highlight w:val="none"/>
                <w:lang w:val="en-US" w:eastAsia="zh-CN"/>
                <w14:textFill>
                  <w14:solidFill>
                    <w14:schemeClr w14:val="tx1"/>
                  </w14:solidFill>
                </w14:textFill>
              </w:rPr>
              <w:t>37755318.48</w:t>
            </w:r>
            <w:r>
              <w:rPr>
                <w:rFonts w:hint="eastAsia" w:ascii="宋体" w:hAnsi="宋体" w:eastAsia="宋体" w:cs="宋体"/>
                <w:color w:val="000000" w:themeColor="text1"/>
                <w:sz w:val="21"/>
                <w:szCs w:val="21"/>
                <w:highlight w:val="none"/>
                <w14:textFill>
                  <w14:solidFill>
                    <w14:schemeClr w14:val="tx1"/>
                  </w14:solidFill>
                </w14:textFill>
              </w:rPr>
              <w:t>元</w:t>
            </w:r>
          </w:p>
        </w:tc>
      </w:tr>
      <w:tr w14:paraId="39DAB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2FA48A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3.2.9</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76874C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投标报价的其他要求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4145ED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603A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6AB9F2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556" w:type="dxa"/>
            <w:gridSpan w:val="2"/>
            <w:tcBorders>
              <w:top w:val="single" w:color="auto" w:sz="4" w:space="0"/>
              <w:left w:val="nil"/>
              <w:bottom w:val="single" w:color="auto" w:sz="4" w:space="0"/>
              <w:right w:val="single" w:color="auto" w:sz="4" w:space="0"/>
            </w:tcBorders>
            <w:noWrap/>
            <w:vAlign w:val="center"/>
          </w:tcPr>
          <w:p w14:paraId="7DDDE72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196" w:type="dxa"/>
            <w:gridSpan w:val="2"/>
            <w:tcBorders>
              <w:top w:val="single" w:color="auto" w:sz="4" w:space="0"/>
              <w:left w:val="nil"/>
              <w:bottom w:val="single" w:color="auto" w:sz="4" w:space="0"/>
              <w:right w:val="single" w:color="auto" w:sz="4" w:space="0"/>
            </w:tcBorders>
            <w:noWrap/>
            <w:vAlign w:val="center"/>
          </w:tcPr>
          <w:p w14:paraId="655585B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自投标人提交投标文件截止之日起计算</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rPr>
              <w:t>日</w:t>
            </w:r>
          </w:p>
        </w:tc>
      </w:tr>
      <w:tr w14:paraId="79B0B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121829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052BAD5">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投标保证金</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3182F5C">
            <w:pPr>
              <w:pStyle w:val="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是否要求投标人递交投标保证金或电子投标保函：</w:t>
            </w:r>
          </w:p>
          <w:p w14:paraId="3B8D146E">
            <w:pPr>
              <w:pStyle w:val="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w:t>
            </w:r>
          </w:p>
          <w:p w14:paraId="76364AB0">
            <w:pPr>
              <w:pStyle w:val="9"/>
              <w:ind w:firstLine="420" w:firstLineChars="200"/>
              <w:jc w:val="both"/>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rPr>
              <w:t>投标保证金的金额</w:t>
            </w:r>
            <w:r>
              <w:rPr>
                <w:rFonts w:hint="eastAsia" w:ascii="宋体" w:hAnsi="宋体" w:eastAsia="宋体" w:cs="宋体"/>
                <w:color w:val="auto"/>
                <w:sz w:val="21"/>
                <w:szCs w:val="21"/>
                <w:highlight w:val="none"/>
                <w:lang w:val="en-US" w:eastAsia="zh-CN"/>
              </w:rPr>
              <w:t>：</w:t>
            </w:r>
            <w:r>
              <w:rPr>
                <w:rFonts w:hint="eastAsia" w:ascii="宋体" w:cs="宋体"/>
                <w:color w:val="auto"/>
                <w:sz w:val="21"/>
                <w:szCs w:val="21"/>
                <w:highlight w:val="none"/>
                <w:lang w:val="en-US" w:eastAsia="zh-CN"/>
              </w:rPr>
              <w:t>伍</w:t>
            </w:r>
            <w:r>
              <w:rPr>
                <w:rFonts w:hint="eastAsia" w:ascii="宋体" w:hAnsi="宋体" w:eastAsia="宋体" w:cs="宋体"/>
                <w:color w:val="auto"/>
                <w:sz w:val="21"/>
                <w:szCs w:val="21"/>
                <w:highlight w:val="none"/>
                <w:lang w:val="en-US" w:eastAsia="zh-CN"/>
              </w:rPr>
              <w:t>万元整（</w:t>
            </w:r>
            <w:r>
              <w:rPr>
                <w:rFonts w:hint="eastAsia" w:asci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0000.00元）</w:t>
            </w:r>
          </w:p>
          <w:p w14:paraId="23EE151E">
            <w:pPr>
              <w:keepLines/>
              <w:adjustRightInd w:val="0"/>
              <w:snapToGrid w:val="0"/>
              <w:spacing w:line="360" w:lineRule="auto"/>
              <w:ind w:firstLine="420" w:firstLineChars="200"/>
              <w:contextualSpacing/>
              <w:rPr>
                <w:rFonts w:hint="eastAsia" w:ascii="宋体" w:hAnsi="宋体" w:eastAsia="宋体" w:cs="宋体"/>
                <w:b w:val="0"/>
                <w:bCs w:val="0"/>
                <w:color w:val="auto"/>
                <w:kern w:val="0"/>
                <w:szCs w:val="21"/>
                <w:highlight w:val="none"/>
              </w:rPr>
            </w:pPr>
            <w:r>
              <w:rPr>
                <w:rFonts w:hint="eastAsia" w:ascii="宋体" w:hAnsi="宋体" w:eastAsia="宋体" w:cs="宋体"/>
                <w:bCs/>
                <w:color w:val="auto"/>
                <w:szCs w:val="21"/>
                <w:highlight w:val="none"/>
              </w:rPr>
              <w:t>投标保证金提交截止时间：</w:t>
            </w:r>
            <w:r>
              <w:rPr>
                <w:rFonts w:hint="eastAsia" w:ascii="宋体" w:hAnsi="宋体" w:eastAsia="宋体" w:cs="宋体"/>
                <w:color w:val="auto"/>
                <w:sz w:val="20"/>
                <w:szCs w:val="22"/>
                <w:highlight w:val="none"/>
              </w:rPr>
              <w:t>同投标截止时间</w:t>
            </w:r>
          </w:p>
          <w:p w14:paraId="309BC96E">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4D51AB27">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w:t>
            </w:r>
          </w:p>
          <w:p w14:paraId="6AC8A8A0">
            <w:pPr>
              <w:autoSpaceDE w:val="0"/>
              <w:autoSpaceDN w:val="0"/>
              <w:adjustRightInd w:val="0"/>
              <w:spacing w:line="360" w:lineRule="auto"/>
              <w:ind w:right="-34" w:rightChars="-16"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2、</w:t>
            </w:r>
            <w:r>
              <w:rPr>
                <w:rFonts w:hint="eastAsia" w:ascii="宋体" w:hAnsi="宋体" w:eastAsia="宋体" w:cs="宋体"/>
                <w:b w:val="0"/>
                <w:bCs/>
                <w:color w:val="auto"/>
                <w:szCs w:val="21"/>
                <w:highlight w:val="none"/>
              </w:rPr>
              <w:t>电子投标保函缴纳方式：</w:t>
            </w:r>
          </w:p>
          <w:p w14:paraId="10F25F14">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①投标企业必须首先确认本企业诚信库内填写的基本账户相关信息真实准确；</w:t>
            </w:r>
          </w:p>
          <w:p w14:paraId="38DC0B0C">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②企业可以在交易中心电子交易系统业务管理“电子保函申请”功能中自主选择电子保函平台、承保机构办理电子保函业务；</w:t>
            </w:r>
          </w:p>
          <w:p w14:paraId="4A914793">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③办理电子投标保函费用必须出自投标企业基本账户；</w:t>
            </w:r>
          </w:p>
          <w:p w14:paraId="445104EA">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3F6480B5">
            <w:pPr>
              <w:autoSpaceDE w:val="0"/>
              <w:autoSpaceDN w:val="0"/>
              <w:adjustRightInd w:val="0"/>
              <w:spacing w:line="360" w:lineRule="auto"/>
              <w:ind w:right="-34" w:rightChars="-1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交易平台技术咨询：0396-2613088</w:t>
            </w:r>
          </w:p>
          <w:p w14:paraId="0D807D2B">
            <w:pPr>
              <w:keepNext w:val="0"/>
              <w:keepLines w:val="0"/>
              <w:pageBreakBefore w:val="0"/>
              <w:widowControl w:val="0"/>
              <w:kinsoku/>
              <w:wordWrap/>
              <w:overflowPunct/>
              <w:topLinePunct w:val="0"/>
              <w:autoSpaceDE w:val="0"/>
              <w:autoSpaceDN/>
              <w:bidi w:val="0"/>
              <w:adjustRightInd/>
              <w:snapToGrid/>
              <w:spacing w:line="48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Cs w:val="21"/>
                <w:highlight w:val="none"/>
              </w:rPr>
              <w:t>□不要求</w:t>
            </w:r>
          </w:p>
        </w:tc>
      </w:tr>
      <w:tr w14:paraId="0EF5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FDB010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EB27F01">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投标保证金的利息计算原则</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02F90A24">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按照驻马店市公共资源交易中心相关规定执行</w:t>
            </w:r>
          </w:p>
        </w:tc>
      </w:tr>
      <w:tr w14:paraId="60262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8F55D2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A613D68">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其他可以不予退还保证金的情形</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C2F2B5C">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rPr>
              <w:t>法律、法规规定的其他情形</w:t>
            </w:r>
          </w:p>
        </w:tc>
      </w:tr>
      <w:tr w14:paraId="6F08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B2304A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84D0247">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资格审查资料的特殊要求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D59DE0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0"/>
                <w:sz w:val="21"/>
                <w:szCs w:val="21"/>
                <w:highlight w:val="none"/>
              </w:rPr>
              <w:t>无</w:t>
            </w:r>
          </w:p>
          <w:p w14:paraId="75F72762">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□有，具体要求：</w:t>
            </w:r>
          </w:p>
        </w:tc>
      </w:tr>
      <w:tr w14:paraId="561E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B331DF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3.5.2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E2423D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近三年财务状况的年份要求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4465A7C">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202</w:t>
            </w:r>
            <w:r>
              <w:rPr>
                <w:rFonts w:hint="eastAsia" w:ascii="宋体" w:hAnsi="宋体" w:cs="宋体"/>
                <w:color w:val="auto"/>
                <w:spacing w:val="-10"/>
                <w:sz w:val="21"/>
                <w:szCs w:val="21"/>
                <w:highlight w:val="none"/>
                <w:lang w:val="en-US" w:eastAsia="zh-CN"/>
              </w:rPr>
              <w:t>3</w:t>
            </w:r>
            <w:r>
              <w:rPr>
                <w:rFonts w:hint="eastAsia" w:ascii="宋体" w:hAnsi="宋体" w:eastAsia="宋体" w:cs="宋体"/>
                <w:color w:val="auto"/>
                <w:spacing w:val="-10"/>
                <w:sz w:val="21"/>
                <w:szCs w:val="21"/>
                <w:highlight w:val="none"/>
              </w:rPr>
              <w:t>年至202</w:t>
            </w:r>
            <w:r>
              <w:rPr>
                <w:rFonts w:hint="eastAsia" w:ascii="宋体" w:hAnsi="宋体" w:cs="宋体"/>
                <w:color w:val="auto"/>
                <w:spacing w:val="-10"/>
                <w:sz w:val="21"/>
                <w:szCs w:val="21"/>
                <w:highlight w:val="none"/>
                <w:lang w:val="en-US" w:eastAsia="zh-CN"/>
              </w:rPr>
              <w:t>5</w:t>
            </w:r>
            <w:r>
              <w:rPr>
                <w:rFonts w:hint="eastAsia" w:ascii="宋体" w:hAnsi="宋体" w:eastAsia="宋体" w:cs="宋体"/>
                <w:color w:val="auto"/>
                <w:spacing w:val="-10"/>
                <w:sz w:val="21"/>
                <w:szCs w:val="21"/>
                <w:highlight w:val="none"/>
              </w:rPr>
              <w:t>年</w:t>
            </w:r>
          </w:p>
        </w:tc>
      </w:tr>
      <w:tr w14:paraId="1ADFA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3CE52F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3.5.3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FBA2B31">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近年类似项目情况的时间要求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B64F2B2">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202</w:t>
            </w:r>
            <w:r>
              <w:rPr>
                <w:rFonts w:hint="eastAsia" w:ascii="宋体" w:hAnsi="宋体" w:cs="宋体"/>
                <w:color w:val="auto"/>
                <w:spacing w:val="-10"/>
                <w:sz w:val="21"/>
                <w:szCs w:val="21"/>
                <w:highlight w:val="none"/>
                <w:lang w:val="en-US" w:eastAsia="zh-CN"/>
              </w:rPr>
              <w:t>3</w:t>
            </w:r>
            <w:r>
              <w:rPr>
                <w:rFonts w:hint="eastAsia" w:ascii="宋体" w:hAnsi="宋体" w:eastAsia="宋体" w:cs="宋体"/>
                <w:color w:val="auto"/>
                <w:spacing w:val="-10"/>
                <w:sz w:val="21"/>
                <w:szCs w:val="21"/>
                <w:highlight w:val="none"/>
              </w:rPr>
              <w:t>年1月1日至今</w:t>
            </w:r>
          </w:p>
        </w:tc>
      </w:tr>
      <w:tr w14:paraId="7D427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9CF183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E6F4CD1">
            <w:pPr>
              <w:keepNext w:val="0"/>
              <w:keepLines w:val="0"/>
              <w:pageBreakBefore w:val="0"/>
              <w:kinsoku/>
              <w:wordWrap/>
              <w:overflowPunct/>
              <w:topLinePunct w:val="0"/>
              <w:autoSpaceDE w:val="0"/>
              <w:autoSpaceDN/>
              <w:bidi w:val="0"/>
              <w:spacing w:line="360" w:lineRule="atLeast"/>
              <w:ind w:left="-13" w:leftChars="-67" w:right="-107" w:rightChars="-51" w:hanging="128" w:hangingChars="6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是否允许递交备选投标方案</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E80259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427C635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tc>
      </w:tr>
      <w:tr w14:paraId="5DED2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41BE614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6447BA2">
            <w:pPr>
              <w:keepNext w:val="0"/>
              <w:keepLines w:val="0"/>
              <w:pageBreakBefore w:val="0"/>
              <w:kinsoku/>
              <w:wordWrap/>
              <w:overflowPunct/>
              <w:topLinePunct w:val="0"/>
              <w:autoSpaceDE w:val="0"/>
              <w:autoSpaceDN/>
              <w:bidi w:val="0"/>
              <w:spacing w:line="360" w:lineRule="atLeast"/>
              <w:ind w:left="-13" w:leftChars="-67" w:right="-107" w:rightChars="-51" w:hanging="128" w:hangingChars="6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2E25D0B">
            <w:pPr>
              <w:keepNext w:val="0"/>
              <w:keepLines w:val="0"/>
              <w:pageBreakBefore w:val="0"/>
              <w:kinsoku/>
              <w:wordWrap/>
              <w:overflowPunct/>
              <w:topLinePunct w:val="0"/>
              <w:autoSpaceDE w:val="0"/>
              <w:autoSpaceDN/>
              <w:bidi w:val="0"/>
              <w:adjustRightInd w:val="0"/>
              <w:snapToGrid w:val="0"/>
              <w:spacing w:line="360" w:lineRule="atLeast"/>
              <w:ind w:left="-21"/>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电子投标文件</w:t>
            </w:r>
          </w:p>
          <w:p w14:paraId="6EAA6C10">
            <w:pPr>
              <w:keepNext w:val="0"/>
              <w:keepLines w:val="0"/>
              <w:pageBreakBefore w:val="0"/>
              <w:kinsoku/>
              <w:wordWrap/>
              <w:overflowPunct/>
              <w:topLinePunct w:val="0"/>
              <w:autoSpaceDE w:val="0"/>
              <w:autoSpaceDN/>
              <w:bidi w:val="0"/>
              <w:adjustRightInd w:val="0"/>
              <w:snapToGrid w:val="0"/>
              <w:spacing w:line="360" w:lineRule="atLeast"/>
              <w:ind w:left="-21"/>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（1）经过加密的电子投标文件上传件为正本。</w:t>
            </w:r>
          </w:p>
          <w:p w14:paraId="0E9AD690">
            <w:pPr>
              <w:keepNext w:val="0"/>
              <w:keepLines w:val="0"/>
              <w:pageBreakBefore w:val="0"/>
              <w:kinsoku/>
              <w:wordWrap/>
              <w:overflowPunct/>
              <w:topLinePunct w:val="0"/>
              <w:autoSpaceDE w:val="0"/>
              <w:autoSpaceDN/>
              <w:bidi w:val="0"/>
              <w:adjustRightInd w:val="0"/>
              <w:snapToGrid w:val="0"/>
              <w:spacing w:line="360" w:lineRule="atLeast"/>
              <w:ind w:left="-126" w:leftChars="-60" w:firstLine="105" w:firstLineChars="5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（2）所有要求投标人加盖公章的地方都须加盖投标人单位的 CA 印章。</w:t>
            </w:r>
          </w:p>
          <w:p w14:paraId="541D3287">
            <w:pPr>
              <w:keepNext w:val="0"/>
              <w:keepLines w:val="0"/>
              <w:pageBreakBefore w:val="0"/>
              <w:kinsoku/>
              <w:wordWrap/>
              <w:overflowPunct/>
              <w:topLinePunct w:val="0"/>
              <w:autoSpaceDE w:val="0"/>
              <w:autoSpaceDN/>
              <w:bidi w:val="0"/>
              <w:adjustRightInd w:val="0"/>
              <w:snapToGrid w:val="0"/>
              <w:spacing w:line="360" w:lineRule="atLeast"/>
              <w:ind w:left="-126" w:leftChars="-60" w:firstLine="105" w:firstLineChars="5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（3）所有要求法定代表人签字的地方都须加盖法定代表人CA 印章, 需要委托代理人签字的地方，可由委托代理人签字后以图片的形式扫描上传。</w:t>
            </w:r>
          </w:p>
        </w:tc>
      </w:tr>
      <w:tr w14:paraId="7FE7F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1B296A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DE4552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投标文件副本份数及其他要求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2565AE3">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投标文件副本份数：开标时不需提交纸质投标文件。</w:t>
            </w:r>
          </w:p>
          <w:p w14:paraId="79DB1ECD">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是否要求提交电子版文件：是，加密的电子投标文件壹份（*.zmdtf 格式，在会员系统指定位置上传）上传至电子招标投标系统。</w:t>
            </w:r>
          </w:p>
          <w:p w14:paraId="459A202F">
            <w:pPr>
              <w:pStyle w:val="12"/>
              <w:keepNext w:val="0"/>
              <w:keepLines w:val="0"/>
              <w:pageBreakBefore w:val="0"/>
              <w:widowControl w:val="0"/>
              <w:kinsoku/>
              <w:wordWrap/>
              <w:overflowPunct/>
              <w:topLinePunct w:val="0"/>
              <w:autoSpaceDN/>
              <w:bidi w:val="0"/>
              <w:adjustRightInd/>
              <w:snapToGrid/>
              <w:spacing w:line="360" w:lineRule="atLeast"/>
              <w:ind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其他要求：中标人需在合同协议书签订前按照招标人要求提交纸质投标文件。</w:t>
            </w:r>
          </w:p>
        </w:tc>
      </w:tr>
      <w:tr w14:paraId="06C5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583496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3.7.5</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AB59BF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装订的其他要求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C22B424">
            <w:pPr>
              <w:keepLines/>
              <w:wordWrap w:val="0"/>
              <w:spacing w:line="400" w:lineRule="exact"/>
              <w:jc w:val="left"/>
              <w:rPr>
                <w:rFonts w:hint="eastAsia" w:ascii="宋体" w:hAnsi="宋体" w:eastAsia="宋体" w:cs="宋体"/>
                <w:color w:val="auto"/>
                <w:sz w:val="21"/>
                <w:szCs w:val="21"/>
                <w:highlight w:val="none"/>
                <w:lang w:eastAsia="zh-CN"/>
              </w:rPr>
            </w:pPr>
            <w:r>
              <w:rPr>
                <w:rFonts w:hint="eastAsia" w:ascii="宋体" w:hAnsi="宋体" w:cs="宋体"/>
                <w:highlight w:val="none"/>
              </w:rPr>
              <w:t>中标候选人须在中标候选人公示期间向招标人或招标代理机构提供与上传电子投标文件一致的纸质投标文件正本壹份、副本肆份，供定标委员会核查定标。</w:t>
            </w:r>
            <w:r>
              <w:rPr>
                <w:rFonts w:hint="eastAsia" w:ascii="宋体" w:hAnsi="宋体" w:eastAsia="宋体" w:cs="宋体"/>
                <w:color w:val="auto"/>
                <w:sz w:val="21"/>
                <w:szCs w:val="21"/>
                <w:highlight w:val="none"/>
              </w:rPr>
              <w:t>中标人提供与上传电子投标文件一致的纸质文件并装订成册，不得采用活页夹等可随时拆换的方式装订。</w:t>
            </w:r>
          </w:p>
        </w:tc>
      </w:tr>
      <w:tr w14:paraId="04C5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3CAAE0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BBE45B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资格审查文件及业绩信誉资料原件的递交</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EE832AB">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投标人无需递交纸质投标文件及原件，投标人应在项目开标前，将涉及的资格审查、业绩、荣誉、财务</w:t>
            </w:r>
            <w:r>
              <w:rPr>
                <w:rFonts w:hint="eastAsia" w:ascii="宋体" w:hAnsi="宋体" w:cs="宋体"/>
                <w:bCs/>
                <w:color w:val="auto"/>
                <w:sz w:val="21"/>
                <w:szCs w:val="21"/>
                <w:highlight w:val="none"/>
                <w:lang w:val="en-US" w:eastAsia="zh-CN"/>
              </w:rPr>
              <w:t>报告</w:t>
            </w:r>
            <w:r>
              <w:rPr>
                <w:rFonts w:hint="eastAsia" w:ascii="宋体" w:hAnsi="宋体" w:eastAsia="宋体" w:cs="宋体"/>
                <w:bCs/>
                <w:color w:val="auto"/>
                <w:sz w:val="21"/>
                <w:szCs w:val="21"/>
                <w:highlight w:val="none"/>
              </w:rPr>
              <w:t>、项目经理等投标所需材料扫描件，上传至驻马店市公共资源交易平台诚信库中，并且在“资格审查材料（不见面开标）”菜单下按标段挑选该标段投标所用资格审查材料，以供评标过程中评委查阅。评标时以电子投标文件及“资格审查材料（不见面开标）”菜单中选取的信息为准。</w:t>
            </w:r>
          </w:p>
          <w:p w14:paraId="449B7D8A">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（注：各投标企业应如实填报诚信库信息，因交易主体自行填报信息的错误、缺项、虚假而造成的后果由交易主体自行承担。）</w:t>
            </w:r>
          </w:p>
        </w:tc>
      </w:tr>
      <w:tr w14:paraId="084E1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506167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8F7941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B74043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70841B0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□是，退还时间：</w:t>
            </w:r>
          </w:p>
        </w:tc>
      </w:tr>
      <w:tr w14:paraId="0A7A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3FD63A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1803F4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55BDE8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投标文件第一个信封（商务及技术文件）</w:t>
            </w:r>
          </w:p>
          <w:p w14:paraId="0F002F7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eastAsia="宋体" w:cs="宋体"/>
                <w:color w:val="auto"/>
                <w:szCs w:val="21"/>
                <w:highlight w:val="none"/>
                <w:lang w:val="en-US" w:eastAsia="zh-CN"/>
              </w:rPr>
              <w:t>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年</w:t>
            </w:r>
            <w:r>
              <w:rPr>
                <w:rFonts w:hint="eastAsia" w:ascii="宋体" w:hAnsi="宋体" w:cs="宋体"/>
                <w:color w:val="auto"/>
                <w:szCs w:val="21"/>
                <w:highlight w:val="none"/>
                <w:lang w:val="en-US" w:eastAsia="zh-CN"/>
              </w:rPr>
              <w:t xml:space="preserve"> 8 </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 xml:space="preserve"> 31 </w:t>
            </w:r>
            <w:r>
              <w:rPr>
                <w:rFonts w:hint="eastAsia" w:ascii="宋体" w:hAnsi="宋体" w:eastAsia="宋体" w:cs="宋体"/>
                <w:color w:val="auto"/>
                <w:szCs w:val="21"/>
                <w:highlight w:val="none"/>
                <w:lang w:val="en-US" w:eastAsia="zh-CN"/>
              </w:rPr>
              <w:t xml:space="preserve">日9时00分（北京时间） </w:t>
            </w:r>
          </w:p>
          <w:p w14:paraId="5260E77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投标文件第一个信封（商务及技术文件）</w:t>
            </w:r>
          </w:p>
          <w:p w14:paraId="6987D4B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开标地点：本项目为远程不见面开标，</w:t>
            </w:r>
            <w:r>
              <w:rPr>
                <w:rFonts w:hint="eastAsia" w:ascii="宋体" w:hAnsi="宋体" w:cs="宋体"/>
                <w:color w:val="auto"/>
                <w:sz w:val="21"/>
                <w:szCs w:val="21"/>
                <w:highlight w:val="none"/>
                <w:lang w:val="en-US" w:eastAsia="zh-CN"/>
              </w:rPr>
              <w:t>驻马店市</w:t>
            </w:r>
            <w:r>
              <w:rPr>
                <w:rFonts w:hint="eastAsia" w:ascii="宋体" w:hAnsi="宋体" w:eastAsia="宋体" w:cs="宋体"/>
                <w:color w:val="auto"/>
                <w:sz w:val="21"/>
                <w:szCs w:val="21"/>
                <w:highlight w:val="none"/>
                <w:lang w:val="en-US" w:eastAsia="zh-CN"/>
              </w:rPr>
              <w:t>公共资源交易中心不见面开标</w:t>
            </w:r>
            <w:r>
              <w:rPr>
                <w:rFonts w:hint="eastAsia" w:ascii="宋体" w:hAnsi="宋体" w:cs="宋体"/>
                <w:color w:val="auto"/>
                <w:sz w:val="21"/>
                <w:szCs w:val="21"/>
                <w:highlight w:val="none"/>
                <w:lang w:val="en-US" w:eastAsia="zh-CN"/>
              </w:rPr>
              <w:t xml:space="preserve"> 二 </w:t>
            </w:r>
            <w:r>
              <w:rPr>
                <w:rFonts w:hint="eastAsia" w:ascii="宋体" w:hAnsi="宋体" w:eastAsia="宋体" w:cs="宋体"/>
                <w:color w:val="auto"/>
                <w:sz w:val="21"/>
                <w:szCs w:val="21"/>
                <w:highlight w:val="none"/>
                <w:lang w:val="en-US" w:eastAsia="zh-CN"/>
              </w:rPr>
              <w:t>厅</w:t>
            </w:r>
          </w:p>
          <w:p w14:paraId="0AAB510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投标文件第二个信封（报价文件）</w:t>
            </w:r>
          </w:p>
          <w:p w14:paraId="639526F5">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开标时间：第一个信封（商务及技术文件）完成评审后</w:t>
            </w:r>
          </w:p>
          <w:p w14:paraId="6FC1462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投标文件第二个信封（报价文件）</w:t>
            </w:r>
          </w:p>
          <w:p w14:paraId="3939B8C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r>
              <w:rPr>
                <w:rFonts w:hint="eastAsia" w:ascii="宋体" w:hAnsi="宋体" w:eastAsia="宋体" w:cs="宋体"/>
                <w:color w:val="auto"/>
                <w:szCs w:val="21"/>
                <w:highlight w:val="none"/>
                <w:lang w:val="en-US" w:eastAsia="zh-CN"/>
              </w:rPr>
              <w:t>同第一个信封开标地点</w:t>
            </w:r>
          </w:p>
          <w:p w14:paraId="19B7C24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（电子投标文件必须凭制作投标文件所用的 CA 密匙在10分钟内完成解密）。</w:t>
            </w:r>
          </w:p>
        </w:tc>
      </w:tr>
      <w:tr w14:paraId="6711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5DE83F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B29774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第一个信封（商务及技术文件）开标程序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3EE39E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开标顺序：按电子版投标文件上传顺序开标。</w:t>
            </w:r>
          </w:p>
          <w:p w14:paraId="04FF3879">
            <w:pPr>
              <w:pStyle w:val="12"/>
              <w:keepNext w:val="0"/>
              <w:keepLines w:val="0"/>
              <w:pageBreakBefore w:val="0"/>
              <w:kinsoku/>
              <w:wordWrap/>
              <w:overflowPunct/>
              <w:topLinePunct w:val="0"/>
              <w:autoSpaceDE w:val="0"/>
              <w:autoSpaceDN/>
              <w:bidi w:val="0"/>
              <w:spacing w:line="360" w:lineRule="atLeas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对商务文件和技术文件进行开标，对报价文件不予开标。</w:t>
            </w:r>
          </w:p>
        </w:tc>
      </w:tr>
      <w:tr w14:paraId="73E23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6E19AAB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F93AD4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第二个信封（报价文件）开标程序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D3F3CF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公布入围第二信封开标人名单；公布唱标信息；开标结束。</w:t>
            </w:r>
          </w:p>
        </w:tc>
      </w:tr>
      <w:tr w14:paraId="66A47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891D5F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lang w:val="en-US" w:eastAsia="zh-CN"/>
              </w:rPr>
              <w:t>.1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C28E47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评标委员会的组建</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3D20530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评标委员会构成：招标人代表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人（招标人代表应由具有评标专家相应或者类似条件的人员担任，或招标人从河南省综合专家库确定评标专家作为招标人代表）</w:t>
            </w:r>
          </w:p>
          <w:p w14:paraId="2D2B507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经济、技术类</w:t>
            </w:r>
            <w:r>
              <w:rPr>
                <w:rFonts w:hint="eastAsia" w:ascii="宋体" w:hAnsi="宋体" w:eastAsia="宋体" w:cs="宋体"/>
                <w:color w:val="auto"/>
                <w:sz w:val="21"/>
                <w:szCs w:val="21"/>
                <w:highlight w:val="none"/>
              </w:rPr>
              <w:t>专家</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人；</w:t>
            </w:r>
          </w:p>
          <w:p w14:paraId="1DE8EDF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7BD4D84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开标时在监督部门的监督下从《河南省综合专家库》中采用电脑随机抽签方式确定</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负责评标活动。</w:t>
            </w:r>
          </w:p>
        </w:tc>
      </w:tr>
      <w:tr w14:paraId="6626F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31319DC">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7CF9B97">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C1B4F12">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网络电子评标（电子评标过程中当出现突发情况，导致系统无法正常运行且短时间内无法修复时，经监督部门同意，延迟评标。）</w:t>
            </w:r>
          </w:p>
          <w:p w14:paraId="25DE52DC">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□纸质评标</w:t>
            </w:r>
          </w:p>
          <w:p w14:paraId="02B60CD5">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远程网络电子评标</w:t>
            </w:r>
          </w:p>
        </w:tc>
      </w:tr>
      <w:tr w14:paraId="59AA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5"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E6A09F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6.3.</w:t>
            </w:r>
            <w:r>
              <w:rPr>
                <w:rFonts w:hint="eastAsia" w:ascii="宋体" w:hAnsi="宋体" w:eastAsia="宋体" w:cs="宋体"/>
                <w:color w:val="auto"/>
                <w:sz w:val="21"/>
                <w:szCs w:val="21"/>
                <w:highlight w:val="none"/>
                <w:lang w:val="en-US" w:eastAsia="zh-CN"/>
              </w:rPr>
              <w:t>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3122AB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采用评定分离，</w:t>
            </w:r>
            <w:r>
              <w:rPr>
                <w:rFonts w:hint="eastAsia" w:ascii="宋体" w:hAnsi="宋体" w:eastAsia="宋体" w:cs="宋体"/>
                <w:color w:val="auto"/>
                <w:sz w:val="21"/>
                <w:szCs w:val="21"/>
                <w:highlight w:val="none"/>
              </w:rPr>
              <w:t>评标委员会推荐中标候选人的人数</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E1B8A1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有效投标人数量为3家至10家(含10家)时，全部推荐</w:t>
            </w:r>
            <w:r>
              <w:rPr>
                <w:rFonts w:hint="eastAsia" w:ascii="宋体" w:hAnsi="宋体" w:cs="宋体"/>
                <w:color w:val="auto"/>
                <w:sz w:val="21"/>
                <w:szCs w:val="21"/>
                <w:highlight w:val="none"/>
                <w:lang w:eastAsia="zh-CN"/>
              </w:rPr>
              <w:t>为</w:t>
            </w:r>
            <w:r>
              <w:rPr>
                <w:rFonts w:hint="eastAsia" w:ascii="宋体" w:hAnsi="宋体" w:eastAsia="宋体" w:cs="宋体"/>
                <w:color w:val="auto"/>
                <w:sz w:val="21"/>
                <w:szCs w:val="21"/>
                <w:highlight w:val="none"/>
              </w:rPr>
              <w:t>中标候选人；有效投标人数量为10家以上时，按照择优原则</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推荐原则详见评标办法评审标准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进行评标，</w:t>
            </w:r>
            <w:r>
              <w:rPr>
                <w:rFonts w:hint="eastAsia" w:ascii="宋体" w:hAnsi="宋体" w:eastAsia="宋体" w:cs="宋体"/>
                <w:color w:val="auto"/>
                <w:szCs w:val="21"/>
                <w:highlight w:val="none"/>
                <w:lang w:val="en-US" w:eastAsia="zh-CN"/>
              </w:rPr>
              <w:t>按评标报告综合得分由高到低顺序推荐10名中标候选人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评标报告应当载明每个中标候选人的特点、优势、缺点、风险等评审情况和推荐理由，并对技术、质量、安全、工期的控制能力等提供技术咨询建议。</w:t>
            </w:r>
          </w:p>
        </w:tc>
      </w:tr>
      <w:tr w14:paraId="34A88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5BF99B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557433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中标候选人公示媒介及期限</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20D98D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公示媒介：招标公告发布同一媒介</w:t>
            </w:r>
          </w:p>
          <w:p w14:paraId="54EDD6F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公示期限：不少于3日</w:t>
            </w:r>
          </w:p>
        </w:tc>
      </w:tr>
      <w:tr w14:paraId="30DC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2E45DA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6A4112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是否授权评标委员会确定中标人</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2FEBC2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10E8CEC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tc>
      </w:tr>
      <w:tr w14:paraId="7A8D5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3574A44">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7.4.2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AEDCFD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定标方法</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36648D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核查随机法</w:t>
            </w:r>
          </w:p>
          <w:p w14:paraId="008ACF5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票决法</w:t>
            </w:r>
          </w:p>
          <w:p w14:paraId="34B3D4F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□集体议事法</w:t>
            </w:r>
          </w:p>
          <w:p w14:paraId="49CDF8CF">
            <w:pPr>
              <w:keepNext w:val="0"/>
              <w:keepLines w:val="0"/>
              <w:pageBreakBefore w:val="0"/>
              <w:kinsoku/>
              <w:wordWrap/>
              <w:overflowPunct/>
              <w:topLinePunct w:val="0"/>
              <w:autoSpaceDE w:val="0"/>
              <w:autoSpaceDN/>
              <w:bidi w:val="0"/>
              <w:spacing w:line="360" w:lineRule="atLeast"/>
              <w:textAlignment w:val="auto"/>
              <w:rPr>
                <w:rFonts w:hint="eastAsia"/>
                <w:color w:val="auto"/>
                <w:highlight w:val="none"/>
              </w:rPr>
            </w:pPr>
            <w:r>
              <w:rPr>
                <w:rFonts w:hint="eastAsia" w:ascii="宋体" w:hAnsi="宋体" w:eastAsia="宋体" w:cs="宋体"/>
                <w:color w:val="auto"/>
                <w:sz w:val="21"/>
                <w:szCs w:val="21"/>
                <w:highlight w:val="none"/>
                <w:lang w:eastAsia="zh-CN"/>
              </w:rPr>
              <w:t>□其他方法</w:t>
            </w:r>
          </w:p>
        </w:tc>
      </w:tr>
      <w:tr w14:paraId="00FD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C8EFE4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8F95AF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中标通知书和中标结果通知发出的形式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0EDC7E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中标通知书：书面形式</w:t>
            </w:r>
          </w:p>
          <w:p w14:paraId="040ED0A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中标结果通知：电子形式（网上发布）</w:t>
            </w:r>
          </w:p>
        </w:tc>
      </w:tr>
      <w:tr w14:paraId="2E1E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FF8ED3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8165F1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中标结果公告媒介及期限</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D20035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公告媒介：招标公告发布同一媒介</w:t>
            </w:r>
          </w:p>
          <w:p w14:paraId="487A32A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公告期限：不少于3日</w:t>
            </w:r>
          </w:p>
        </w:tc>
      </w:tr>
      <w:tr w14:paraId="64AE5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F1724F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CB16FB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F7965E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是否要求中标人提交履约保证金：</w:t>
            </w:r>
          </w:p>
          <w:p w14:paraId="0E2F8DB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w:t>
            </w:r>
          </w:p>
          <w:p w14:paraId="58D2ED6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履约担保的形式：银行转账或保函</w:t>
            </w:r>
          </w:p>
          <w:p w14:paraId="510938C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履约担保的金额：</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u w:val="single"/>
                <w14:textFill>
                  <w14:solidFill>
                    <w14:schemeClr w14:val="tx1"/>
                  </w14:solidFill>
                </w14:textFill>
              </w:rPr>
              <w:t>%</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签约</w:t>
            </w:r>
            <w:r>
              <w:rPr>
                <w:rFonts w:hint="eastAsia" w:ascii="宋体" w:hAnsi="宋体" w:eastAsia="宋体" w:cs="宋体"/>
                <w:color w:val="auto"/>
                <w:sz w:val="21"/>
                <w:szCs w:val="21"/>
                <w:highlight w:val="none"/>
              </w:rPr>
              <w:t>合同价</w:t>
            </w:r>
          </w:p>
          <w:p w14:paraId="24D343D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□不要求</w:t>
            </w:r>
          </w:p>
        </w:tc>
      </w:tr>
      <w:tr w14:paraId="4C23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9FC512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8BF54D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监督部门</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844B275">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监督单位：新蔡县交通运输局</w:t>
            </w:r>
          </w:p>
          <w:p w14:paraId="7AFD6F4C">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办公地址：新蔡县古吕街道新正路</w:t>
            </w:r>
          </w:p>
          <w:p w14:paraId="138AB3D8">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电    话：0396-5922203</w:t>
            </w:r>
          </w:p>
          <w:p w14:paraId="270033D8">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邮    箱：xcxjtj2007@163.com  </w:t>
            </w:r>
          </w:p>
        </w:tc>
      </w:tr>
      <w:tr w14:paraId="4CED4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A36D18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0EDFA3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是否采用电子招标投标</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3BB3DE4">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p w14:paraId="187AF31A">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具体要求：本工程采用远程不见面交易的模式。开标当日，投标人无需到达开标现场，仅需在任意地点通过驻马店不见面开标系统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tc>
      </w:tr>
      <w:tr w14:paraId="13158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08" w:type="dxa"/>
            <w:gridSpan w:val="5"/>
            <w:tcBorders>
              <w:top w:val="single" w:color="auto" w:sz="4" w:space="0"/>
              <w:left w:val="single" w:color="auto" w:sz="4" w:space="0"/>
              <w:bottom w:val="single" w:color="auto" w:sz="4" w:space="0"/>
              <w:right w:val="single" w:color="auto" w:sz="4" w:space="0"/>
            </w:tcBorders>
            <w:noWrap/>
            <w:vAlign w:val="center"/>
          </w:tcPr>
          <w:p w14:paraId="4C5F3B0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需要补充的其他内容</w:t>
            </w:r>
          </w:p>
        </w:tc>
      </w:tr>
      <w:tr w14:paraId="25793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1" w:type="dxa"/>
            <w:gridSpan w:val="2"/>
            <w:tcBorders>
              <w:top w:val="single" w:color="auto" w:sz="4" w:space="0"/>
              <w:left w:val="single" w:color="auto" w:sz="4" w:space="0"/>
              <w:bottom w:val="single" w:color="auto" w:sz="4" w:space="0"/>
              <w:right w:val="single" w:color="auto" w:sz="4" w:space="0"/>
            </w:tcBorders>
            <w:noWrap/>
            <w:vAlign w:val="center"/>
          </w:tcPr>
          <w:p w14:paraId="623659E3">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10.1</w:t>
            </w:r>
          </w:p>
        </w:tc>
        <w:tc>
          <w:tcPr>
            <w:tcW w:w="256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B9041EB">
            <w:pPr>
              <w:spacing w:line="400" w:lineRule="exact"/>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农民工工资保证金</w:t>
            </w:r>
          </w:p>
        </w:tc>
        <w:tc>
          <w:tcPr>
            <w:tcW w:w="6187" w:type="dxa"/>
            <w:tcBorders>
              <w:top w:val="single" w:color="auto" w:sz="4" w:space="0"/>
              <w:left w:val="single" w:color="auto" w:sz="4" w:space="0"/>
              <w:bottom w:val="single" w:color="auto" w:sz="4" w:space="0"/>
              <w:right w:val="single" w:color="auto" w:sz="4" w:space="0"/>
            </w:tcBorders>
            <w:shd w:val="clear" w:color="auto" w:fill="auto"/>
            <w:noWrap/>
            <w:vAlign w:val="top"/>
          </w:tcPr>
          <w:p w14:paraId="6E5D5F54">
            <w:pPr>
              <w:spacing w:line="400" w:lineRule="exact"/>
              <w:jc w:val="left"/>
              <w:rPr>
                <w:rFonts w:hint="eastAsia" w:ascii="宋体" w:hAnsi="宋体" w:cs="宋体"/>
                <w:szCs w:val="21"/>
                <w:highlight w:val="none"/>
              </w:rPr>
            </w:pPr>
            <w:r>
              <w:rPr>
                <w:rFonts w:hint="eastAsia" w:ascii="宋体" w:hAnsi="宋体" w:cs="宋体"/>
                <w:szCs w:val="21"/>
                <w:highlight w:val="none"/>
              </w:rPr>
              <w:t>是否要求中标人提供农民工工资保证金</w:t>
            </w:r>
          </w:p>
          <w:p w14:paraId="5176A22D">
            <w:pPr>
              <w:spacing w:line="400" w:lineRule="exact"/>
              <w:jc w:val="left"/>
              <w:rPr>
                <w:rFonts w:hint="eastAsia"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 eq \o\ac(□,√)</w:instrText>
            </w:r>
            <w:r>
              <w:rPr>
                <w:rFonts w:hint="eastAsia" w:ascii="宋体" w:hAnsi="宋体" w:cs="宋体"/>
                <w:szCs w:val="21"/>
                <w:highlight w:val="none"/>
              </w:rPr>
              <w:fldChar w:fldCharType="end"/>
            </w:r>
            <w:r>
              <w:rPr>
                <w:rFonts w:hint="eastAsia" w:ascii="宋体" w:hAnsi="宋体" w:cs="宋体"/>
                <w:szCs w:val="21"/>
                <w:highlight w:val="none"/>
              </w:rPr>
              <w:t>要求提供(根据豫人社规(2022〕4号、确农工(2024)1号文规定执行)</w:t>
            </w:r>
          </w:p>
          <w:p w14:paraId="54A6FACD">
            <w:pPr>
              <w:spacing w:line="400" w:lineRule="exact"/>
              <w:jc w:val="left"/>
              <w:rPr>
                <w:rFonts w:hint="eastAsia" w:ascii="宋体" w:hAnsi="宋体" w:cs="宋体"/>
                <w:szCs w:val="21"/>
                <w:highlight w:val="none"/>
              </w:rPr>
            </w:pPr>
            <w:r>
              <w:rPr>
                <w:rFonts w:hint="eastAsia" w:ascii="宋体" w:hAnsi="宋体" w:cs="宋体"/>
                <w:szCs w:val="21"/>
                <w:highlight w:val="none"/>
              </w:rPr>
              <w:t>农民工工资保证金的形式:转账或保函</w:t>
            </w:r>
          </w:p>
          <w:p w14:paraId="608742E6">
            <w:pPr>
              <w:spacing w:line="400" w:lineRule="exact"/>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中标人需按中标总价</w:t>
            </w:r>
            <w:r>
              <w:rPr>
                <w:rFonts w:hint="eastAsia" w:ascii="宋体" w:hAnsi="宋体" w:cs="宋体"/>
                <w:color w:val="000000" w:themeColor="text1"/>
                <w:szCs w:val="21"/>
                <w:highlight w:val="none"/>
                <w14:textFill>
                  <w14:solidFill>
                    <w14:schemeClr w14:val="tx1"/>
                  </w14:solidFill>
                </w14:textFill>
              </w:rPr>
              <w:t>的2%向有</w:t>
            </w:r>
            <w:r>
              <w:rPr>
                <w:rFonts w:hint="eastAsia" w:ascii="宋体" w:hAnsi="宋体" w:cs="宋体"/>
                <w:szCs w:val="21"/>
                <w:highlight w:val="none"/>
              </w:rPr>
              <w:t>关单位交纳农民工工资保证金，对一定时期内发生工资拖欠的企业可适当提高缴存比例，</w:t>
            </w:r>
            <w:r>
              <w:rPr>
                <w:rFonts w:hint="eastAsia" w:ascii="宋体" w:hAnsi="宋体" w:cs="宋体"/>
                <w:szCs w:val="21"/>
                <w:highlight w:val="none"/>
                <w:shd w:val="clear"/>
              </w:rPr>
              <w:t>并承诺一</w:t>
            </w:r>
            <w:r>
              <w:rPr>
                <w:rFonts w:hint="eastAsia" w:ascii="宋体" w:hAnsi="宋体" w:cs="宋体"/>
                <w:szCs w:val="21"/>
                <w:highlight w:val="none"/>
              </w:rPr>
              <w:t>旦出现拖欠农民工工资情形的，由招标人申请有关部门从其工资保证金中先予划支；若拖欠农民工工资超过农民工工资保障金，建设单位将直接从工程款中扣除。</w:t>
            </w:r>
          </w:p>
        </w:tc>
      </w:tr>
      <w:tr w14:paraId="11C24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1" w:type="dxa"/>
            <w:gridSpan w:val="2"/>
            <w:tcBorders>
              <w:top w:val="single" w:color="auto" w:sz="4" w:space="0"/>
              <w:left w:val="single" w:color="auto" w:sz="4" w:space="0"/>
              <w:bottom w:val="single" w:color="auto" w:sz="4" w:space="0"/>
              <w:right w:val="single" w:color="auto" w:sz="4" w:space="0"/>
            </w:tcBorders>
            <w:noWrap/>
            <w:vAlign w:val="center"/>
          </w:tcPr>
          <w:p w14:paraId="502E9A69">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10.2</w:t>
            </w:r>
          </w:p>
        </w:tc>
        <w:tc>
          <w:tcPr>
            <w:tcW w:w="256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E53C211">
            <w:pPr>
              <w:spacing w:line="400" w:lineRule="exact"/>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Cs w:val="21"/>
                <w:highlight w:val="none"/>
              </w:rPr>
              <w:t>重新招标和不再招标</w:t>
            </w:r>
          </w:p>
        </w:tc>
        <w:tc>
          <w:tcPr>
            <w:tcW w:w="6187" w:type="dxa"/>
            <w:tcBorders>
              <w:top w:val="single" w:color="auto" w:sz="4" w:space="0"/>
              <w:left w:val="single" w:color="auto" w:sz="4" w:space="0"/>
              <w:bottom w:val="single" w:color="auto" w:sz="4" w:space="0"/>
              <w:right w:val="single" w:color="auto" w:sz="4" w:space="0"/>
            </w:tcBorders>
            <w:shd w:val="clear" w:color="auto" w:fill="auto"/>
            <w:noWrap/>
            <w:vAlign w:val="top"/>
          </w:tcPr>
          <w:p w14:paraId="5F6B8FE7">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1、重新招标</w:t>
            </w:r>
          </w:p>
          <w:p w14:paraId="4864A8B0">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有下列情形之一的，招标人将重新招标：</w:t>
            </w:r>
          </w:p>
          <w:p w14:paraId="03961D50">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（1）投标截止时间止，投标人少于3个的；</w:t>
            </w:r>
          </w:p>
          <w:p w14:paraId="5AA4E87D">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（2）经评标委员会评审后否决所有投标的。</w:t>
            </w:r>
          </w:p>
          <w:p w14:paraId="2F8AE15B">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2、不再招标</w:t>
            </w:r>
          </w:p>
          <w:p w14:paraId="43E18622">
            <w:pPr>
              <w:spacing w:line="400" w:lineRule="exact"/>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Cs w:val="21"/>
                <w:highlight w:val="none"/>
              </w:rPr>
              <w:t>依法必须进行施工招标的项目提交投标文件的投标人少于</w:t>
            </w:r>
            <w:r>
              <w:rPr>
                <w:rFonts w:hint="eastAsia" w:ascii="宋体" w:hAnsi="宋体" w:cs="宋体"/>
                <w:color w:val="auto"/>
                <w:szCs w:val="21"/>
                <w:highlight w:val="none"/>
                <w:lang w:eastAsia="zh-CN"/>
              </w:rPr>
              <w:t>三</w:t>
            </w:r>
            <w:r>
              <w:rPr>
                <w:rFonts w:hint="eastAsia" w:ascii="宋体" w:hAnsi="宋体" w:eastAsia="宋体" w:cs="宋体"/>
                <w:color w:val="auto"/>
                <w:szCs w:val="21"/>
                <w:highlight w:val="none"/>
              </w:rPr>
              <w:t>个的，招标人在分析招标失败的原因并采取相应措施后应当依法重新招标，重新招标后投标人仍少于3个的，属于必须审批的工程建设项目，报经原审批或核准部门批准后可不再进行招标。</w:t>
            </w:r>
          </w:p>
        </w:tc>
      </w:tr>
      <w:tr w14:paraId="7569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1" w:type="dxa"/>
            <w:gridSpan w:val="2"/>
            <w:tcBorders>
              <w:top w:val="single" w:color="auto" w:sz="4" w:space="0"/>
              <w:left w:val="single" w:color="auto" w:sz="4" w:space="0"/>
              <w:bottom w:val="single" w:color="auto" w:sz="4" w:space="0"/>
              <w:right w:val="single" w:color="auto" w:sz="4" w:space="0"/>
            </w:tcBorders>
            <w:noWrap/>
            <w:vAlign w:val="center"/>
          </w:tcPr>
          <w:p w14:paraId="1C3D8D96">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10.3</w:t>
            </w:r>
          </w:p>
        </w:tc>
        <w:tc>
          <w:tcPr>
            <w:tcW w:w="256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5D60FAC">
            <w:pPr>
              <w:spacing w:line="40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解释权</w:t>
            </w:r>
          </w:p>
        </w:tc>
        <w:tc>
          <w:tcPr>
            <w:tcW w:w="6187" w:type="dxa"/>
            <w:tcBorders>
              <w:top w:val="single" w:color="auto" w:sz="4" w:space="0"/>
              <w:left w:val="single" w:color="auto" w:sz="4" w:space="0"/>
              <w:bottom w:val="single" w:color="auto" w:sz="4" w:space="0"/>
              <w:right w:val="single" w:color="auto" w:sz="4" w:space="0"/>
            </w:tcBorders>
            <w:shd w:val="clear" w:color="auto" w:fill="auto"/>
            <w:noWrap/>
            <w:vAlign w:val="top"/>
          </w:tcPr>
          <w:p w14:paraId="115B58EB">
            <w:pPr>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0C47E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08" w:type="dxa"/>
            <w:gridSpan w:val="5"/>
            <w:tcBorders>
              <w:top w:val="single" w:color="auto" w:sz="4" w:space="0"/>
              <w:left w:val="single" w:color="auto" w:sz="4" w:space="0"/>
              <w:bottom w:val="single" w:color="auto" w:sz="4" w:space="0"/>
              <w:right w:val="single" w:color="auto" w:sz="4" w:space="0"/>
            </w:tcBorders>
            <w:noWrap/>
            <w:vAlign w:val="center"/>
          </w:tcPr>
          <w:p w14:paraId="235CB0A7">
            <w:pPr>
              <w:spacing w:line="400" w:lineRule="exact"/>
              <w:jc w:val="left"/>
              <w:rPr>
                <w:rFonts w:hint="eastAsia" w:ascii="宋体" w:hAnsi="宋体" w:eastAsia="宋体" w:cs="宋体"/>
                <w:color w:val="auto"/>
                <w:szCs w:val="21"/>
                <w:highlight w:val="none"/>
              </w:rPr>
            </w:pPr>
            <w:r>
              <w:rPr>
                <w:rFonts w:hint="eastAsia" w:ascii="宋体" w:hAnsi="宋体" w:cs="宋体"/>
                <w:color w:val="000000"/>
                <w:szCs w:val="21"/>
                <w:highlight w:val="none"/>
              </w:rPr>
              <w:t>招标代理服务费支付约定：</w:t>
            </w:r>
            <w:r>
              <w:rPr>
                <w:rFonts w:hint="eastAsia" w:ascii="宋体" w:hAnsi="宋体" w:cs="宋体"/>
                <w:color w:val="000000"/>
                <w:szCs w:val="21"/>
                <w:highlight w:val="none"/>
                <w:lang w:eastAsia="zh-CN"/>
              </w:rPr>
              <w:t>参照</w:t>
            </w:r>
            <w:r>
              <w:rPr>
                <w:rFonts w:hint="eastAsia" w:ascii="宋体" w:hAnsi="宋体" w:cs="宋体"/>
                <w:color w:val="000000"/>
                <w:szCs w:val="21"/>
                <w:highlight w:val="none"/>
              </w:rPr>
              <w:t>《河南省招标代理服务收费指导意见的通知》（豫招协[2023]002号）</w:t>
            </w:r>
            <w:r>
              <w:rPr>
                <w:rFonts w:hint="eastAsia" w:ascii="宋体" w:hAnsi="宋体" w:cs="宋体"/>
                <w:color w:val="000000"/>
                <w:szCs w:val="21"/>
                <w:highlight w:val="none"/>
                <w:lang w:eastAsia="zh-CN"/>
              </w:rPr>
              <w:t>文件</w:t>
            </w:r>
            <w:r>
              <w:rPr>
                <w:rFonts w:hint="eastAsia" w:ascii="宋体" w:hAnsi="宋体" w:cs="宋体"/>
                <w:color w:val="000000"/>
                <w:szCs w:val="21"/>
                <w:highlight w:val="none"/>
              </w:rPr>
              <w:t>规定收取，</w:t>
            </w:r>
            <w:r>
              <w:rPr>
                <w:rFonts w:hint="eastAsia" w:ascii="宋体" w:hAnsi="宋体" w:cs="宋体"/>
                <w:color w:val="000000"/>
                <w:szCs w:val="21"/>
                <w:highlight w:val="none"/>
                <w:lang w:val="en-US" w:eastAsia="zh-CN"/>
              </w:rPr>
              <w:t>代理服务费为：40000.00元，</w:t>
            </w:r>
            <w:r>
              <w:rPr>
                <w:rFonts w:hint="eastAsia" w:ascii="宋体" w:hAnsi="宋体" w:cs="宋体"/>
                <w:color w:val="000000"/>
                <w:szCs w:val="21"/>
                <w:highlight w:val="none"/>
              </w:rPr>
              <w:t>由中标人</w:t>
            </w:r>
            <w:r>
              <w:rPr>
                <w:rFonts w:hint="eastAsia" w:ascii="宋体" w:hAnsi="宋体" w:eastAsia="宋体" w:cs="宋体"/>
                <w:color w:val="auto"/>
                <w:szCs w:val="21"/>
                <w:highlight w:val="none"/>
              </w:rPr>
              <w:t>在领取中标通知书前向招标代理机构</w:t>
            </w:r>
            <w:r>
              <w:rPr>
                <w:rFonts w:hint="eastAsia" w:ascii="宋体" w:hAnsi="宋体" w:cs="宋体"/>
                <w:color w:val="000000"/>
                <w:szCs w:val="21"/>
                <w:highlight w:val="none"/>
              </w:rPr>
              <w:t>支付。</w:t>
            </w:r>
          </w:p>
        </w:tc>
      </w:tr>
    </w:tbl>
    <w:p w14:paraId="66E2CA3C">
      <w:pPr>
        <w:jc w:val="center"/>
        <w:rPr>
          <w:rFonts w:ascii="宋体" w:hAnsi="宋体"/>
          <w:b/>
          <w:color w:val="auto"/>
          <w:sz w:val="28"/>
          <w:szCs w:val="28"/>
          <w:highlight w:val="none"/>
        </w:rPr>
      </w:pPr>
      <w:bookmarkStart w:id="14" w:name="_Toc132601551"/>
      <w:bookmarkEnd w:id="14"/>
      <w:bookmarkStart w:id="15" w:name="_Hlt111980141"/>
      <w:bookmarkEnd w:id="15"/>
      <w:bookmarkStart w:id="16" w:name="_Toc152042305"/>
      <w:bookmarkEnd w:id="16"/>
      <w:bookmarkStart w:id="17" w:name="_Toc144974497"/>
      <w:bookmarkEnd w:id="17"/>
      <w:bookmarkStart w:id="18" w:name="_Toc179632546"/>
      <w:bookmarkEnd w:id="18"/>
      <w:bookmarkStart w:id="19" w:name="_Toc152045529"/>
      <w:bookmarkEnd w:id="19"/>
      <w:bookmarkStart w:id="20" w:name="_Hlt125377922"/>
      <w:r>
        <w:rPr>
          <w:rFonts w:hint="eastAsia" w:ascii="宋体" w:hAnsi="宋体"/>
          <w:b/>
          <w:color w:val="auto"/>
          <w:sz w:val="28"/>
          <w:szCs w:val="28"/>
          <w:highlight w:val="none"/>
        </w:rPr>
        <w:t xml:space="preserve"> </w:t>
      </w:r>
      <w:bookmarkEnd w:id="20"/>
    </w:p>
    <w:p w14:paraId="7F900EE3">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28A70F81">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1B3C6CC8">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6E8927E4">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649B64CF">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r>
        <w:rPr>
          <w:rFonts w:hint="eastAsia" w:ascii="宋体" w:hAnsi="宋体"/>
          <w:b/>
          <w:color w:val="auto"/>
          <w:sz w:val="28"/>
          <w:szCs w:val="28"/>
          <w:highlight w:val="none"/>
        </w:rPr>
        <w:br w:type="page"/>
      </w:r>
      <w:bookmarkStart w:id="21" w:name="_Toc19443"/>
      <w:bookmarkEnd w:id="21"/>
      <w:r>
        <w:rPr>
          <w:rFonts w:hint="eastAsia" w:ascii="宋体" w:hAnsi="宋体"/>
          <w:b/>
          <w:color w:val="auto"/>
          <w:sz w:val="28"/>
          <w:szCs w:val="28"/>
          <w:highlight w:val="none"/>
        </w:rPr>
        <w:t>附录1 资格审查条件（资质最低要求）</w:t>
      </w:r>
    </w:p>
    <w:tbl>
      <w:tblPr>
        <w:tblStyle w:val="27"/>
        <w:tblW w:w="8580" w:type="dxa"/>
        <w:jc w:val="center"/>
        <w:tblLayout w:type="fixed"/>
        <w:tblCellMar>
          <w:top w:w="0" w:type="dxa"/>
          <w:left w:w="108" w:type="dxa"/>
          <w:bottom w:w="0" w:type="dxa"/>
          <w:right w:w="108" w:type="dxa"/>
        </w:tblCellMar>
      </w:tblPr>
      <w:tblGrid>
        <w:gridCol w:w="8580"/>
      </w:tblGrid>
      <w:tr w14:paraId="312A0749">
        <w:tblPrEx>
          <w:tblCellMar>
            <w:top w:w="0" w:type="dxa"/>
            <w:left w:w="108" w:type="dxa"/>
            <w:bottom w:w="0" w:type="dxa"/>
            <w:right w:w="108" w:type="dxa"/>
          </w:tblCellMar>
        </w:tblPrEx>
        <w:trPr>
          <w:trHeight w:val="938" w:hRule="atLeast"/>
          <w:jc w:val="center"/>
        </w:trPr>
        <w:tc>
          <w:tcPr>
            <w:tcW w:w="8580" w:type="dxa"/>
            <w:tcBorders>
              <w:top w:val="single" w:color="auto" w:sz="6" w:space="0"/>
              <w:left w:val="single" w:color="auto" w:sz="6" w:space="0"/>
              <w:bottom w:val="single" w:color="auto" w:sz="6" w:space="0"/>
              <w:right w:val="single" w:color="auto" w:sz="6" w:space="0"/>
            </w:tcBorders>
            <w:noWrap/>
            <w:vAlign w:val="center"/>
          </w:tcPr>
          <w:p w14:paraId="5E423B47">
            <w:pPr>
              <w:pStyle w:val="32"/>
              <w:jc w:val="center"/>
              <w:rPr>
                <w:rFonts w:hAnsi="宋体" w:cs="Times New Roman"/>
                <w:color w:val="auto"/>
                <w:sz w:val="21"/>
                <w:szCs w:val="21"/>
                <w:highlight w:val="none"/>
              </w:rPr>
            </w:pPr>
            <w:r>
              <w:rPr>
                <w:rFonts w:hint="eastAsia" w:hAnsi="宋体" w:cs="Times New Roman"/>
                <w:color w:val="auto"/>
                <w:sz w:val="21"/>
                <w:szCs w:val="21"/>
                <w:highlight w:val="none"/>
              </w:rPr>
              <w:t>施工企业资质等级</w:t>
            </w:r>
            <w:r>
              <w:rPr>
                <w:rFonts w:hint="eastAsia" w:hAnsi="宋体" w:cs="Times New Roman"/>
                <w:bCs/>
                <w:caps/>
                <w:color w:val="auto"/>
                <w:sz w:val="21"/>
                <w:szCs w:val="21"/>
                <w:highlight w:val="none"/>
              </w:rPr>
              <w:t>要求</w:t>
            </w:r>
          </w:p>
        </w:tc>
      </w:tr>
      <w:tr w14:paraId="62E7375E">
        <w:tblPrEx>
          <w:tblCellMar>
            <w:top w:w="0" w:type="dxa"/>
            <w:left w:w="108" w:type="dxa"/>
            <w:bottom w:w="0" w:type="dxa"/>
            <w:right w:w="108" w:type="dxa"/>
          </w:tblCellMar>
        </w:tblPrEx>
        <w:trPr>
          <w:cantSplit/>
          <w:trHeight w:val="3857" w:hRule="atLeast"/>
          <w:jc w:val="center"/>
        </w:trPr>
        <w:tc>
          <w:tcPr>
            <w:tcW w:w="8580" w:type="dxa"/>
            <w:tcBorders>
              <w:top w:val="single" w:color="auto" w:sz="6" w:space="0"/>
              <w:left w:val="single" w:color="auto" w:sz="6" w:space="0"/>
              <w:bottom w:val="single" w:color="auto" w:sz="6" w:space="0"/>
              <w:right w:val="single" w:color="auto" w:sz="6" w:space="0"/>
            </w:tcBorders>
            <w:noWrap/>
            <w:vAlign w:val="center"/>
          </w:tcPr>
          <w:p w14:paraId="5739BDA2">
            <w:pPr>
              <w:pStyle w:val="23"/>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82" w:lineRule="auto"/>
              <w:ind w:left="0" w:leftChars="0" w:right="0" w:rightChars="0" w:firstLine="440" w:firstLineChars="0"/>
              <w:jc w:val="left"/>
              <w:textAlignment w:val="auto"/>
              <w:outlineLvl w:val="9"/>
              <w:rPr>
                <w:rFonts w:hint="eastAsia" w:ascii="宋体" w:hAnsi="宋体" w:cs="宋体"/>
                <w:color w:val="FF0000"/>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投标人须</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具备独立法人资</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格，具有有效的营业执照、</w:t>
            </w:r>
            <w:r>
              <w:rPr>
                <w:rFonts w:hint="eastAsia" w:ascii="宋体" w:hAnsi="宋体" w:eastAsia="宋体" w:cs="宋体"/>
                <w:color w:val="000000" w:themeColor="text1"/>
                <w:sz w:val="21"/>
                <w:szCs w:val="21"/>
                <w:highlight w:val="none"/>
                <w:lang w:val="en-US" w:eastAsia="zh-CN"/>
                <w14:textFill>
                  <w14:solidFill>
                    <w14:schemeClr w14:val="tx1"/>
                  </w14:solidFill>
                </w14:textFill>
              </w:rPr>
              <w:t>具备公路工程施工总承包贰级及以上资质，具有有效的安全生产许可证</w:t>
            </w:r>
            <w:r>
              <w:rPr>
                <w:rFonts w:hint="eastAsia" w:ascii="宋体" w:hAnsi="宋体" w:eastAsia="宋体" w:cs="宋体"/>
                <w:color w:val="000000" w:themeColor="text1"/>
                <w:sz w:val="21"/>
                <w:szCs w:val="21"/>
                <w:highlight w:val="none"/>
                <w14:textFill>
                  <w14:solidFill>
                    <w14:schemeClr w14:val="tx1"/>
                  </w14:solidFill>
                </w14:textFill>
              </w:rPr>
              <w:t>，并在人员、设备、资金等方面具有相应的施工能力；</w:t>
            </w:r>
          </w:p>
          <w:p w14:paraId="74A9515F">
            <w:pPr>
              <w:pStyle w:val="12"/>
              <w:numPr>
                <w:ilvl w:val="0"/>
                <w:numId w:val="0"/>
              </w:numPr>
              <w:rPr>
                <w:rFonts w:hint="eastAsia"/>
                <w:highlight w:val="none"/>
              </w:rPr>
            </w:pPr>
          </w:p>
          <w:p w14:paraId="7C20EBCF">
            <w:pPr>
              <w:wordWrap w:val="0"/>
              <w:autoSpaceDE w:val="0"/>
              <w:spacing w:line="360" w:lineRule="auto"/>
              <w:jc w:val="left"/>
              <w:rPr>
                <w:rFonts w:ascii="宋体" w:hAnsi="宋体"/>
                <w:bCs/>
                <w:caps/>
                <w:color w:val="auto"/>
                <w:highlight w:val="none"/>
              </w:rPr>
            </w:pPr>
          </w:p>
        </w:tc>
      </w:tr>
    </w:tbl>
    <w:p w14:paraId="2FC39A04">
      <w:pPr>
        <w:pStyle w:val="12"/>
        <w:ind w:firstLine="0" w:firstLineChars="0"/>
        <w:rPr>
          <w:rFonts w:ascii="宋体"/>
          <w:color w:val="auto"/>
          <w:highlight w:val="none"/>
        </w:rPr>
      </w:pPr>
      <w:r>
        <w:rPr>
          <w:rFonts w:hint="eastAsia" w:ascii="宋体"/>
          <w:color w:val="auto"/>
          <w:highlight w:val="none"/>
        </w:rPr>
        <w:t xml:space="preserve"> </w:t>
      </w:r>
    </w:p>
    <w:p w14:paraId="21390B2D">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bookmarkStart w:id="22" w:name="_Toc24322"/>
      <w:bookmarkEnd w:id="22"/>
      <w:r>
        <w:rPr>
          <w:rFonts w:hint="eastAsia" w:ascii="宋体" w:hAnsi="宋体"/>
          <w:b/>
          <w:color w:val="auto"/>
          <w:sz w:val="28"/>
          <w:szCs w:val="28"/>
          <w:highlight w:val="none"/>
        </w:rPr>
        <w:t>附录2 资格审查条件（财务最低要求）</w:t>
      </w:r>
    </w:p>
    <w:tbl>
      <w:tblPr>
        <w:tblStyle w:val="27"/>
        <w:tblW w:w="8540" w:type="dxa"/>
        <w:jc w:val="center"/>
        <w:tblLayout w:type="fixed"/>
        <w:tblCellMar>
          <w:top w:w="0" w:type="dxa"/>
          <w:left w:w="108" w:type="dxa"/>
          <w:bottom w:w="0" w:type="dxa"/>
          <w:right w:w="108" w:type="dxa"/>
        </w:tblCellMar>
      </w:tblPr>
      <w:tblGrid>
        <w:gridCol w:w="8540"/>
      </w:tblGrid>
      <w:tr w14:paraId="1C638312">
        <w:trPr>
          <w:trHeight w:val="790" w:hRule="atLeast"/>
          <w:jc w:val="center"/>
        </w:trPr>
        <w:tc>
          <w:tcPr>
            <w:tcW w:w="8540" w:type="dxa"/>
            <w:tcBorders>
              <w:top w:val="single" w:color="auto" w:sz="6" w:space="0"/>
              <w:left w:val="single" w:color="auto" w:sz="6" w:space="0"/>
              <w:bottom w:val="single" w:color="auto" w:sz="6" w:space="0"/>
              <w:right w:val="single" w:color="auto" w:sz="6" w:space="0"/>
            </w:tcBorders>
            <w:noWrap/>
            <w:vAlign w:val="center"/>
          </w:tcPr>
          <w:p w14:paraId="606654BE">
            <w:pPr>
              <w:pStyle w:val="20"/>
              <w:tabs>
                <w:tab w:val="right" w:leader="dot" w:pos="8495"/>
              </w:tabs>
              <w:spacing w:line="240" w:lineRule="auto"/>
              <w:jc w:val="center"/>
              <w:rPr>
                <w:rFonts w:ascii="宋体" w:hAnsi="宋体" w:eastAsia="宋体"/>
                <w:b w:val="0"/>
                <w:bCs w:val="0"/>
                <w:caps/>
                <w:color w:val="auto"/>
                <w:sz w:val="21"/>
                <w:szCs w:val="21"/>
                <w:highlight w:val="none"/>
              </w:rPr>
            </w:pPr>
            <w:r>
              <w:rPr>
                <w:rFonts w:hint="eastAsia" w:ascii="宋体" w:hAnsi="宋体" w:eastAsia="宋体" w:cs="宋体"/>
                <w:b w:val="0"/>
                <w:bCs w:val="0"/>
                <w:caps/>
                <w:color w:val="auto"/>
                <w:sz w:val="21"/>
                <w:szCs w:val="21"/>
                <w:highlight w:val="none"/>
              </w:rPr>
              <w:t>财 务 要 求</w:t>
            </w:r>
          </w:p>
        </w:tc>
      </w:tr>
      <w:tr w14:paraId="3FDE3DFC">
        <w:tblPrEx>
          <w:tblCellMar>
            <w:top w:w="0" w:type="dxa"/>
            <w:left w:w="108" w:type="dxa"/>
            <w:bottom w:w="0" w:type="dxa"/>
            <w:right w:w="108" w:type="dxa"/>
          </w:tblCellMar>
        </w:tblPrEx>
        <w:trPr>
          <w:cantSplit/>
          <w:trHeight w:val="3772" w:hRule="atLeast"/>
          <w:jc w:val="center"/>
        </w:trPr>
        <w:tc>
          <w:tcPr>
            <w:tcW w:w="8540" w:type="dxa"/>
            <w:tcBorders>
              <w:top w:val="single" w:color="auto" w:sz="6" w:space="0"/>
              <w:left w:val="single" w:color="auto" w:sz="6" w:space="0"/>
              <w:bottom w:val="single" w:color="auto" w:sz="6" w:space="0"/>
              <w:right w:val="single" w:color="auto" w:sz="6" w:space="0"/>
            </w:tcBorders>
            <w:noWrap/>
            <w:vAlign w:val="center"/>
          </w:tcPr>
          <w:p w14:paraId="4691F5BD">
            <w:pPr>
              <w:pStyle w:val="20"/>
              <w:jc w:val="left"/>
              <w:rPr>
                <w:rFonts w:ascii="宋体" w:hAnsi="宋体" w:eastAsia="宋体"/>
                <w:color w:val="auto"/>
                <w:sz w:val="21"/>
                <w:szCs w:val="21"/>
                <w:highlight w:val="none"/>
              </w:rPr>
            </w:pPr>
            <w:r>
              <w:rPr>
                <w:rFonts w:hint="eastAsia" w:ascii="宋体" w:hAnsi="宋体" w:eastAsia="宋体"/>
                <w:b w:val="0"/>
                <w:bCs w:val="0"/>
                <w:color w:val="auto"/>
                <w:sz w:val="21"/>
                <w:szCs w:val="21"/>
                <w:highlight w:val="none"/>
              </w:rPr>
              <w:t>企业近三年财务状况良好、没有被接管、冻结、破产状态（须提供202</w:t>
            </w:r>
            <w:r>
              <w:rPr>
                <w:rFonts w:hint="eastAsia" w:ascii="宋体" w:hAnsi="宋体" w:eastAsia="宋体"/>
                <w:b w:val="0"/>
                <w:bCs w:val="0"/>
                <w:color w:val="auto"/>
                <w:sz w:val="21"/>
                <w:szCs w:val="21"/>
                <w:highlight w:val="none"/>
                <w:lang w:val="en-US" w:eastAsia="zh-CN"/>
              </w:rPr>
              <w:t>3</w:t>
            </w:r>
            <w:r>
              <w:rPr>
                <w:rFonts w:hint="eastAsia" w:ascii="宋体" w:hAnsi="宋体" w:eastAsia="宋体"/>
                <w:b w:val="0"/>
                <w:bCs w:val="0"/>
                <w:color w:val="auto"/>
                <w:sz w:val="21"/>
                <w:szCs w:val="21"/>
                <w:highlight w:val="none"/>
              </w:rPr>
              <w:t>年度、202</w:t>
            </w:r>
            <w:r>
              <w:rPr>
                <w:rFonts w:hint="eastAsia" w:ascii="宋体" w:hAnsi="宋体" w:eastAsia="宋体"/>
                <w:b w:val="0"/>
                <w:bCs w:val="0"/>
                <w:color w:val="auto"/>
                <w:sz w:val="21"/>
                <w:szCs w:val="21"/>
                <w:highlight w:val="none"/>
                <w:lang w:val="en-US" w:eastAsia="zh-CN"/>
              </w:rPr>
              <w:t>4</w:t>
            </w:r>
            <w:r>
              <w:rPr>
                <w:rFonts w:hint="eastAsia" w:ascii="宋体" w:hAnsi="宋体" w:eastAsia="宋体"/>
                <w:b w:val="0"/>
                <w:bCs w:val="0"/>
                <w:color w:val="auto"/>
                <w:sz w:val="21"/>
                <w:szCs w:val="21"/>
                <w:highlight w:val="none"/>
              </w:rPr>
              <w:t>年度、202</w:t>
            </w:r>
            <w:r>
              <w:rPr>
                <w:rFonts w:hint="eastAsia" w:ascii="宋体" w:hAnsi="宋体" w:eastAsia="宋体"/>
                <w:b w:val="0"/>
                <w:bCs w:val="0"/>
                <w:color w:val="auto"/>
                <w:sz w:val="21"/>
                <w:szCs w:val="21"/>
                <w:highlight w:val="none"/>
                <w:lang w:val="en-US" w:eastAsia="zh-CN"/>
              </w:rPr>
              <w:t>5</w:t>
            </w:r>
            <w:r>
              <w:rPr>
                <w:rFonts w:hint="eastAsia" w:ascii="宋体" w:hAnsi="宋体" w:eastAsia="宋体"/>
                <w:b w:val="0"/>
                <w:bCs w:val="0"/>
                <w:color w:val="auto"/>
                <w:sz w:val="21"/>
                <w:szCs w:val="21"/>
                <w:highlight w:val="none"/>
              </w:rPr>
              <w:t>年度经会计师事务所或审计机构审计的财务审计报告等相关证明材料，新成立的企业以成立之后的年份为准</w:t>
            </w:r>
            <w:r>
              <w:rPr>
                <w:rFonts w:hint="eastAsia" w:ascii="宋体" w:hAnsi="宋体" w:eastAsia="宋体"/>
                <w:b w:val="0"/>
                <w:bCs w:val="0"/>
                <w:color w:val="auto"/>
                <w:sz w:val="21"/>
                <w:szCs w:val="21"/>
                <w:highlight w:val="none"/>
                <w:lang w:val="en-US" w:eastAsia="zh-CN"/>
              </w:rPr>
              <w:t>或提供银行出具的资信证明</w:t>
            </w:r>
            <w:r>
              <w:rPr>
                <w:rFonts w:hint="eastAsia" w:ascii="宋体" w:hAnsi="宋体" w:eastAsia="宋体"/>
                <w:b w:val="0"/>
                <w:bCs w:val="0"/>
                <w:color w:val="auto"/>
                <w:sz w:val="21"/>
                <w:szCs w:val="21"/>
                <w:highlight w:val="none"/>
              </w:rPr>
              <w:t>）。</w:t>
            </w:r>
          </w:p>
        </w:tc>
      </w:tr>
    </w:tbl>
    <w:p w14:paraId="651EEEB8">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35B229BB">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30"/>
          <w:szCs w:val="30"/>
          <w:highlight w:val="none"/>
        </w:rPr>
      </w:pPr>
      <w:r>
        <w:rPr>
          <w:rFonts w:hint="eastAsia" w:ascii="宋体" w:hAnsi="宋体"/>
          <w:b/>
          <w:color w:val="auto"/>
          <w:sz w:val="28"/>
          <w:szCs w:val="28"/>
          <w:highlight w:val="none"/>
        </w:rPr>
        <w:br w:type="page"/>
      </w:r>
      <w:bookmarkStart w:id="23" w:name="_Toc13840"/>
      <w:bookmarkEnd w:id="23"/>
      <w:r>
        <w:rPr>
          <w:rFonts w:hint="eastAsia" w:ascii="宋体" w:hAnsi="宋体"/>
          <w:b/>
          <w:color w:val="auto"/>
          <w:sz w:val="28"/>
          <w:szCs w:val="28"/>
          <w:highlight w:val="none"/>
        </w:rPr>
        <w:t>附录3 资格审查条件（业绩最低要求）</w:t>
      </w:r>
    </w:p>
    <w:tbl>
      <w:tblPr>
        <w:tblStyle w:val="27"/>
        <w:tblW w:w="8417" w:type="dxa"/>
        <w:jc w:val="center"/>
        <w:tblLayout w:type="fixed"/>
        <w:tblCellMar>
          <w:top w:w="0" w:type="dxa"/>
          <w:left w:w="108" w:type="dxa"/>
          <w:bottom w:w="0" w:type="dxa"/>
          <w:right w:w="108" w:type="dxa"/>
        </w:tblCellMar>
      </w:tblPr>
      <w:tblGrid>
        <w:gridCol w:w="8417"/>
      </w:tblGrid>
      <w:tr w14:paraId="2C6899BC">
        <w:tblPrEx>
          <w:tblCellMar>
            <w:top w:w="0" w:type="dxa"/>
            <w:left w:w="108" w:type="dxa"/>
            <w:bottom w:w="0" w:type="dxa"/>
            <w:right w:w="108" w:type="dxa"/>
          </w:tblCellMar>
        </w:tblPrEx>
        <w:trPr>
          <w:trHeight w:val="788" w:hRule="atLeast"/>
          <w:jc w:val="center"/>
        </w:trPr>
        <w:tc>
          <w:tcPr>
            <w:tcW w:w="8417" w:type="dxa"/>
            <w:tcBorders>
              <w:top w:val="single" w:color="auto" w:sz="6" w:space="0"/>
              <w:left w:val="single" w:color="auto" w:sz="6" w:space="0"/>
              <w:bottom w:val="single" w:color="auto" w:sz="6" w:space="0"/>
              <w:right w:val="single" w:color="auto" w:sz="6" w:space="0"/>
            </w:tcBorders>
            <w:noWrap/>
            <w:vAlign w:val="center"/>
          </w:tcPr>
          <w:p w14:paraId="1679E896">
            <w:pPr>
              <w:pStyle w:val="20"/>
              <w:spacing w:line="240" w:lineRule="auto"/>
              <w:jc w:val="center"/>
              <w:rPr>
                <w:rFonts w:ascii="宋体" w:hAnsi="宋体" w:eastAsia="宋体"/>
                <w:caps/>
                <w:color w:val="auto"/>
                <w:sz w:val="21"/>
                <w:szCs w:val="21"/>
                <w:highlight w:val="none"/>
              </w:rPr>
            </w:pPr>
            <w:r>
              <w:rPr>
                <w:rFonts w:hint="eastAsia" w:ascii="宋体" w:hAnsi="宋体" w:eastAsia="宋体"/>
                <w:b w:val="0"/>
                <w:bCs w:val="0"/>
                <w:caps/>
                <w:color w:val="auto"/>
                <w:sz w:val="21"/>
                <w:szCs w:val="21"/>
                <w:highlight w:val="none"/>
              </w:rPr>
              <w:t>业 绩 要 求</w:t>
            </w:r>
          </w:p>
        </w:tc>
      </w:tr>
      <w:tr w14:paraId="164F503B">
        <w:tblPrEx>
          <w:tblCellMar>
            <w:top w:w="0" w:type="dxa"/>
            <w:left w:w="108" w:type="dxa"/>
            <w:bottom w:w="0" w:type="dxa"/>
            <w:right w:w="108" w:type="dxa"/>
          </w:tblCellMar>
        </w:tblPrEx>
        <w:trPr>
          <w:cantSplit/>
          <w:trHeight w:val="3705" w:hRule="atLeast"/>
          <w:jc w:val="center"/>
        </w:trPr>
        <w:tc>
          <w:tcPr>
            <w:tcW w:w="8417" w:type="dxa"/>
            <w:tcBorders>
              <w:top w:val="single" w:color="auto" w:sz="6" w:space="0"/>
              <w:left w:val="single" w:color="auto" w:sz="6" w:space="0"/>
              <w:bottom w:val="single" w:color="auto" w:sz="6" w:space="0"/>
              <w:right w:val="single" w:color="auto" w:sz="6" w:space="0"/>
            </w:tcBorders>
            <w:noWrap/>
            <w:vAlign w:val="center"/>
          </w:tcPr>
          <w:p w14:paraId="2397101A">
            <w:pPr>
              <w:spacing w:line="460" w:lineRule="exact"/>
              <w:ind w:firstLine="420" w:firstLineChars="200"/>
              <w:jc w:val="left"/>
              <w:rPr>
                <w:rFonts w:ascii="宋体" w:hAnsi="宋体" w:eastAsia="宋体"/>
                <w:color w:val="auto"/>
                <w:highlight w:val="none"/>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202</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3</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年</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1月1日</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以来投标人至少</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提供</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1项交通或公路的</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类似</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工</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程</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业绩(提供</w:t>
            </w:r>
            <w:r>
              <w:rPr>
                <w:rFonts w:hint="eastAsia" w:ascii="宋体" w:hAnsi="宋体" w:cs="宋体"/>
                <w:color w:val="auto"/>
                <w:sz w:val="21"/>
                <w:szCs w:val="21"/>
                <w:highlight w:val="none"/>
                <w:lang w:eastAsia="zh-CN"/>
              </w:rPr>
              <w:t>交通运输部“全国公路建设市场监督管理系统”网址</w:t>
            </w:r>
            <w:r>
              <w:rPr>
                <w:rFonts w:hint="default" w:ascii="Times New Roman" w:hAnsi="Times New Roman" w:cs="Times New Roman"/>
                <w:color w:val="auto"/>
                <w:sz w:val="21"/>
                <w:szCs w:val="21"/>
                <w:highlight w:val="none"/>
                <w:lang w:eastAsia="zh-CN"/>
              </w:rPr>
              <w:t>（https://hwdms.mot.gov.cn/otcredit-webapp/login#/signin）</w:t>
            </w:r>
            <w:r>
              <w:rPr>
                <w:rFonts w:hint="eastAsia" w:ascii="Times New Roman" w:hAnsi="Times New Roman" w:cs="Times New Roman"/>
                <w:color w:val="auto"/>
                <w:sz w:val="21"/>
                <w:szCs w:val="21"/>
                <w:highlight w:val="none"/>
                <w:lang w:eastAsia="zh-CN"/>
              </w:rPr>
              <w:t>中查询到的相关项目网页截图复印件，或者提供相应的</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合同、中标通知书</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中标公示网页截图并提供查询网址</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、工程竣(交)工验收报告，</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时间以</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合同</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日期为准)</w:t>
            </w:r>
            <w:r>
              <w:rPr>
                <w:rFonts w:hint="eastAsia" w:ascii="宋体" w:hAnsi="宋体" w:eastAsia="宋体" w:cs="宋体"/>
                <w:color w:val="auto"/>
                <w:kern w:val="2"/>
                <w:sz w:val="21"/>
                <w:szCs w:val="21"/>
                <w:highlight w:val="none"/>
                <w:lang w:val="en-US" w:eastAsia="zh-CN" w:bidi="ar-SA"/>
              </w:rPr>
              <w:t>。</w:t>
            </w:r>
          </w:p>
        </w:tc>
      </w:tr>
    </w:tbl>
    <w:p w14:paraId="4BCE70E2">
      <w:pPr>
        <w:ind w:firstLine="420" w:firstLineChars="200"/>
        <w:rPr>
          <w:rFonts w:hint="eastAsia" w:ascii="宋体" w:hAnsi="宋体"/>
          <w:color w:val="auto"/>
          <w:highlight w:val="none"/>
        </w:rPr>
      </w:pPr>
      <w:r>
        <w:rPr>
          <w:rFonts w:hint="eastAsia" w:ascii="宋体" w:hAnsi="宋体"/>
          <w:color w:val="auto"/>
          <w:highlight w:val="none"/>
        </w:rPr>
        <w:t xml:space="preserve"> </w:t>
      </w:r>
      <w:bookmarkStart w:id="24" w:name="_Toc30694"/>
      <w:bookmarkEnd w:id="24"/>
    </w:p>
    <w:p w14:paraId="28F76340">
      <w:pPr>
        <w:ind w:firstLine="420" w:firstLineChars="200"/>
        <w:rPr>
          <w:rFonts w:hint="eastAsia" w:ascii="宋体" w:hAnsi="宋体"/>
          <w:color w:val="auto"/>
          <w:highlight w:val="none"/>
        </w:rPr>
      </w:pPr>
    </w:p>
    <w:p w14:paraId="4CA7CCAA">
      <w:pPr>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5B48FEBF">
      <w:pPr>
        <w:keepNext w:val="0"/>
        <w:keepLines w:val="0"/>
        <w:pageBreakBefore w:val="0"/>
        <w:widowControl w:val="0"/>
        <w:kinsoku/>
        <w:wordWrap/>
        <w:overflowPunct/>
        <w:topLinePunct w:val="0"/>
        <w:autoSpaceDE/>
        <w:autoSpaceDN/>
        <w:bidi w:val="0"/>
        <w:adjustRightInd/>
        <w:snapToGrid/>
        <w:spacing w:after="0" w:afterLines="50"/>
        <w:ind w:firstLine="562" w:firstLineChars="200"/>
        <w:jc w:val="center"/>
        <w:textAlignment w:val="auto"/>
        <w:rPr>
          <w:rFonts w:ascii="宋体" w:hAnsi="宋体"/>
          <w:b/>
          <w:color w:val="auto"/>
          <w:sz w:val="28"/>
          <w:szCs w:val="28"/>
          <w:highlight w:val="none"/>
        </w:rPr>
      </w:pPr>
      <w:r>
        <w:rPr>
          <w:rFonts w:hint="eastAsia" w:ascii="宋体" w:hAnsi="宋体"/>
          <w:b/>
          <w:color w:val="auto"/>
          <w:sz w:val="28"/>
          <w:szCs w:val="28"/>
          <w:highlight w:val="none"/>
        </w:rPr>
        <w:t>附录4 资格审查条件（信誉最低要求）</w:t>
      </w:r>
    </w:p>
    <w:tbl>
      <w:tblPr>
        <w:tblStyle w:val="27"/>
        <w:tblW w:w="8485" w:type="dxa"/>
        <w:jc w:val="center"/>
        <w:tblLayout w:type="fixed"/>
        <w:tblCellMar>
          <w:top w:w="0" w:type="dxa"/>
          <w:left w:w="108" w:type="dxa"/>
          <w:bottom w:w="0" w:type="dxa"/>
          <w:right w:w="108" w:type="dxa"/>
        </w:tblCellMar>
      </w:tblPr>
      <w:tblGrid>
        <w:gridCol w:w="8485"/>
      </w:tblGrid>
      <w:tr w14:paraId="175FFC72">
        <w:tblPrEx>
          <w:tblCellMar>
            <w:top w:w="0" w:type="dxa"/>
            <w:left w:w="108" w:type="dxa"/>
            <w:bottom w:w="0" w:type="dxa"/>
            <w:right w:w="108" w:type="dxa"/>
          </w:tblCellMar>
        </w:tblPrEx>
        <w:trPr>
          <w:trHeight w:val="929" w:hRule="atLeast"/>
          <w:jc w:val="center"/>
        </w:trPr>
        <w:tc>
          <w:tcPr>
            <w:tcW w:w="8485" w:type="dxa"/>
            <w:tcBorders>
              <w:top w:val="single" w:color="auto" w:sz="6" w:space="0"/>
              <w:left w:val="single" w:color="auto" w:sz="6" w:space="0"/>
              <w:bottom w:val="single" w:color="auto" w:sz="6" w:space="0"/>
              <w:right w:val="single" w:color="auto" w:sz="6" w:space="0"/>
            </w:tcBorders>
            <w:noWrap/>
            <w:vAlign w:val="center"/>
          </w:tcPr>
          <w:p w14:paraId="020FE50C">
            <w:pPr>
              <w:pStyle w:val="20"/>
              <w:spacing w:line="240" w:lineRule="auto"/>
              <w:jc w:val="center"/>
              <w:rPr>
                <w:rFonts w:ascii="宋体" w:hAnsi="宋体" w:eastAsia="宋体"/>
                <w:b w:val="0"/>
                <w:bCs w:val="0"/>
                <w:caps/>
                <w:color w:val="auto"/>
                <w:sz w:val="21"/>
                <w:szCs w:val="21"/>
                <w:highlight w:val="none"/>
              </w:rPr>
            </w:pPr>
            <w:r>
              <w:rPr>
                <w:rFonts w:hint="eastAsia" w:ascii="宋体" w:hAnsi="宋体" w:eastAsia="宋体"/>
                <w:b w:val="0"/>
                <w:bCs w:val="0"/>
                <w:caps/>
                <w:color w:val="auto"/>
                <w:sz w:val="21"/>
                <w:szCs w:val="21"/>
                <w:highlight w:val="none"/>
              </w:rPr>
              <w:t>信 誉 要 求</w:t>
            </w:r>
          </w:p>
        </w:tc>
      </w:tr>
      <w:tr w14:paraId="74662744">
        <w:tblPrEx>
          <w:tblCellMar>
            <w:top w:w="0" w:type="dxa"/>
            <w:left w:w="108" w:type="dxa"/>
            <w:bottom w:w="0" w:type="dxa"/>
            <w:right w:w="108" w:type="dxa"/>
          </w:tblCellMar>
        </w:tblPrEx>
        <w:trPr>
          <w:cantSplit/>
          <w:trHeight w:val="3656" w:hRule="atLeast"/>
          <w:jc w:val="center"/>
        </w:trPr>
        <w:tc>
          <w:tcPr>
            <w:tcW w:w="8485" w:type="dxa"/>
            <w:tcBorders>
              <w:top w:val="single" w:color="auto" w:sz="6" w:space="0"/>
              <w:left w:val="single" w:color="auto" w:sz="6" w:space="0"/>
              <w:bottom w:val="single" w:color="auto" w:sz="6" w:space="0"/>
              <w:right w:val="single" w:color="auto" w:sz="6" w:space="0"/>
            </w:tcBorders>
            <w:noWrap/>
            <w:vAlign w:val="center"/>
          </w:tcPr>
          <w:p w14:paraId="7DB567E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对属于失信被执行人、被列入严重违法失信企业名单的投标人将被拒绝参与投标。通过“信用中国”跳转至“中国执行信息公开网”（http://zxgk.court.gov.cn/shixin/）查询投标人、法定代表人、项目经理是否为失信被执行人，在国家企业信用信息公示系统（http://www.gsxt.gov.cn/）中查询投标人是否被列入严重违法失信企业名单。</w:t>
            </w:r>
            <w:r>
              <w:rPr>
                <w:rFonts w:hint="eastAsia" w:ascii="宋体" w:hAnsi="宋体" w:eastAsia="宋体" w:cs="宋体"/>
                <w:color w:val="000000"/>
                <w:kern w:val="2"/>
                <w:sz w:val="21"/>
                <w:szCs w:val="21"/>
                <w:highlight w:val="none"/>
                <w:lang w:val="en-US" w:eastAsia="zh-CN" w:bidi="ar-SA"/>
              </w:rPr>
              <w:t>(投标人须提供网站查询打印页，打印页需包括查询日期，查询日期为公告发布之后至投标截止时间前)。</w:t>
            </w:r>
          </w:p>
          <w:p w14:paraId="152ECC2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凡是被列入全国</w:t>
            </w:r>
            <w:r>
              <w:rPr>
                <w:rFonts w:hint="eastAsia" w:ascii="宋体" w:hAnsi="宋体" w:cs="宋体"/>
                <w:color w:val="auto"/>
                <w:kern w:val="2"/>
                <w:sz w:val="21"/>
                <w:szCs w:val="21"/>
                <w:highlight w:val="none"/>
                <w:lang w:val="en-US" w:eastAsia="zh-CN" w:bidi="ar-SA"/>
              </w:rPr>
              <w:t>或省级</w:t>
            </w:r>
            <w:r>
              <w:rPr>
                <w:rFonts w:hint="eastAsia" w:ascii="宋体" w:hAnsi="宋体" w:eastAsia="宋体" w:cs="宋体"/>
                <w:color w:val="auto"/>
                <w:kern w:val="2"/>
                <w:sz w:val="21"/>
                <w:szCs w:val="21"/>
                <w:highlight w:val="none"/>
                <w:lang w:val="en-US" w:eastAsia="zh-CN" w:bidi="ar-SA"/>
              </w:rPr>
              <w:t>建筑市场监管公共服务平台“黑名单”的，依法拒绝其参与本次投标。投标所用资质项在全国或</w:t>
            </w:r>
            <w:r>
              <w:rPr>
                <w:rFonts w:hint="eastAsia" w:ascii="宋体" w:hAnsi="宋体" w:cs="宋体"/>
                <w:color w:val="auto"/>
                <w:kern w:val="2"/>
                <w:sz w:val="21"/>
                <w:szCs w:val="21"/>
                <w:highlight w:val="none"/>
                <w:lang w:val="en-US" w:eastAsia="zh-CN" w:bidi="ar-SA"/>
              </w:rPr>
              <w:t>省级</w:t>
            </w:r>
            <w:r>
              <w:rPr>
                <w:rFonts w:hint="eastAsia" w:ascii="宋体" w:hAnsi="宋体" w:eastAsia="宋体" w:cs="宋体"/>
                <w:color w:val="auto"/>
                <w:kern w:val="2"/>
                <w:sz w:val="21"/>
                <w:szCs w:val="21"/>
                <w:highlight w:val="none"/>
                <w:lang w:val="en-US" w:eastAsia="zh-CN" w:bidi="ar-SA"/>
              </w:rPr>
              <w:t>建筑市场监管公共服务平台资质状况被标注资质异常状态的（投标人），依法拒绝参与本项目招投标活动。查询渠道:“全国建筑市场监管公共服务平台”网站(https://jzsc.mohurd.gov.cn/home)，须提供查询结果证明材料(投标人须提供网站查询打印页，打印页需包括查询日期，查询日期为公告发布之后至投标截止时间前)。</w:t>
            </w:r>
          </w:p>
          <w:p w14:paraId="26E974E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ascii="宋体" w:hAnsi="宋体" w:eastAsia="宋体"/>
                <w:b w:val="0"/>
                <w:caps/>
                <w:color w:val="auto"/>
                <w:sz w:val="21"/>
                <w:szCs w:val="21"/>
                <w:highlight w:val="none"/>
              </w:rPr>
            </w:pPr>
          </w:p>
        </w:tc>
      </w:tr>
    </w:tbl>
    <w:p w14:paraId="048A3F1B">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hint="eastAsia" w:ascii="宋体" w:hAnsi="宋体" w:eastAsia="宋体"/>
          <w:b/>
          <w:color w:val="auto"/>
          <w:sz w:val="28"/>
          <w:szCs w:val="28"/>
          <w:highlight w:val="none"/>
          <w:lang w:val="en-US" w:eastAsia="zh-CN"/>
        </w:rPr>
      </w:pPr>
      <w:r>
        <w:rPr>
          <w:rFonts w:hint="eastAsia" w:ascii="宋体" w:hAnsi="宋体"/>
          <w:b/>
          <w:color w:val="auto"/>
          <w:sz w:val="28"/>
          <w:szCs w:val="28"/>
          <w:highlight w:val="none"/>
        </w:rPr>
        <w:br w:type="page"/>
      </w:r>
      <w:bookmarkStart w:id="25" w:name="_Toc13904"/>
      <w:bookmarkEnd w:id="25"/>
      <w:r>
        <w:rPr>
          <w:rFonts w:hint="eastAsia" w:ascii="宋体" w:hAnsi="宋体"/>
          <w:b/>
          <w:color w:val="auto"/>
          <w:sz w:val="28"/>
          <w:szCs w:val="28"/>
          <w:highlight w:val="none"/>
        </w:rPr>
        <w:t>附录5 资格审查条件</w:t>
      </w:r>
      <w:r>
        <w:rPr>
          <w:rFonts w:hint="eastAsia" w:ascii="宋体" w:hAnsi="宋体"/>
          <w:b/>
          <w:color w:val="auto"/>
          <w:sz w:val="28"/>
          <w:szCs w:val="28"/>
          <w:highlight w:val="none"/>
          <w:lang w:val="en-US" w:eastAsia="zh-CN"/>
        </w:rPr>
        <w:t>（其他要求最低要求）</w:t>
      </w:r>
    </w:p>
    <w:tbl>
      <w:tblPr>
        <w:tblStyle w:val="27"/>
        <w:tblW w:w="8485" w:type="dxa"/>
        <w:jc w:val="center"/>
        <w:tblLayout w:type="fixed"/>
        <w:tblCellMar>
          <w:top w:w="0" w:type="dxa"/>
          <w:left w:w="108" w:type="dxa"/>
          <w:bottom w:w="0" w:type="dxa"/>
          <w:right w:w="108" w:type="dxa"/>
        </w:tblCellMar>
      </w:tblPr>
      <w:tblGrid>
        <w:gridCol w:w="8485"/>
      </w:tblGrid>
      <w:tr w14:paraId="24BA86AF">
        <w:tblPrEx>
          <w:tblCellMar>
            <w:top w:w="0" w:type="dxa"/>
            <w:left w:w="108" w:type="dxa"/>
            <w:bottom w:w="0" w:type="dxa"/>
            <w:right w:w="108" w:type="dxa"/>
          </w:tblCellMar>
        </w:tblPrEx>
        <w:trPr>
          <w:trHeight w:val="929" w:hRule="atLeast"/>
          <w:jc w:val="center"/>
        </w:trPr>
        <w:tc>
          <w:tcPr>
            <w:tcW w:w="8485" w:type="dxa"/>
            <w:tcBorders>
              <w:top w:val="single" w:color="auto" w:sz="6" w:space="0"/>
              <w:left w:val="single" w:color="auto" w:sz="6" w:space="0"/>
              <w:bottom w:val="single" w:color="auto" w:sz="6" w:space="0"/>
              <w:right w:val="single" w:color="auto" w:sz="6" w:space="0"/>
            </w:tcBorders>
            <w:noWrap/>
            <w:vAlign w:val="center"/>
          </w:tcPr>
          <w:p w14:paraId="209FA173">
            <w:pPr>
              <w:pStyle w:val="20"/>
              <w:spacing w:line="240" w:lineRule="auto"/>
              <w:jc w:val="center"/>
              <w:rPr>
                <w:rFonts w:ascii="宋体" w:hAnsi="宋体" w:eastAsia="宋体"/>
                <w:b w:val="0"/>
                <w:bCs w:val="0"/>
                <w:caps/>
                <w:color w:val="auto"/>
                <w:sz w:val="21"/>
                <w:szCs w:val="21"/>
                <w:highlight w:val="none"/>
              </w:rPr>
            </w:pPr>
            <w:r>
              <w:rPr>
                <w:rFonts w:hint="eastAsia" w:ascii="宋体" w:hAnsi="宋体" w:eastAsia="宋体"/>
                <w:b w:val="0"/>
                <w:bCs w:val="0"/>
                <w:caps/>
                <w:color w:val="auto"/>
                <w:sz w:val="21"/>
                <w:szCs w:val="21"/>
                <w:highlight w:val="none"/>
                <w:lang w:val="en-US" w:eastAsia="zh-CN"/>
              </w:rPr>
              <w:t>其 他 要 求</w:t>
            </w:r>
          </w:p>
        </w:tc>
      </w:tr>
      <w:tr w14:paraId="18063526">
        <w:tblPrEx>
          <w:tblCellMar>
            <w:top w:w="0" w:type="dxa"/>
            <w:left w:w="108" w:type="dxa"/>
            <w:bottom w:w="0" w:type="dxa"/>
            <w:right w:w="108" w:type="dxa"/>
          </w:tblCellMar>
        </w:tblPrEx>
        <w:trPr>
          <w:cantSplit/>
          <w:trHeight w:val="3656" w:hRule="atLeast"/>
          <w:jc w:val="center"/>
        </w:trPr>
        <w:tc>
          <w:tcPr>
            <w:tcW w:w="8485" w:type="dxa"/>
            <w:tcBorders>
              <w:top w:val="single" w:color="auto" w:sz="6" w:space="0"/>
              <w:left w:val="single" w:color="auto" w:sz="6" w:space="0"/>
              <w:bottom w:val="single" w:color="auto" w:sz="6" w:space="0"/>
              <w:right w:val="single" w:color="auto" w:sz="6" w:space="0"/>
            </w:tcBorders>
            <w:noWrap/>
            <w:vAlign w:val="center"/>
          </w:tcPr>
          <w:p w14:paraId="60012C00">
            <w:pPr>
              <w:keepNext w:val="0"/>
              <w:keepLines w:val="0"/>
              <w:pageBreakBefore w:val="0"/>
              <w:numPr>
                <w:ilvl w:val="0"/>
                <w:numId w:val="0"/>
              </w:numPr>
              <w:kinsoku/>
              <w:wordWrap w:val="0"/>
              <w:overflowPunct/>
              <w:topLinePunct w:val="0"/>
              <w:autoSpaceDE/>
              <w:autoSpaceDN/>
              <w:bidi w:val="0"/>
              <w:spacing w:line="44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1）与招标人存在利害关系可能影响招标公正性的单位</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不得参加投标。单位负责人为同一人或存在控股、管理关系的不同单位，不得参加同一标段投标，否则</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相关投标均无效。</w:t>
            </w:r>
            <w:r>
              <w:rPr>
                <w:rFonts w:hint="eastAsia" w:ascii="宋体" w:hAnsi="宋体" w:eastAsia="宋体" w:cs="宋体"/>
                <w:color w:val="auto"/>
                <w:sz w:val="21"/>
                <w:szCs w:val="21"/>
                <w:highlight w:val="none"/>
                <w:lang w:val="en-US" w:eastAsia="zh-CN"/>
              </w:rPr>
              <w:t>（投标人应自拟承诺，格式自拟，加盖单位公章）。</w:t>
            </w:r>
          </w:p>
          <w:p w14:paraId="235A978A">
            <w:pPr>
              <w:keepNext w:val="0"/>
              <w:keepLines w:val="0"/>
              <w:pageBreakBefore w:val="0"/>
              <w:numPr>
                <w:ilvl w:val="0"/>
                <w:numId w:val="0"/>
              </w:numPr>
              <w:kinsoku/>
              <w:wordWrap w:val="0"/>
              <w:overflowPunct/>
              <w:topLinePunct w:val="0"/>
              <w:autoSpaceDE/>
              <w:autoSpaceDN/>
              <w:bidi w:val="0"/>
              <w:spacing w:line="44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2</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企业近三年没有处于被责令停产、停业或者投标资格被取消，没有骗取中标或者没有重大违约及重大工程质量、拖欠农民工工资、安全生产事故等问题；（投标人应自拟承诺，格式自拟，加盖单位公章）。</w:t>
            </w:r>
          </w:p>
          <w:p w14:paraId="5F9C8FE0">
            <w:pPr>
              <w:keepNext w:val="0"/>
              <w:keepLines w:val="0"/>
              <w:pageBreakBefore w:val="0"/>
              <w:numPr>
                <w:ilvl w:val="0"/>
                <w:numId w:val="0"/>
              </w:numPr>
              <w:kinsoku/>
              <w:wordWrap w:val="0"/>
              <w:overflowPunct/>
              <w:topLinePunct w:val="0"/>
              <w:autoSpaceDE/>
              <w:autoSpaceDN/>
              <w:bidi w:val="0"/>
              <w:spacing w:line="44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企业近三年内没有被建设、公路、水利、土地等有关行政部门及相关监督部门通报有不良行为记录；（投标人应自拟承诺，格式自拟，加盖单位公章）。</w:t>
            </w:r>
          </w:p>
          <w:p w14:paraId="42C4ED36">
            <w:pPr>
              <w:keepNext w:val="0"/>
              <w:keepLines w:val="0"/>
              <w:pageBreakBefore w:val="0"/>
              <w:numPr>
                <w:ilvl w:val="0"/>
                <w:numId w:val="0"/>
              </w:numPr>
              <w:kinsoku/>
              <w:wordWrap w:val="0"/>
              <w:overflowPunct/>
              <w:topLinePunct w:val="0"/>
              <w:autoSpaceDE/>
              <w:autoSpaceDN/>
              <w:bidi w:val="0"/>
              <w:spacing w:line="440" w:lineRule="exact"/>
              <w:ind w:firstLine="420" w:firstLineChars="200"/>
              <w:textAlignment w:val="auto"/>
              <w:rPr>
                <w:rFonts w:ascii="宋体" w:hAnsi="宋体" w:eastAsia="宋体"/>
                <w:b w:val="0"/>
                <w:caps/>
                <w:color w:val="auto"/>
                <w:sz w:val="21"/>
                <w:szCs w:val="21"/>
                <w:highlight w:val="none"/>
              </w:rPr>
            </w:pPr>
            <w:r>
              <w:rPr>
                <w:rFonts w:hint="eastAsia" w:ascii="宋体" w:hAnsi="宋体" w:eastAsia="宋体" w:cs="Times New Roman"/>
                <w:b w:val="0"/>
                <w:caps/>
                <w:color w:val="auto"/>
                <w:kern w:val="2"/>
                <w:sz w:val="21"/>
                <w:szCs w:val="21"/>
                <w:highlight w:val="none"/>
                <w:lang w:val="en-US" w:eastAsia="zh-CN" w:bidi="ar-SA"/>
              </w:rPr>
              <w:t>4</w:t>
            </w:r>
            <w:r>
              <w:rPr>
                <w:rFonts w:ascii="宋体" w:hAnsi="宋体" w:eastAsia="宋体" w:cs="Times New Roman"/>
                <w:b w:val="0"/>
                <w:caps/>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企业从中标到施工过程中如被发现有挂靠行为的，将没收保证金及履约保证金，并终止合同清退出场，因合同无效给建设方造成经济损失的，应当由被挂靠企业来承担（投标人应自拟承诺，格式自拟，加盖单位公章）。</w:t>
            </w:r>
          </w:p>
        </w:tc>
      </w:tr>
    </w:tbl>
    <w:p w14:paraId="1654DB5F">
      <w:pPr>
        <w:rPr>
          <w:rFonts w:hint="eastAsia" w:ascii="宋体" w:hAnsi="宋体"/>
          <w:b/>
          <w:color w:val="auto"/>
          <w:sz w:val="28"/>
          <w:szCs w:val="28"/>
          <w:highlight w:val="none"/>
        </w:rPr>
      </w:pPr>
    </w:p>
    <w:p w14:paraId="0EFF0E78">
      <w:pPr>
        <w:rPr>
          <w:rFonts w:hint="eastAsia" w:ascii="宋体" w:hAnsi="宋体"/>
          <w:b/>
          <w:color w:val="auto"/>
          <w:sz w:val="28"/>
          <w:szCs w:val="28"/>
          <w:highlight w:val="none"/>
        </w:rPr>
      </w:pPr>
      <w:r>
        <w:rPr>
          <w:rFonts w:hint="eastAsia" w:ascii="宋体" w:hAnsi="宋体"/>
          <w:b/>
          <w:color w:val="auto"/>
          <w:sz w:val="28"/>
          <w:szCs w:val="28"/>
          <w:highlight w:val="none"/>
        </w:rPr>
        <w:br w:type="page"/>
      </w:r>
    </w:p>
    <w:p w14:paraId="763A9167">
      <w:pPr>
        <w:keepNext w:val="0"/>
        <w:keepLines w:val="0"/>
        <w:pageBreakBefore w:val="0"/>
        <w:widowControl w:val="0"/>
        <w:kinsoku/>
        <w:wordWrap/>
        <w:overflowPunct/>
        <w:topLinePunct w:val="0"/>
        <w:autoSpaceDE/>
        <w:autoSpaceDN/>
        <w:bidi w:val="0"/>
        <w:adjustRightInd/>
        <w:snapToGrid/>
        <w:spacing w:after="0" w:afterLines="50"/>
        <w:jc w:val="center"/>
        <w:textAlignment w:val="auto"/>
        <w:outlineLvl w:val="2"/>
        <w:rPr>
          <w:rFonts w:ascii="宋体" w:hAnsi="宋体"/>
          <w:b/>
          <w:color w:val="auto"/>
          <w:sz w:val="28"/>
          <w:szCs w:val="28"/>
          <w:highlight w:val="none"/>
        </w:rPr>
      </w:pPr>
      <w:r>
        <w:rPr>
          <w:rFonts w:hint="eastAsia" w:ascii="宋体" w:hAnsi="宋体"/>
          <w:b/>
          <w:color w:val="auto"/>
          <w:sz w:val="28"/>
          <w:szCs w:val="28"/>
          <w:highlight w:val="none"/>
        </w:rPr>
        <w:t>附录</w:t>
      </w:r>
      <w:r>
        <w:rPr>
          <w:rFonts w:hint="eastAsia" w:ascii="宋体" w:hAnsi="宋体"/>
          <w:b/>
          <w:color w:val="auto"/>
          <w:sz w:val="28"/>
          <w:szCs w:val="28"/>
          <w:highlight w:val="none"/>
          <w:lang w:val="en-US" w:eastAsia="zh-CN"/>
        </w:rPr>
        <w:t>6</w:t>
      </w:r>
      <w:r>
        <w:rPr>
          <w:rFonts w:hint="eastAsia" w:ascii="宋体" w:hAnsi="宋体"/>
          <w:b/>
          <w:color w:val="auto"/>
          <w:sz w:val="28"/>
          <w:szCs w:val="28"/>
          <w:highlight w:val="none"/>
        </w:rPr>
        <w:t xml:space="preserve"> 资格审查条件（项目经理和项目总工最低要求）</w:t>
      </w:r>
    </w:p>
    <w:tbl>
      <w:tblPr>
        <w:tblStyle w:val="27"/>
        <w:tblW w:w="9720" w:type="dxa"/>
        <w:jc w:val="center"/>
        <w:tblLayout w:type="fixed"/>
        <w:tblCellMar>
          <w:top w:w="0" w:type="dxa"/>
          <w:left w:w="108" w:type="dxa"/>
          <w:bottom w:w="0" w:type="dxa"/>
          <w:right w:w="108" w:type="dxa"/>
        </w:tblCellMar>
      </w:tblPr>
      <w:tblGrid>
        <w:gridCol w:w="1435"/>
        <w:gridCol w:w="709"/>
        <w:gridCol w:w="4961"/>
        <w:gridCol w:w="2615"/>
      </w:tblGrid>
      <w:tr w14:paraId="3CDEC19A">
        <w:tblPrEx>
          <w:tblCellMar>
            <w:top w:w="0" w:type="dxa"/>
            <w:left w:w="108" w:type="dxa"/>
            <w:bottom w:w="0" w:type="dxa"/>
            <w:right w:w="108" w:type="dxa"/>
          </w:tblCellMar>
        </w:tblPrEx>
        <w:trPr>
          <w:trHeight w:val="1042" w:hRule="atLeast"/>
          <w:jc w:val="center"/>
        </w:trPr>
        <w:tc>
          <w:tcPr>
            <w:tcW w:w="1435" w:type="dxa"/>
            <w:tcBorders>
              <w:top w:val="single" w:color="auto" w:sz="6" w:space="0"/>
              <w:left w:val="single" w:color="auto" w:sz="6" w:space="0"/>
              <w:bottom w:val="single" w:color="auto" w:sz="6" w:space="0"/>
              <w:right w:val="single" w:color="auto" w:sz="6" w:space="0"/>
            </w:tcBorders>
            <w:noWrap/>
            <w:vAlign w:val="center"/>
          </w:tcPr>
          <w:p w14:paraId="0C9F5FF0">
            <w:pPr>
              <w:jc w:val="center"/>
              <w:rPr>
                <w:rFonts w:ascii="宋体" w:hAnsi="宋体"/>
                <w:color w:val="auto"/>
                <w:spacing w:val="-1"/>
                <w:kern w:val="0"/>
                <w:highlight w:val="none"/>
              </w:rPr>
            </w:pPr>
            <w:r>
              <w:rPr>
                <w:rFonts w:hint="eastAsia" w:ascii="宋体" w:hAnsi="宋体"/>
                <w:color w:val="auto"/>
                <w:spacing w:val="-1"/>
                <w:kern w:val="0"/>
                <w:highlight w:val="none"/>
              </w:rPr>
              <w:t>人  员</w:t>
            </w:r>
          </w:p>
        </w:tc>
        <w:tc>
          <w:tcPr>
            <w:tcW w:w="709" w:type="dxa"/>
            <w:tcBorders>
              <w:top w:val="single" w:color="auto" w:sz="6" w:space="0"/>
              <w:left w:val="nil"/>
              <w:bottom w:val="single" w:color="auto" w:sz="6" w:space="0"/>
              <w:right w:val="single" w:color="auto" w:sz="6" w:space="0"/>
            </w:tcBorders>
            <w:noWrap/>
            <w:vAlign w:val="center"/>
          </w:tcPr>
          <w:p w14:paraId="75492031">
            <w:pPr>
              <w:jc w:val="center"/>
              <w:rPr>
                <w:rFonts w:ascii="宋体" w:hAnsi="宋体"/>
                <w:color w:val="auto"/>
                <w:highlight w:val="none"/>
              </w:rPr>
            </w:pPr>
            <w:r>
              <w:rPr>
                <w:rFonts w:hint="eastAsia" w:ascii="宋体" w:hAnsi="宋体"/>
                <w:color w:val="auto"/>
                <w:spacing w:val="-1"/>
                <w:kern w:val="0"/>
                <w:highlight w:val="none"/>
              </w:rPr>
              <w:t>数</w:t>
            </w:r>
            <w:r>
              <w:rPr>
                <w:rFonts w:hint="eastAsia" w:ascii="宋体" w:hAnsi="宋体"/>
                <w:color w:val="auto"/>
                <w:highlight w:val="none"/>
              </w:rPr>
              <w:t>量</w:t>
            </w:r>
          </w:p>
        </w:tc>
        <w:tc>
          <w:tcPr>
            <w:tcW w:w="4961" w:type="dxa"/>
            <w:tcBorders>
              <w:top w:val="single" w:color="auto" w:sz="6" w:space="0"/>
              <w:left w:val="nil"/>
              <w:bottom w:val="single" w:color="auto" w:sz="6" w:space="0"/>
              <w:right w:val="single" w:color="auto" w:sz="6" w:space="0"/>
            </w:tcBorders>
            <w:noWrap/>
            <w:vAlign w:val="center"/>
          </w:tcPr>
          <w:p w14:paraId="0F89CE95">
            <w:pPr>
              <w:ind w:left="-90"/>
              <w:jc w:val="center"/>
              <w:rPr>
                <w:rFonts w:ascii="宋体" w:hAnsi="宋体"/>
                <w:color w:val="auto"/>
                <w:spacing w:val="-1"/>
                <w:kern w:val="0"/>
                <w:highlight w:val="none"/>
              </w:rPr>
            </w:pPr>
            <w:r>
              <w:rPr>
                <w:rFonts w:hint="eastAsia" w:ascii="宋体" w:hAnsi="宋体"/>
                <w:color w:val="auto"/>
                <w:spacing w:val="-1"/>
                <w:kern w:val="0"/>
                <w:highlight w:val="none"/>
              </w:rPr>
              <w:t>资 格 要 求</w:t>
            </w:r>
          </w:p>
        </w:tc>
        <w:tc>
          <w:tcPr>
            <w:tcW w:w="2615" w:type="dxa"/>
            <w:tcBorders>
              <w:top w:val="single" w:color="auto" w:sz="6" w:space="0"/>
              <w:left w:val="nil"/>
              <w:bottom w:val="single" w:color="auto" w:sz="6" w:space="0"/>
              <w:right w:val="single" w:color="auto" w:sz="6" w:space="0"/>
            </w:tcBorders>
            <w:noWrap/>
            <w:vAlign w:val="center"/>
          </w:tcPr>
          <w:p w14:paraId="4016C4CA">
            <w:pPr>
              <w:ind w:left="-90"/>
              <w:jc w:val="center"/>
              <w:rPr>
                <w:rFonts w:ascii="宋体" w:hAnsi="宋体"/>
                <w:color w:val="auto"/>
                <w:spacing w:val="-1"/>
                <w:kern w:val="0"/>
                <w:highlight w:val="none"/>
              </w:rPr>
            </w:pPr>
            <w:r>
              <w:rPr>
                <w:rFonts w:hint="eastAsia" w:ascii="宋体" w:hAnsi="宋体"/>
                <w:color w:val="auto"/>
                <w:spacing w:val="-1"/>
                <w:kern w:val="0"/>
                <w:highlight w:val="none"/>
              </w:rPr>
              <w:t>在岗要求</w:t>
            </w:r>
          </w:p>
        </w:tc>
      </w:tr>
      <w:tr w14:paraId="7FF30493">
        <w:tblPrEx>
          <w:tblCellMar>
            <w:top w:w="0" w:type="dxa"/>
            <w:left w:w="108" w:type="dxa"/>
            <w:bottom w:w="0" w:type="dxa"/>
            <w:right w:w="108" w:type="dxa"/>
          </w:tblCellMar>
        </w:tblPrEx>
        <w:trPr>
          <w:trHeight w:val="2522" w:hRule="atLeast"/>
          <w:jc w:val="center"/>
        </w:trPr>
        <w:tc>
          <w:tcPr>
            <w:tcW w:w="1435" w:type="dxa"/>
            <w:tcBorders>
              <w:top w:val="single" w:color="auto" w:sz="6" w:space="0"/>
              <w:left w:val="single" w:color="auto" w:sz="6" w:space="0"/>
              <w:bottom w:val="single" w:color="auto" w:sz="6" w:space="0"/>
              <w:right w:val="single" w:color="auto" w:sz="6" w:space="0"/>
            </w:tcBorders>
            <w:noWrap/>
            <w:vAlign w:val="center"/>
          </w:tcPr>
          <w:p w14:paraId="0957298E">
            <w:pPr>
              <w:spacing w:line="320" w:lineRule="exact"/>
              <w:jc w:val="center"/>
              <w:rPr>
                <w:rFonts w:ascii="宋体" w:hAnsi="宋体"/>
                <w:color w:val="auto"/>
                <w:highlight w:val="none"/>
              </w:rPr>
            </w:pPr>
            <w:r>
              <w:rPr>
                <w:rFonts w:hint="eastAsia" w:ascii="宋体" w:hAnsi="宋体"/>
                <w:color w:val="auto"/>
                <w:highlight w:val="none"/>
              </w:rPr>
              <w:t>项目经理</w:t>
            </w:r>
          </w:p>
        </w:tc>
        <w:tc>
          <w:tcPr>
            <w:tcW w:w="709" w:type="dxa"/>
            <w:tcBorders>
              <w:top w:val="single" w:color="auto" w:sz="6" w:space="0"/>
              <w:left w:val="nil"/>
              <w:bottom w:val="single" w:color="auto" w:sz="6" w:space="0"/>
              <w:right w:val="single" w:color="auto" w:sz="6" w:space="0"/>
            </w:tcBorders>
            <w:noWrap/>
            <w:vAlign w:val="center"/>
          </w:tcPr>
          <w:p w14:paraId="2E7A3FC6">
            <w:pPr>
              <w:spacing w:line="320" w:lineRule="exact"/>
              <w:jc w:val="center"/>
              <w:rPr>
                <w:rFonts w:ascii="宋体" w:hAnsi="宋体"/>
                <w:color w:val="auto"/>
                <w:highlight w:val="none"/>
              </w:rPr>
            </w:pPr>
            <w:r>
              <w:rPr>
                <w:rFonts w:hint="eastAsia" w:ascii="宋体" w:hAnsi="宋体"/>
                <w:color w:val="auto"/>
                <w:highlight w:val="none"/>
              </w:rPr>
              <w:t>1</w:t>
            </w:r>
          </w:p>
        </w:tc>
        <w:tc>
          <w:tcPr>
            <w:tcW w:w="4961" w:type="dxa"/>
            <w:tcBorders>
              <w:top w:val="single" w:color="auto" w:sz="6" w:space="0"/>
              <w:left w:val="nil"/>
              <w:bottom w:val="nil"/>
              <w:right w:val="single" w:color="auto" w:sz="6" w:space="0"/>
            </w:tcBorders>
            <w:noWrap/>
            <w:vAlign w:val="center"/>
          </w:tcPr>
          <w:p w14:paraId="7BEF1523">
            <w:pPr>
              <w:keepNext w:val="0"/>
              <w:keepLines w:val="0"/>
              <w:pageBreakBefore w:val="0"/>
              <w:kinsoku/>
              <w:overflowPunct/>
              <w:topLinePunct w:val="0"/>
              <w:autoSpaceDE/>
              <w:autoSpaceDN/>
              <w:bidi w:val="0"/>
              <w:adjustRightInd/>
              <w:snapToGrid/>
              <w:spacing w:line="382" w:lineRule="auto"/>
              <w:ind w:firstLine="420" w:firstLineChars="200"/>
              <w:jc w:val="left"/>
              <w:textAlignment w:val="auto"/>
              <w:rPr>
                <w:rFonts w:ascii="宋体" w:hAnsi="宋体"/>
                <w:color w:val="auto"/>
                <w:highlight w:val="none"/>
              </w:rPr>
            </w:pPr>
            <w:r>
              <w:rPr>
                <w:rFonts w:hint="eastAsia" w:ascii="宋体" w:hAnsi="宋体" w:eastAsia="宋体" w:cs="宋体"/>
                <w:color w:val="auto"/>
                <w:kern w:val="2"/>
                <w:sz w:val="21"/>
                <w:szCs w:val="21"/>
                <w:highlight w:val="none"/>
                <w:lang w:val="en-US" w:eastAsia="zh-CN" w:bidi="ar-SA"/>
              </w:rPr>
              <w:t>拟派项目经理</w:t>
            </w:r>
            <w:r>
              <w:rPr>
                <w:rFonts w:hint="eastAsia" w:ascii="宋体" w:hAnsi="宋体" w:eastAsia="宋体" w:cs="宋体"/>
                <w:color w:val="auto"/>
                <w:sz w:val="21"/>
                <w:szCs w:val="21"/>
                <w:highlight w:val="none"/>
                <w:lang w:val="en-US" w:eastAsia="zh-CN"/>
              </w:rPr>
              <w:t>须具有公路工程专业贰级及以上注册建造师执业资格</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且具备有效的安全生产考核合格证书</w:t>
            </w:r>
            <w:r>
              <w:rPr>
                <w:rFonts w:hint="eastAsia" w:ascii="宋体" w:hAnsi="宋体" w:cs="宋体"/>
                <w:color w:val="000000"/>
                <w:sz w:val="21"/>
                <w:szCs w:val="21"/>
                <w:highlight w:val="none"/>
                <w:lang w:val="en-US" w:eastAsia="zh-CN"/>
              </w:rPr>
              <w:t>（B证）</w:t>
            </w:r>
            <w:r>
              <w:rPr>
                <w:rFonts w:hint="eastAsia" w:ascii="宋体" w:hAnsi="宋体" w:eastAsia="宋体" w:cs="宋体"/>
                <w:color w:val="auto"/>
                <w:kern w:val="2"/>
                <w:sz w:val="21"/>
                <w:szCs w:val="21"/>
                <w:highlight w:val="none"/>
                <w:lang w:val="en-US" w:eastAsia="zh-CN" w:bidi="ar-SA"/>
              </w:rPr>
              <w:t>。投标人应出具拟派项目经理无在建承诺书（格式自拟）</w:t>
            </w:r>
            <w:r>
              <w:rPr>
                <w:rFonts w:hint="eastAsia" w:ascii="宋体" w:hAnsi="宋体" w:cs="宋体"/>
                <w:color w:val="auto"/>
                <w:kern w:val="2"/>
                <w:sz w:val="21"/>
                <w:szCs w:val="21"/>
                <w:highlight w:val="none"/>
                <w:lang w:val="en-US" w:eastAsia="zh-CN" w:bidi="ar-SA"/>
              </w:rPr>
              <w:t>，提供劳动合同和近六个月社保缴纳证明材料。</w:t>
            </w:r>
          </w:p>
        </w:tc>
        <w:tc>
          <w:tcPr>
            <w:tcW w:w="2615" w:type="dxa"/>
            <w:vMerge w:val="restart"/>
            <w:tcBorders>
              <w:top w:val="nil"/>
              <w:left w:val="nil"/>
              <w:bottom w:val="nil"/>
              <w:right w:val="single" w:color="auto" w:sz="6" w:space="0"/>
            </w:tcBorders>
            <w:noWrap/>
            <w:vAlign w:val="center"/>
          </w:tcPr>
          <w:p w14:paraId="59B89C29">
            <w:pPr>
              <w:spacing w:line="320" w:lineRule="exact"/>
              <w:rPr>
                <w:rFonts w:ascii="宋体" w:hAnsi="宋体"/>
                <w:color w:val="auto"/>
                <w:highlight w:val="none"/>
              </w:rPr>
            </w:pPr>
            <w:r>
              <w:rPr>
                <w:rFonts w:hint="eastAsia" w:ascii="宋体" w:hAnsi="宋体"/>
                <w:color w:val="auto"/>
                <w:highlight w:val="none"/>
              </w:rPr>
              <w:t>无在岗项目（指目前未在其他项目上任职）</w:t>
            </w:r>
          </w:p>
        </w:tc>
      </w:tr>
      <w:tr w14:paraId="0DEA8CC9">
        <w:tblPrEx>
          <w:tblCellMar>
            <w:top w:w="0" w:type="dxa"/>
            <w:left w:w="108" w:type="dxa"/>
            <w:bottom w:w="0" w:type="dxa"/>
            <w:right w:w="108" w:type="dxa"/>
          </w:tblCellMar>
        </w:tblPrEx>
        <w:trPr>
          <w:trHeight w:val="1816" w:hRule="atLeast"/>
          <w:jc w:val="center"/>
        </w:trPr>
        <w:tc>
          <w:tcPr>
            <w:tcW w:w="1435" w:type="dxa"/>
            <w:tcBorders>
              <w:top w:val="single" w:color="auto" w:sz="6" w:space="0"/>
              <w:left w:val="single" w:color="auto" w:sz="6" w:space="0"/>
              <w:bottom w:val="single" w:color="auto" w:sz="4" w:space="0"/>
              <w:right w:val="single" w:color="auto" w:sz="6" w:space="0"/>
            </w:tcBorders>
            <w:noWrap/>
            <w:vAlign w:val="center"/>
          </w:tcPr>
          <w:p w14:paraId="4D92DD3F">
            <w:pPr>
              <w:spacing w:line="320" w:lineRule="exact"/>
              <w:jc w:val="center"/>
              <w:rPr>
                <w:rFonts w:ascii="宋体" w:hAnsi="宋体"/>
                <w:color w:val="auto"/>
                <w:highlight w:val="none"/>
              </w:rPr>
            </w:pPr>
            <w:r>
              <w:rPr>
                <w:rFonts w:hint="eastAsia" w:ascii="宋体" w:hAnsi="宋体"/>
                <w:color w:val="auto"/>
                <w:highlight w:val="none"/>
              </w:rPr>
              <w:t>项目总工</w:t>
            </w:r>
          </w:p>
        </w:tc>
        <w:tc>
          <w:tcPr>
            <w:tcW w:w="709" w:type="dxa"/>
            <w:tcBorders>
              <w:top w:val="single" w:color="auto" w:sz="6" w:space="0"/>
              <w:left w:val="nil"/>
              <w:bottom w:val="single" w:color="auto" w:sz="4" w:space="0"/>
              <w:right w:val="single" w:color="auto" w:sz="6" w:space="0"/>
            </w:tcBorders>
            <w:noWrap/>
            <w:vAlign w:val="center"/>
          </w:tcPr>
          <w:p w14:paraId="20247317">
            <w:pPr>
              <w:spacing w:line="320" w:lineRule="exact"/>
              <w:jc w:val="center"/>
              <w:rPr>
                <w:rFonts w:ascii="宋体" w:hAnsi="宋体"/>
                <w:color w:val="auto"/>
                <w:highlight w:val="none"/>
              </w:rPr>
            </w:pPr>
            <w:r>
              <w:rPr>
                <w:rFonts w:hint="eastAsia" w:ascii="宋体" w:hAnsi="宋体"/>
                <w:color w:val="auto"/>
                <w:highlight w:val="none"/>
              </w:rPr>
              <w:t>1</w:t>
            </w:r>
          </w:p>
        </w:tc>
        <w:tc>
          <w:tcPr>
            <w:tcW w:w="4961" w:type="dxa"/>
            <w:tcBorders>
              <w:top w:val="single" w:color="auto" w:sz="6" w:space="0"/>
              <w:left w:val="nil"/>
              <w:bottom w:val="single" w:color="auto" w:sz="4" w:space="0"/>
              <w:right w:val="single" w:color="auto" w:sz="6" w:space="0"/>
            </w:tcBorders>
            <w:noWrap/>
            <w:vAlign w:val="center"/>
          </w:tcPr>
          <w:p w14:paraId="7C0390F0">
            <w:pPr>
              <w:keepNext w:val="0"/>
              <w:keepLines w:val="0"/>
              <w:pageBreakBefore w:val="0"/>
              <w:kinsoku/>
              <w:overflowPunct/>
              <w:topLinePunct w:val="0"/>
              <w:autoSpaceDE/>
              <w:autoSpaceDN/>
              <w:bidi w:val="0"/>
              <w:adjustRightInd/>
              <w:snapToGrid/>
              <w:spacing w:line="382" w:lineRule="auto"/>
              <w:ind w:firstLine="420" w:firstLineChars="200"/>
              <w:jc w:val="left"/>
              <w:textAlignment w:val="auto"/>
              <w:rPr>
                <w:rFonts w:ascii="宋体" w:hAnsi="宋体"/>
                <w:color w:val="auto"/>
                <w:highlight w:val="none"/>
              </w:rPr>
            </w:pPr>
            <w:r>
              <w:rPr>
                <w:rFonts w:hint="eastAsia" w:ascii="宋体" w:hAnsi="宋体" w:eastAsia="宋体" w:cs="宋体"/>
                <w:color w:val="auto"/>
                <w:kern w:val="2"/>
                <w:sz w:val="21"/>
                <w:szCs w:val="21"/>
                <w:highlight w:val="none"/>
                <w:lang w:val="en-US" w:eastAsia="zh-CN" w:bidi="ar-SA"/>
              </w:rPr>
              <w:t>拟派项目总工须具有</w:t>
            </w:r>
            <w:r>
              <w:rPr>
                <w:rFonts w:hint="eastAsia" w:ascii="宋体" w:hAnsi="宋体" w:cs="宋体"/>
                <w:color w:val="auto"/>
                <w:kern w:val="2"/>
                <w:sz w:val="21"/>
                <w:szCs w:val="21"/>
                <w:highlight w:val="none"/>
                <w:lang w:val="en-US" w:eastAsia="zh-CN" w:bidi="ar-SA"/>
              </w:rPr>
              <w:t>交通或</w:t>
            </w:r>
            <w:r>
              <w:rPr>
                <w:rFonts w:hint="eastAsia" w:ascii="宋体" w:hAnsi="宋体" w:eastAsia="宋体" w:cs="宋体"/>
                <w:color w:val="auto"/>
                <w:kern w:val="2"/>
                <w:sz w:val="21"/>
                <w:szCs w:val="21"/>
                <w:highlight w:val="none"/>
                <w:lang w:val="en-US" w:eastAsia="zh-CN" w:bidi="ar-SA"/>
              </w:rPr>
              <w:t>公路</w:t>
            </w:r>
            <w:r>
              <w:rPr>
                <w:rFonts w:hint="eastAsia" w:ascii="宋体" w:hAnsi="宋体" w:cs="宋体"/>
                <w:color w:val="auto"/>
                <w:kern w:val="2"/>
                <w:sz w:val="21"/>
                <w:szCs w:val="21"/>
                <w:highlight w:val="none"/>
                <w:lang w:val="en-US" w:eastAsia="zh-CN" w:bidi="ar-SA"/>
              </w:rPr>
              <w:t>工程</w:t>
            </w:r>
            <w:r>
              <w:rPr>
                <w:rFonts w:hint="eastAsia" w:ascii="宋体" w:hAnsi="宋体" w:eastAsia="宋体" w:cs="宋体"/>
                <w:color w:val="auto"/>
                <w:kern w:val="2"/>
                <w:sz w:val="21"/>
                <w:szCs w:val="21"/>
                <w:highlight w:val="none"/>
                <w:lang w:val="en-US" w:eastAsia="zh-CN" w:bidi="ar-SA"/>
              </w:rPr>
              <w:t>相关</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专业</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中</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级及以</w:t>
            </w:r>
            <w:r>
              <w:rPr>
                <w:rFonts w:hint="eastAsia" w:ascii="宋体" w:hAnsi="宋体" w:eastAsia="宋体" w:cs="宋体"/>
                <w:color w:val="auto"/>
                <w:kern w:val="2"/>
                <w:sz w:val="21"/>
                <w:szCs w:val="21"/>
                <w:highlight w:val="none"/>
                <w:lang w:val="en-US" w:eastAsia="zh-CN" w:bidi="ar-SA"/>
              </w:rPr>
              <w:t>上</w:t>
            </w:r>
            <w:r>
              <w:rPr>
                <w:rFonts w:hint="eastAsia" w:ascii="宋体" w:hAnsi="宋体" w:cs="宋体"/>
                <w:color w:val="auto"/>
                <w:kern w:val="2"/>
                <w:sz w:val="21"/>
                <w:szCs w:val="21"/>
                <w:highlight w:val="none"/>
                <w:lang w:val="en-US" w:eastAsia="zh-CN" w:bidi="ar-SA"/>
              </w:rPr>
              <w:t>技术</w:t>
            </w:r>
            <w:r>
              <w:rPr>
                <w:rFonts w:hint="eastAsia" w:ascii="宋体" w:hAnsi="宋体" w:eastAsia="宋体" w:cs="宋体"/>
                <w:color w:val="auto"/>
                <w:kern w:val="2"/>
                <w:sz w:val="21"/>
                <w:szCs w:val="21"/>
                <w:highlight w:val="none"/>
                <w:lang w:val="en-US" w:eastAsia="zh-CN" w:bidi="ar-SA"/>
              </w:rPr>
              <w:t>职称证书</w:t>
            </w:r>
            <w:r>
              <w:rPr>
                <w:rFonts w:hint="eastAsia" w:ascii="宋体" w:hAnsi="宋体" w:cs="宋体"/>
                <w:color w:val="auto"/>
                <w:kern w:val="2"/>
                <w:sz w:val="21"/>
                <w:szCs w:val="21"/>
                <w:highlight w:val="none"/>
                <w:lang w:val="en-US" w:eastAsia="zh-CN" w:bidi="ar-SA"/>
              </w:rPr>
              <w:t>，提供劳动合同和近六个月社保缴纳证明材料。</w:t>
            </w:r>
          </w:p>
        </w:tc>
        <w:tc>
          <w:tcPr>
            <w:tcW w:w="2615" w:type="dxa"/>
            <w:vMerge w:val="continue"/>
            <w:tcBorders>
              <w:top w:val="nil"/>
              <w:left w:val="nil"/>
              <w:bottom w:val="single" w:color="auto" w:sz="4" w:space="0"/>
              <w:right w:val="single" w:color="auto" w:sz="6" w:space="0"/>
            </w:tcBorders>
            <w:vAlign w:val="center"/>
          </w:tcPr>
          <w:p w14:paraId="4A6C4F62">
            <w:pPr>
              <w:widowControl/>
              <w:jc w:val="left"/>
              <w:rPr>
                <w:rFonts w:ascii="宋体" w:hAnsi="宋体"/>
                <w:color w:val="auto"/>
                <w:highlight w:val="none"/>
              </w:rPr>
            </w:pPr>
          </w:p>
        </w:tc>
      </w:tr>
    </w:tbl>
    <w:p w14:paraId="377A6E8A">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784606BC">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19C6D41D">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68E3B194">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577C9976">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31A1B753">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11DF556D">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2546FEA2">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3ACCA71B">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6279EF1E">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3B617897">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437D4BA5">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6625B01F">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20F39D5A">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5B0D8650">
      <w:pPr>
        <w:spacing w:line="360" w:lineRule="auto"/>
        <w:ind w:firstLine="420" w:firstLineChars="200"/>
        <w:rPr>
          <w:rFonts w:ascii="宋体" w:hAnsi="宋体"/>
          <w:color w:val="auto"/>
          <w:highlight w:val="none"/>
        </w:rPr>
      </w:pPr>
      <w:r>
        <w:rPr>
          <w:rFonts w:hint="eastAsia" w:ascii="宋体" w:hAnsi="宋体"/>
          <w:color w:val="auto"/>
          <w:highlight w:val="none"/>
        </w:rPr>
        <w:t xml:space="preserve"> </w:t>
      </w:r>
    </w:p>
    <w:p w14:paraId="4D1873CD">
      <w:pPr>
        <w:pStyle w:val="34"/>
        <w:spacing w:line="360" w:lineRule="auto"/>
        <w:rPr>
          <w:rFonts w:ascii="宋体" w:hAnsi="宋体" w:eastAsia="宋体"/>
          <w:b/>
          <w:color w:val="auto"/>
          <w:highlight w:val="none"/>
        </w:rPr>
      </w:pPr>
      <w:r>
        <w:rPr>
          <w:rFonts w:hint="eastAsia" w:ascii="宋体" w:hAnsi="宋体"/>
          <w:b/>
          <w:color w:val="auto"/>
          <w:sz w:val="28"/>
          <w:szCs w:val="28"/>
          <w:highlight w:val="none"/>
        </w:rPr>
        <w:br w:type="page"/>
      </w:r>
      <w:bookmarkStart w:id="26" w:name="_Toc25488"/>
      <w:bookmarkEnd w:id="26"/>
      <w:bookmarkStart w:id="27" w:name="_Toc16778738"/>
      <w:bookmarkEnd w:id="27"/>
      <w:bookmarkStart w:id="28" w:name="_Toc9345"/>
      <w:bookmarkEnd w:id="28"/>
      <w:bookmarkStart w:id="29" w:name="_Toc11700"/>
      <w:r>
        <w:rPr>
          <w:rFonts w:hint="eastAsia" w:ascii="宋体" w:hAnsi="宋体" w:eastAsia="宋体"/>
          <w:b/>
          <w:color w:val="auto"/>
          <w:highlight w:val="none"/>
        </w:rPr>
        <w:t>1. 总则</w:t>
      </w:r>
      <w:bookmarkEnd w:id="29"/>
    </w:p>
    <w:p w14:paraId="084A75C5">
      <w:pPr>
        <w:pStyle w:val="35"/>
        <w:spacing w:line="360" w:lineRule="auto"/>
        <w:rPr>
          <w:rFonts w:ascii="宋体" w:hAnsi="宋体" w:eastAsia="宋体"/>
          <w:b/>
          <w:color w:val="auto"/>
          <w:highlight w:val="none"/>
        </w:rPr>
      </w:pPr>
      <w:bookmarkStart w:id="30" w:name="_Toc179632547"/>
      <w:bookmarkEnd w:id="30"/>
      <w:bookmarkStart w:id="31" w:name="_Toc152042306"/>
      <w:bookmarkEnd w:id="31"/>
      <w:bookmarkStart w:id="32" w:name="_Toc144974498"/>
      <w:bookmarkEnd w:id="32"/>
      <w:bookmarkStart w:id="33" w:name="_Toc102"/>
      <w:bookmarkEnd w:id="33"/>
      <w:bookmarkStart w:id="34" w:name="_Toc16778739"/>
      <w:bookmarkEnd w:id="34"/>
      <w:bookmarkStart w:id="35" w:name="_Toc152045530"/>
      <w:bookmarkEnd w:id="35"/>
      <w:bookmarkStart w:id="36" w:name="_Toc2254"/>
      <w:r>
        <w:rPr>
          <w:rFonts w:hint="eastAsia" w:ascii="宋体" w:hAnsi="宋体" w:eastAsia="宋体"/>
          <w:b/>
          <w:color w:val="auto"/>
          <w:highlight w:val="none"/>
        </w:rPr>
        <w:t xml:space="preserve">1.1 </w:t>
      </w:r>
      <w:bookmarkEnd w:id="36"/>
      <w:r>
        <w:rPr>
          <w:rFonts w:hint="eastAsia" w:ascii="宋体" w:hAnsi="宋体" w:eastAsia="宋体"/>
          <w:b/>
          <w:color w:val="auto"/>
          <w:highlight w:val="none"/>
        </w:rPr>
        <w:t>项目概况</w:t>
      </w:r>
    </w:p>
    <w:p w14:paraId="43CFFF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1.1.1 根据《中华人民共和国招标投标法》《中华人民共和国招标投标法实施条例》《公路工程建设项目招标投标管理办法》等有关法律、法规和规章的规定，本招标项目己具备招标条件，现对本标段施工进行招标。</w:t>
      </w:r>
    </w:p>
    <w:p w14:paraId="7A63CF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1.1.2 本招标项目招标人：见投标人须知前附表。</w:t>
      </w:r>
    </w:p>
    <w:p w14:paraId="098F4B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1.1.3 本标段招标代理机构：见投标人须知前附表。</w:t>
      </w:r>
    </w:p>
    <w:p w14:paraId="240072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1.1.4 本招标项目名称：见投标人须知前附表。</w:t>
      </w:r>
    </w:p>
    <w:p w14:paraId="13C5117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1.1.5 本标段建设地点：见投标人须知前附表。</w:t>
      </w:r>
    </w:p>
    <w:p w14:paraId="41BCCE36">
      <w:pPr>
        <w:pStyle w:val="35"/>
        <w:spacing w:line="360" w:lineRule="auto"/>
        <w:rPr>
          <w:rFonts w:ascii="宋体" w:hAnsi="宋体" w:eastAsia="宋体"/>
          <w:b/>
          <w:color w:val="auto"/>
          <w:highlight w:val="none"/>
        </w:rPr>
      </w:pPr>
      <w:bookmarkStart w:id="37" w:name="_Toc152042307"/>
      <w:bookmarkEnd w:id="37"/>
      <w:bookmarkStart w:id="38" w:name="_Toc5695"/>
      <w:bookmarkEnd w:id="38"/>
      <w:bookmarkStart w:id="39" w:name="_Toc16302"/>
      <w:bookmarkEnd w:id="39"/>
      <w:bookmarkStart w:id="40" w:name="_Toc16778740"/>
      <w:bookmarkEnd w:id="40"/>
      <w:bookmarkStart w:id="41" w:name="_Toc144974499"/>
      <w:bookmarkEnd w:id="41"/>
      <w:bookmarkStart w:id="42" w:name="_Toc152045531"/>
      <w:bookmarkEnd w:id="42"/>
      <w:bookmarkStart w:id="43" w:name="_Toc179632548"/>
      <w:r>
        <w:rPr>
          <w:rFonts w:hint="eastAsia" w:ascii="宋体" w:hAnsi="宋体" w:eastAsia="宋体"/>
          <w:b/>
          <w:color w:val="auto"/>
          <w:highlight w:val="none"/>
        </w:rPr>
        <w:t>1.2 招标项目的资金来源和落实情况</w:t>
      </w:r>
      <w:bookmarkEnd w:id="43"/>
    </w:p>
    <w:p w14:paraId="137ADF2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1.2.1资金来源及比例：见投标人须知前附表。</w:t>
      </w:r>
    </w:p>
    <w:p w14:paraId="318A92F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1.2.2资金落实情况：见投标人须知前附表。</w:t>
      </w:r>
    </w:p>
    <w:p w14:paraId="7DEEDC21">
      <w:pPr>
        <w:pStyle w:val="35"/>
        <w:spacing w:line="360" w:lineRule="auto"/>
        <w:rPr>
          <w:rFonts w:ascii="宋体" w:hAnsi="宋体" w:eastAsia="宋体"/>
          <w:b/>
          <w:color w:val="auto"/>
          <w:highlight w:val="none"/>
        </w:rPr>
      </w:pPr>
      <w:bookmarkStart w:id="44" w:name="_Toc179632549"/>
      <w:bookmarkEnd w:id="44"/>
      <w:bookmarkStart w:id="45" w:name="_Toc152045532"/>
      <w:bookmarkEnd w:id="45"/>
      <w:bookmarkStart w:id="46" w:name="_Toc21270"/>
      <w:bookmarkEnd w:id="46"/>
      <w:bookmarkStart w:id="47" w:name="_Toc144974500"/>
      <w:bookmarkEnd w:id="47"/>
      <w:bookmarkStart w:id="48" w:name="_Toc10616"/>
      <w:bookmarkEnd w:id="48"/>
      <w:bookmarkStart w:id="49" w:name="_Toc152042308"/>
      <w:bookmarkEnd w:id="49"/>
      <w:bookmarkStart w:id="50" w:name="_Toc16778741"/>
      <w:r>
        <w:rPr>
          <w:rFonts w:hint="eastAsia" w:ascii="宋体" w:hAnsi="宋体" w:eastAsia="宋体"/>
          <w:b/>
          <w:color w:val="auto"/>
          <w:highlight w:val="none"/>
        </w:rPr>
        <w:t>1.3 招标范围、计划工期和质量要求</w:t>
      </w:r>
      <w:bookmarkEnd w:id="50"/>
      <w:r>
        <w:rPr>
          <w:rFonts w:hint="eastAsia" w:ascii="宋体" w:hAnsi="宋体" w:eastAsia="宋体"/>
          <w:b/>
          <w:color w:val="auto"/>
          <w:highlight w:val="none"/>
        </w:rPr>
        <w:t>和安全目标</w:t>
      </w:r>
    </w:p>
    <w:p w14:paraId="7C837AB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1.3.1招标范围：见投标人须知前附表。</w:t>
      </w:r>
    </w:p>
    <w:p w14:paraId="379FC9F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1.3.2 本标段的计划工期：见投标人须知前附表。</w:t>
      </w:r>
    </w:p>
    <w:p w14:paraId="4410436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1.3.3 本标段的质量要求：见投标人须知前附表。</w:t>
      </w:r>
    </w:p>
    <w:p w14:paraId="0B835FF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1.3.4 本标段的安全目标：见投标人须知前附表。</w:t>
      </w:r>
    </w:p>
    <w:p w14:paraId="462533F7">
      <w:pPr>
        <w:pStyle w:val="35"/>
        <w:spacing w:line="360" w:lineRule="auto"/>
        <w:rPr>
          <w:rFonts w:ascii="宋体" w:hAnsi="宋体" w:eastAsia="宋体"/>
          <w:b/>
          <w:color w:val="auto"/>
          <w:highlight w:val="none"/>
        </w:rPr>
      </w:pPr>
      <w:bookmarkStart w:id="51" w:name="_Toc19470"/>
      <w:bookmarkEnd w:id="51"/>
      <w:bookmarkStart w:id="52" w:name="_Toc152045533"/>
      <w:bookmarkEnd w:id="52"/>
      <w:bookmarkStart w:id="53" w:name="_Toc179632550"/>
      <w:bookmarkEnd w:id="53"/>
      <w:bookmarkStart w:id="54" w:name="_Toc144974501"/>
      <w:bookmarkEnd w:id="54"/>
      <w:bookmarkStart w:id="55" w:name="_Toc5916"/>
      <w:bookmarkEnd w:id="55"/>
      <w:bookmarkStart w:id="56" w:name="_Toc16778742"/>
      <w:bookmarkEnd w:id="56"/>
      <w:bookmarkStart w:id="57" w:name="_Toc152042309"/>
      <w:r>
        <w:rPr>
          <w:rFonts w:hint="eastAsia" w:ascii="宋体" w:hAnsi="宋体" w:eastAsia="宋体"/>
          <w:b/>
          <w:color w:val="auto"/>
          <w:highlight w:val="none"/>
        </w:rPr>
        <w:t>1.4 投标人资格要求</w:t>
      </w:r>
      <w:bookmarkEnd w:id="57"/>
    </w:p>
    <w:p w14:paraId="3377107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1.4.1 投标人应具备承担本标段施工的资质条件、能力和信誉。</w:t>
      </w:r>
    </w:p>
    <w:p w14:paraId="398676F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（1）资质要求：见投标人须知前附表；</w:t>
      </w:r>
    </w:p>
    <w:p w14:paraId="145ECFA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（2）财务要求：见投标人须知前附表；</w:t>
      </w:r>
    </w:p>
    <w:p w14:paraId="743C2A6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（3）业绩要求：见投标人须知前附表；</w:t>
      </w:r>
    </w:p>
    <w:p w14:paraId="36643A3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（4）信誉要求：见投标人须知前附表；</w:t>
      </w:r>
    </w:p>
    <w:p w14:paraId="05BEE46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（5）项目经理和项目总工资格：见投标人须知前附表；</w:t>
      </w:r>
    </w:p>
    <w:p w14:paraId="5C04B37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（6）其他要求：见投标人须知前附表。</w:t>
      </w:r>
    </w:p>
    <w:p w14:paraId="2B57F31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需要提交的相关证明材料见本章第3.5款的规定。</w:t>
      </w:r>
    </w:p>
    <w:p w14:paraId="43DCBFE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1.4.2（不适用）</w:t>
      </w:r>
    </w:p>
    <w:p w14:paraId="14EE1D6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1.4.3 投标人不得与本标段相关单位存在下列关联关系：</w:t>
      </w:r>
    </w:p>
    <w:p w14:paraId="3AF0D9E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（1）为招标人不具有独立法人资格的附属机构（单位）；</w:t>
      </w:r>
    </w:p>
    <w:p w14:paraId="03361BE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（2）与招标人存在利害关系且可能影响招标公正性；</w:t>
      </w:r>
    </w:p>
    <w:p w14:paraId="6426F55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（3）与本标段的其他投标人同为一个单位负责人；</w:t>
      </w:r>
    </w:p>
    <w:p w14:paraId="46AC5CF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（4）与本标段的其他投标人存在控股、管理关系；</w:t>
      </w:r>
    </w:p>
    <w:p w14:paraId="5426B3F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（5）为本标段前期准备提供设计或咨询服务的法人或其任何附属机构（单位）；</w:t>
      </w:r>
    </w:p>
    <w:p w14:paraId="311FB9C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（6）为本标段的监理人；</w:t>
      </w:r>
    </w:p>
    <w:p w14:paraId="53B6EDB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（7）为本标段的代建人；</w:t>
      </w:r>
    </w:p>
    <w:p w14:paraId="5B85DD4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（8）为本标段的招标代理机构；</w:t>
      </w:r>
    </w:p>
    <w:p w14:paraId="30F1FCC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（9）与本标段的监理人或代建人或招标代理机构同为一个法定代表人；</w:t>
      </w:r>
    </w:p>
    <w:p w14:paraId="43FF1E3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（10）与本标段的监理人或代建人或招标代理机构存在控股或参股关系；</w:t>
      </w:r>
    </w:p>
    <w:p w14:paraId="7EAC503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（11）法律法规或投标人须知前附表规定的其他情形。</w:t>
      </w:r>
    </w:p>
    <w:p w14:paraId="15B8194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1.4.4 投标人不得存在下列不良状况或不良信用记录：</w:t>
      </w:r>
    </w:p>
    <w:p w14:paraId="4305450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（1）被省级及以上交通运输主管部门取消招标项目所在地的投标资格且处于有效期内；</w:t>
      </w:r>
    </w:p>
    <w:p w14:paraId="0B48445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（2）被责令停业，暂扣或吊销执照，或吊销资质证书；</w:t>
      </w:r>
    </w:p>
    <w:p w14:paraId="64ABCED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（3）进入清算程序，或被宣告破产，或其他丧失履约能力的情形；</w:t>
      </w:r>
    </w:p>
    <w:p w14:paraId="458C263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（4）在国家企业信用信息公示系统（http://www.gsxt.gov.cn/）中被列入严重违法失信企业名单；</w:t>
      </w:r>
    </w:p>
    <w:p w14:paraId="7C3D176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（5）在“信用中国”网站（http://www.creditchina.gov.cn/）中</w:t>
      </w:r>
      <w:r>
        <w:rPr>
          <w:rFonts w:hint="eastAsia" w:ascii="宋体" w:hAnsi="宋体"/>
          <w:color w:val="auto"/>
          <w:sz w:val="24"/>
          <w:szCs w:val="24"/>
          <w:highlight w:val="none"/>
          <w:lang w:eastAsia="zh-CN"/>
        </w:rPr>
        <w:t>被列入</w:t>
      </w:r>
      <w:r>
        <w:rPr>
          <w:rFonts w:hint="eastAsia" w:ascii="宋体" w:hAnsi="宋体"/>
          <w:color w:val="auto"/>
          <w:sz w:val="24"/>
          <w:szCs w:val="24"/>
          <w:highlight w:val="none"/>
        </w:rPr>
        <w:t>失信被执行人</w:t>
      </w:r>
      <w:r>
        <w:rPr>
          <w:rFonts w:hint="eastAsia" w:ascii="宋体" w:hAnsi="宋体"/>
          <w:color w:val="auto"/>
          <w:sz w:val="24"/>
          <w:szCs w:val="24"/>
          <w:highlight w:val="none"/>
          <w:lang w:eastAsia="zh-CN"/>
        </w:rPr>
        <w:t>名单；</w:t>
      </w:r>
    </w:p>
    <w:p w14:paraId="30F1F44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（6）法律法规或投标人须知前附表规定的其他情形。</w:t>
      </w:r>
    </w:p>
    <w:p w14:paraId="3C054083">
      <w:pPr>
        <w:pStyle w:val="35"/>
        <w:spacing w:line="360" w:lineRule="auto"/>
        <w:rPr>
          <w:rFonts w:ascii="宋体" w:hAnsi="宋体" w:eastAsia="宋体"/>
          <w:b/>
          <w:color w:val="auto"/>
          <w:highlight w:val="none"/>
        </w:rPr>
      </w:pPr>
      <w:bookmarkStart w:id="58" w:name="_Toc152042311"/>
      <w:bookmarkEnd w:id="58"/>
      <w:bookmarkStart w:id="59" w:name="_Toc14936"/>
      <w:bookmarkEnd w:id="59"/>
      <w:bookmarkStart w:id="60" w:name="_Toc179632552"/>
      <w:bookmarkEnd w:id="60"/>
      <w:bookmarkStart w:id="61" w:name="_Toc16778743"/>
      <w:bookmarkEnd w:id="61"/>
      <w:bookmarkStart w:id="62" w:name="_Toc152045535"/>
      <w:bookmarkEnd w:id="62"/>
      <w:bookmarkStart w:id="63" w:name="_Toc25310"/>
      <w:bookmarkEnd w:id="63"/>
      <w:bookmarkStart w:id="64" w:name="_Toc144974503"/>
      <w:r>
        <w:rPr>
          <w:rFonts w:hint="eastAsia" w:ascii="宋体" w:hAnsi="宋体" w:eastAsia="宋体"/>
          <w:b/>
          <w:color w:val="auto"/>
          <w:highlight w:val="none"/>
        </w:rPr>
        <w:t>1.5 费用承担</w:t>
      </w:r>
      <w:bookmarkEnd w:id="64"/>
    </w:p>
    <w:p w14:paraId="6089919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投标人准备和参加投标活动发生的费用自理。</w:t>
      </w:r>
    </w:p>
    <w:p w14:paraId="32C131F6">
      <w:pPr>
        <w:pStyle w:val="35"/>
        <w:spacing w:line="360" w:lineRule="auto"/>
        <w:rPr>
          <w:rFonts w:ascii="宋体" w:hAnsi="宋体" w:eastAsia="宋体"/>
          <w:b/>
          <w:color w:val="auto"/>
          <w:highlight w:val="none"/>
        </w:rPr>
      </w:pPr>
      <w:bookmarkStart w:id="65" w:name="_Toc152045536"/>
      <w:bookmarkEnd w:id="65"/>
      <w:bookmarkStart w:id="66" w:name="_Toc1897"/>
      <w:bookmarkEnd w:id="66"/>
      <w:bookmarkStart w:id="67" w:name="_Toc179632553"/>
      <w:bookmarkEnd w:id="67"/>
      <w:bookmarkStart w:id="68" w:name="_Toc144974504"/>
      <w:bookmarkEnd w:id="68"/>
      <w:bookmarkStart w:id="69" w:name="_Toc152042312"/>
      <w:bookmarkEnd w:id="69"/>
      <w:bookmarkStart w:id="70" w:name="_Toc9705"/>
      <w:bookmarkEnd w:id="70"/>
      <w:bookmarkStart w:id="71" w:name="_Toc16778744"/>
      <w:r>
        <w:rPr>
          <w:rFonts w:hint="eastAsia" w:ascii="宋体" w:hAnsi="宋体" w:eastAsia="宋体"/>
          <w:b/>
          <w:color w:val="auto"/>
          <w:highlight w:val="none"/>
        </w:rPr>
        <w:t>1.6 保密</w:t>
      </w:r>
      <w:bookmarkEnd w:id="71"/>
    </w:p>
    <w:p w14:paraId="44752EF3">
      <w:pPr>
        <w:spacing w:line="360" w:lineRule="auto"/>
        <w:ind w:firstLine="480" w:firstLineChars="200"/>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auto"/>
          <w:sz w:val="24"/>
          <w:szCs w:val="24"/>
          <w:highlight w:val="none"/>
        </w:rPr>
        <w:t>参与招标投标</w:t>
      </w:r>
      <w:r>
        <w:rPr>
          <w:rFonts w:hint="eastAsia" w:ascii="宋体" w:hAnsi="宋体"/>
          <w:color w:val="000000" w:themeColor="text1"/>
          <w:sz w:val="24"/>
          <w:szCs w:val="24"/>
          <w:highlight w:val="none"/>
          <w14:textFill>
            <w14:solidFill>
              <w14:schemeClr w14:val="tx1"/>
            </w14:solidFill>
          </w14:textFill>
        </w:rPr>
        <w:t>活动的各方应对招标文件和投标文件中的商业和技术等秘密保密，否则应承担相应的法律</w:t>
      </w:r>
      <w:r>
        <w:rPr>
          <w:rFonts w:hint="eastAsia" w:ascii="宋体" w:hAnsi="宋体"/>
          <w:color w:val="auto"/>
          <w:sz w:val="24"/>
          <w:szCs w:val="24"/>
          <w:highlight w:val="none"/>
        </w:rPr>
        <w:t>责任</w:t>
      </w:r>
      <w:r>
        <w:rPr>
          <w:rFonts w:hint="eastAsia" w:ascii="宋体" w:hAnsi="宋体" w:eastAsia="宋体" w:cs="Times New Roman"/>
          <w:color w:val="auto"/>
          <w:sz w:val="24"/>
          <w:szCs w:val="24"/>
          <w:highlight w:val="none"/>
          <w:lang w:eastAsia="zh-CN"/>
        </w:rPr>
        <w:t>。</w:t>
      </w:r>
    </w:p>
    <w:p w14:paraId="6A60559E">
      <w:pPr>
        <w:pStyle w:val="35"/>
        <w:spacing w:line="360" w:lineRule="auto"/>
        <w:rPr>
          <w:rFonts w:ascii="宋体" w:hAnsi="宋体" w:eastAsia="宋体"/>
          <w:b/>
          <w:color w:val="auto"/>
          <w:highlight w:val="none"/>
        </w:rPr>
      </w:pPr>
      <w:bookmarkStart w:id="72" w:name="_Toc28868"/>
      <w:bookmarkEnd w:id="72"/>
      <w:bookmarkStart w:id="73" w:name="_Toc179632554"/>
      <w:bookmarkEnd w:id="73"/>
      <w:bookmarkStart w:id="74" w:name="_Toc14814"/>
      <w:bookmarkEnd w:id="74"/>
      <w:bookmarkStart w:id="75" w:name="_Toc16778745"/>
      <w:bookmarkEnd w:id="75"/>
      <w:bookmarkStart w:id="76" w:name="_Toc152042313"/>
      <w:bookmarkEnd w:id="76"/>
      <w:bookmarkStart w:id="77" w:name="_Toc152045537"/>
      <w:bookmarkEnd w:id="77"/>
      <w:bookmarkStart w:id="78" w:name="_Toc144974505"/>
      <w:r>
        <w:rPr>
          <w:rFonts w:hint="eastAsia" w:ascii="宋体" w:hAnsi="宋体" w:eastAsia="宋体"/>
          <w:b/>
          <w:color w:val="auto"/>
          <w:highlight w:val="none"/>
        </w:rPr>
        <w:t>1.7 语言</w:t>
      </w:r>
      <w:bookmarkEnd w:id="78"/>
      <w:r>
        <w:rPr>
          <w:rFonts w:hint="eastAsia" w:ascii="宋体" w:hAnsi="宋体" w:eastAsia="宋体"/>
          <w:b/>
          <w:color w:val="auto"/>
          <w:highlight w:val="none"/>
        </w:rPr>
        <w:t>文字</w:t>
      </w:r>
    </w:p>
    <w:p w14:paraId="5FD3BA3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招标投标文件使用的语言文字为中文。专用术语使用外文的，应附有中文注释。</w:t>
      </w:r>
    </w:p>
    <w:p w14:paraId="65406931">
      <w:pPr>
        <w:pStyle w:val="35"/>
        <w:spacing w:line="360" w:lineRule="auto"/>
        <w:rPr>
          <w:rFonts w:ascii="宋体" w:hAnsi="宋体" w:eastAsia="宋体"/>
          <w:b/>
          <w:color w:val="auto"/>
          <w:highlight w:val="none"/>
        </w:rPr>
      </w:pPr>
      <w:bookmarkStart w:id="79" w:name="_Toc16778746"/>
      <w:bookmarkEnd w:id="79"/>
      <w:bookmarkStart w:id="80" w:name="_Toc14008"/>
      <w:bookmarkEnd w:id="80"/>
      <w:bookmarkStart w:id="81" w:name="_Toc152042314"/>
      <w:bookmarkEnd w:id="81"/>
      <w:bookmarkStart w:id="82" w:name="_Toc152045538"/>
      <w:bookmarkEnd w:id="82"/>
      <w:bookmarkStart w:id="83" w:name="_Toc144974506"/>
      <w:bookmarkEnd w:id="83"/>
      <w:bookmarkStart w:id="84" w:name="_Toc14828"/>
      <w:bookmarkEnd w:id="84"/>
      <w:bookmarkStart w:id="85" w:name="_Toc179632555"/>
      <w:r>
        <w:rPr>
          <w:rFonts w:hint="eastAsia" w:ascii="宋体" w:hAnsi="宋体" w:eastAsia="宋体"/>
          <w:b/>
          <w:color w:val="auto"/>
          <w:highlight w:val="none"/>
        </w:rPr>
        <w:t>1.8 计量单位</w:t>
      </w:r>
      <w:bookmarkEnd w:id="85"/>
    </w:p>
    <w:p w14:paraId="38F251F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所有计量均采用中华人民共和国法定计量单位。</w:t>
      </w:r>
    </w:p>
    <w:p w14:paraId="52A9C79E">
      <w:pPr>
        <w:pStyle w:val="35"/>
        <w:spacing w:line="360" w:lineRule="auto"/>
        <w:rPr>
          <w:rFonts w:ascii="宋体" w:hAnsi="宋体" w:eastAsia="宋体"/>
          <w:b/>
          <w:color w:val="auto"/>
          <w:highlight w:val="none"/>
        </w:rPr>
      </w:pPr>
      <w:bookmarkStart w:id="86" w:name="_Toc144974507"/>
      <w:bookmarkEnd w:id="86"/>
      <w:bookmarkStart w:id="87" w:name="_Toc16778747"/>
      <w:bookmarkEnd w:id="87"/>
      <w:bookmarkStart w:id="88" w:name="_Toc28729"/>
      <w:bookmarkEnd w:id="88"/>
      <w:bookmarkStart w:id="89" w:name="_Toc152042315"/>
      <w:bookmarkEnd w:id="89"/>
      <w:bookmarkStart w:id="90" w:name="_Toc152045539"/>
      <w:bookmarkEnd w:id="90"/>
      <w:bookmarkStart w:id="91" w:name="_Toc179632556"/>
      <w:bookmarkEnd w:id="91"/>
      <w:bookmarkStart w:id="92" w:name="_Toc8171"/>
      <w:r>
        <w:rPr>
          <w:rFonts w:hint="eastAsia" w:ascii="宋体" w:hAnsi="宋体" w:eastAsia="宋体"/>
          <w:b/>
          <w:color w:val="auto"/>
          <w:highlight w:val="none"/>
        </w:rPr>
        <w:t>1.9 踏勘现场</w:t>
      </w:r>
      <w:bookmarkEnd w:id="92"/>
      <w:r>
        <w:rPr>
          <w:rFonts w:hint="eastAsia" w:ascii="宋体" w:hAnsi="宋体" w:eastAsia="宋体"/>
          <w:b/>
          <w:color w:val="auto"/>
          <w:highlight w:val="none"/>
        </w:rPr>
        <w:t>（不组织）</w:t>
      </w:r>
    </w:p>
    <w:p w14:paraId="579CA99B">
      <w:pPr>
        <w:pStyle w:val="35"/>
        <w:spacing w:line="360" w:lineRule="auto"/>
        <w:rPr>
          <w:rFonts w:ascii="宋体" w:hAnsi="宋体" w:eastAsia="宋体"/>
          <w:b/>
          <w:color w:val="auto"/>
          <w:highlight w:val="none"/>
        </w:rPr>
      </w:pPr>
      <w:bookmarkStart w:id="93" w:name="_Toc152045540"/>
      <w:bookmarkEnd w:id="93"/>
      <w:bookmarkStart w:id="94" w:name="_Toc26426"/>
      <w:bookmarkEnd w:id="94"/>
      <w:bookmarkStart w:id="95" w:name="_Toc179632557"/>
      <w:bookmarkEnd w:id="95"/>
      <w:bookmarkStart w:id="96" w:name="_Toc16778748"/>
      <w:bookmarkEnd w:id="96"/>
      <w:bookmarkStart w:id="97" w:name="_Toc144974508"/>
      <w:bookmarkEnd w:id="97"/>
      <w:bookmarkStart w:id="98" w:name="_Toc29624"/>
      <w:bookmarkEnd w:id="98"/>
      <w:bookmarkStart w:id="99" w:name="_Toc152042316"/>
      <w:r>
        <w:rPr>
          <w:rFonts w:hint="eastAsia" w:ascii="宋体" w:hAnsi="宋体" w:eastAsia="宋体"/>
          <w:b/>
          <w:color w:val="auto"/>
          <w:highlight w:val="none"/>
        </w:rPr>
        <w:t>1.10 投标预备会</w:t>
      </w:r>
      <w:bookmarkEnd w:id="99"/>
      <w:r>
        <w:rPr>
          <w:rFonts w:hint="eastAsia" w:ascii="宋体" w:hAnsi="宋体" w:eastAsia="宋体"/>
          <w:b/>
          <w:color w:val="auto"/>
          <w:highlight w:val="none"/>
        </w:rPr>
        <w:t>（不召开）</w:t>
      </w:r>
    </w:p>
    <w:p w14:paraId="28899A0C">
      <w:pPr>
        <w:pStyle w:val="35"/>
        <w:spacing w:line="360" w:lineRule="auto"/>
        <w:rPr>
          <w:rFonts w:ascii="宋体" w:hAnsi="宋体" w:eastAsia="宋体"/>
          <w:b/>
          <w:color w:val="auto"/>
          <w:highlight w:val="none"/>
        </w:rPr>
      </w:pPr>
      <w:bookmarkStart w:id="100" w:name="_Toc8951"/>
      <w:bookmarkEnd w:id="100"/>
      <w:bookmarkStart w:id="101" w:name="_Toc25095"/>
      <w:bookmarkEnd w:id="101"/>
      <w:bookmarkStart w:id="102" w:name="_Toc16778749"/>
      <w:r>
        <w:rPr>
          <w:rFonts w:hint="eastAsia" w:ascii="宋体" w:hAnsi="宋体" w:eastAsia="宋体"/>
          <w:b/>
          <w:color w:val="auto"/>
          <w:highlight w:val="none"/>
        </w:rPr>
        <w:t>1.11 分包（不允许）</w:t>
      </w:r>
      <w:bookmarkEnd w:id="102"/>
    </w:p>
    <w:p w14:paraId="5292CD45">
      <w:pPr>
        <w:pStyle w:val="35"/>
        <w:spacing w:line="360" w:lineRule="auto"/>
        <w:rPr>
          <w:rFonts w:ascii="宋体" w:hAnsi="宋体" w:eastAsia="宋体"/>
          <w:b/>
          <w:color w:val="auto"/>
          <w:highlight w:val="none"/>
        </w:rPr>
      </w:pPr>
      <w:bookmarkStart w:id="103" w:name="_Toc8501"/>
      <w:bookmarkEnd w:id="103"/>
      <w:bookmarkStart w:id="104" w:name="_Toc16778750"/>
      <w:bookmarkEnd w:id="104"/>
      <w:bookmarkStart w:id="105" w:name="_Toc13092"/>
      <w:r>
        <w:rPr>
          <w:rFonts w:hint="eastAsia" w:ascii="宋体" w:hAnsi="宋体" w:eastAsia="宋体"/>
          <w:b/>
          <w:color w:val="auto"/>
          <w:highlight w:val="none"/>
        </w:rPr>
        <w:t>1.12</w:t>
      </w:r>
      <w:r>
        <w:rPr>
          <w:rFonts w:hint="eastAsia" w:ascii="宋体" w:hAnsi="宋体" w:eastAsia="宋体"/>
          <w:b/>
          <w:color w:val="auto"/>
          <w:highlight w:val="none"/>
          <w:lang w:val="en-US" w:eastAsia="zh-CN"/>
        </w:rPr>
        <w:t xml:space="preserve"> 响</w:t>
      </w:r>
      <w:r>
        <w:rPr>
          <w:rFonts w:hint="eastAsia" w:ascii="宋体" w:hAnsi="宋体" w:eastAsia="宋体"/>
          <w:b/>
          <w:color w:val="auto"/>
          <w:highlight w:val="none"/>
          <w:lang w:eastAsia="zh-CN"/>
        </w:rPr>
        <w:t>应和</w:t>
      </w:r>
      <w:r>
        <w:rPr>
          <w:rFonts w:hint="eastAsia" w:ascii="宋体" w:hAnsi="宋体" w:eastAsia="宋体"/>
          <w:b/>
          <w:color w:val="auto"/>
          <w:highlight w:val="none"/>
        </w:rPr>
        <w:t>偏</w:t>
      </w:r>
      <w:bookmarkEnd w:id="105"/>
      <w:r>
        <w:rPr>
          <w:rFonts w:hint="eastAsia" w:ascii="宋体" w:hAnsi="宋体" w:eastAsia="宋体"/>
          <w:b/>
          <w:color w:val="auto"/>
          <w:highlight w:val="none"/>
        </w:rPr>
        <w:t>离</w:t>
      </w:r>
    </w:p>
    <w:p w14:paraId="05B02D8B">
      <w:pPr>
        <w:spacing w:line="360" w:lineRule="auto"/>
        <w:ind w:firstLine="480" w:firstLineChars="200"/>
        <w:rPr>
          <w:rFonts w:hint="eastAsia" w:ascii="宋体" w:hAnsi="宋体"/>
          <w:color w:val="auto"/>
          <w:sz w:val="24"/>
          <w:szCs w:val="24"/>
          <w:highlight w:val="none"/>
        </w:rPr>
      </w:pPr>
      <w:bookmarkStart w:id="106" w:name="_Toc152042319"/>
      <w:r>
        <w:rPr>
          <w:rFonts w:hint="eastAsia" w:ascii="宋体" w:hAnsi="宋体"/>
          <w:color w:val="auto"/>
          <w:sz w:val="24"/>
          <w:szCs w:val="24"/>
          <w:highlight w:val="none"/>
        </w:rPr>
        <w:t>1.12.1 投标文件偏离招标文件某些要求，视为投标文件存在偏差。偏差包括重大偏差和细微偏差。</w:t>
      </w:r>
    </w:p>
    <w:p w14:paraId="12D20BE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1.12.2 投标文件应对招标文件的实质性要求和条件作出满足性或更有利于招标人的响应，否则，视为投标文件存在重大偏差，投标人的投标将被否决。</w:t>
      </w:r>
    </w:p>
    <w:p w14:paraId="3C5D6EC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投标文件存在第三章“评标办法”中所列任一否决投标情形的，均属于存在重大偏差。</w:t>
      </w:r>
    </w:p>
    <w:p w14:paraId="030AEEC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1.12.3 投标文件中的下列偏差为细微偏差：</w:t>
      </w:r>
    </w:p>
    <w:p w14:paraId="6D02A9B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在按照第三章“评标办法”的规定对投标价进行算术性错误修正及其他错误修正后，最终投标报价未超过最高投标限价（如有）的情况下，出现第三章“评标办法”规定的算术性错误和投标报价的其他错误；</w:t>
      </w:r>
    </w:p>
    <w:p w14:paraId="78F3603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（2）施工组织设计（含关键工程技术方案）和项目管理机构不够完善；</w:t>
      </w:r>
    </w:p>
    <w:p w14:paraId="6D9617C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（3）投标文件页码不连续、个别文字有遗漏错误等不影响投标文件实质性内容的偏差。</w:t>
      </w:r>
    </w:p>
    <w:p w14:paraId="7CA00DB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1.12.4 评标委员会对投标文件中的细微偏差按如下规定处理：</w:t>
      </w:r>
    </w:p>
    <w:p w14:paraId="483DE3A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（1）对于本章第1.12.3项（1）目所述的细微偏差，按照第三章“评标办法”的规定予以修正并要求投标人进行澄清；</w:t>
      </w:r>
    </w:p>
    <w:p w14:paraId="6E40016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（2）对于本章第1.12.3项（2）目所述的细微偏差，可在相关评分因素的评分中酌情扣分；</w:t>
      </w:r>
    </w:p>
    <w:p w14:paraId="31E781E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（3）对于本章第1.12.3项（3）目所述的细微偏差，可要求投标人对细微偏差进行澄清。</w:t>
      </w:r>
    </w:p>
    <w:p w14:paraId="7E65BE3D">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1.12.5 投标人应根据招标文件的要求提供施工组织设计等内容以对招标文件作出响应。施工组织设计</w:t>
      </w:r>
      <w:r>
        <w:rPr>
          <w:rFonts w:hint="eastAsia" w:ascii="宋体" w:hAnsi="宋体"/>
          <w:color w:val="auto"/>
          <w:sz w:val="24"/>
          <w:szCs w:val="24"/>
          <w:highlight w:val="none"/>
          <w:lang w:val="en-US" w:eastAsia="zh-CN"/>
        </w:rPr>
        <w:t>应有项目经理逐页签字，否则视为无效投标。</w:t>
      </w:r>
    </w:p>
    <w:p w14:paraId="060A0F9D">
      <w:pPr>
        <w:spacing w:line="360" w:lineRule="auto"/>
        <w:rPr>
          <w:rFonts w:hint="eastAsia"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2、招标文件</w:t>
      </w:r>
    </w:p>
    <w:p w14:paraId="1634A4A5">
      <w:pPr>
        <w:spacing w:line="360" w:lineRule="auto"/>
        <w:rPr>
          <w:rFonts w:ascii="宋体" w:hAnsi="宋体"/>
          <w:b/>
          <w:color w:val="auto"/>
          <w:sz w:val="24"/>
          <w:szCs w:val="24"/>
          <w:highlight w:val="none"/>
        </w:rPr>
      </w:pPr>
      <w:r>
        <w:rPr>
          <w:rFonts w:hint="eastAsia" w:ascii="宋体" w:hAnsi="宋体"/>
          <w:b/>
          <w:color w:val="auto"/>
          <w:sz w:val="24"/>
          <w:szCs w:val="24"/>
          <w:highlight w:val="none"/>
        </w:rPr>
        <w:t>2.1 招标文件的组成</w:t>
      </w:r>
      <w:bookmarkEnd w:id="106"/>
    </w:p>
    <w:p w14:paraId="4B2652E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本招标文件包括：</w:t>
      </w:r>
    </w:p>
    <w:p w14:paraId="14C83E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（1）招标公告</w:t>
      </w:r>
    </w:p>
    <w:p w14:paraId="37C35E5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（2）投标人须知；</w:t>
      </w:r>
    </w:p>
    <w:p w14:paraId="715112A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（3）评标办法</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定标办法</w:t>
      </w:r>
      <w:r>
        <w:rPr>
          <w:rFonts w:hint="eastAsia" w:ascii="宋体" w:hAnsi="宋体"/>
          <w:color w:val="auto"/>
          <w:sz w:val="24"/>
          <w:szCs w:val="24"/>
          <w:highlight w:val="none"/>
        </w:rPr>
        <w:t>；</w:t>
      </w:r>
    </w:p>
    <w:p w14:paraId="3614F7D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（4）合同条款及格式；</w:t>
      </w:r>
    </w:p>
    <w:p w14:paraId="41A00DE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（5）工程量清单；</w:t>
      </w:r>
    </w:p>
    <w:p w14:paraId="362D772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（6）图纸；</w:t>
      </w:r>
    </w:p>
    <w:p w14:paraId="15AC053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（7）技术规范；</w:t>
      </w:r>
    </w:p>
    <w:p w14:paraId="5ADA4CA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（8）工程量清单计量规则；</w:t>
      </w:r>
    </w:p>
    <w:p w14:paraId="6F0B5DC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（9）投标文件格式；</w:t>
      </w:r>
    </w:p>
    <w:p w14:paraId="4B311F6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（10）投标人须知前附表规定的其他资料。</w:t>
      </w:r>
    </w:p>
    <w:p w14:paraId="0B1A018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根据本章第1.10款、第2.2款和第2.3款对招标文件所作的澄清、修改，构成招标文件的组成部分。</w:t>
      </w:r>
    </w:p>
    <w:p w14:paraId="4EC9B91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当招标文件、招标文件的澄清或修改等在同一个内容的表述上不一致时，以最后发出的书面文件为准。</w:t>
      </w:r>
    </w:p>
    <w:p w14:paraId="2BFC48E2">
      <w:pPr>
        <w:pStyle w:val="35"/>
        <w:spacing w:line="360" w:lineRule="auto"/>
        <w:rPr>
          <w:rFonts w:ascii="宋体" w:hAnsi="宋体" w:eastAsia="宋体"/>
          <w:b/>
          <w:color w:val="auto"/>
          <w:highlight w:val="none"/>
        </w:rPr>
      </w:pPr>
      <w:bookmarkStart w:id="107" w:name="_Toc16778753"/>
      <w:bookmarkEnd w:id="107"/>
      <w:bookmarkStart w:id="108" w:name="_Toc179632562"/>
      <w:bookmarkEnd w:id="108"/>
      <w:bookmarkStart w:id="109" w:name="_Toc2752"/>
      <w:bookmarkEnd w:id="109"/>
      <w:bookmarkStart w:id="110" w:name="_Toc152042320"/>
      <w:bookmarkEnd w:id="110"/>
      <w:bookmarkStart w:id="111" w:name="_Toc7082"/>
      <w:bookmarkEnd w:id="111"/>
      <w:bookmarkStart w:id="112" w:name="_Toc144974512"/>
      <w:bookmarkEnd w:id="112"/>
      <w:bookmarkStart w:id="113" w:name="_Toc152045544"/>
      <w:r>
        <w:rPr>
          <w:rFonts w:hint="eastAsia" w:ascii="宋体" w:hAnsi="宋体" w:eastAsia="宋体"/>
          <w:b/>
          <w:color w:val="auto"/>
          <w:highlight w:val="none"/>
        </w:rPr>
        <w:t>2.2 招标文件的澄清</w:t>
      </w:r>
      <w:bookmarkEnd w:id="113"/>
    </w:p>
    <w:p w14:paraId="25D47B1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250B708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文件的澄清以投标人须知前附表规定的形式发给所有购买招标文件的投标人，但不指明澄清问题的来源。澄清发出的时间距本章第4.2.1项规定的投标截止时间不足15日，且澄清内容可能影响投标文件编制的，将相应延长投标截止时间。</w:t>
      </w:r>
    </w:p>
    <w:p w14:paraId="325A10C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投标人应注意及时浏览网上发出的澄清，因投标人自身原因未及时获知澄清内容而导致的任何后果将由投标人自行承担。</w:t>
      </w:r>
    </w:p>
    <w:p w14:paraId="30BCE90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2.2.4 除非招标人认为确有必要答复，否则，招标人有权拒绝回复投标人在本章第2.2.1项规定的时间后提出的任何澄清要求。</w:t>
      </w:r>
    </w:p>
    <w:p w14:paraId="24BBEB8F">
      <w:pPr>
        <w:pStyle w:val="35"/>
        <w:spacing w:line="360" w:lineRule="auto"/>
        <w:rPr>
          <w:rFonts w:ascii="宋体" w:hAnsi="宋体" w:eastAsia="宋体"/>
          <w:b/>
          <w:color w:val="auto"/>
          <w:highlight w:val="none"/>
        </w:rPr>
      </w:pPr>
      <w:bookmarkStart w:id="114" w:name="_Toc16778754"/>
      <w:bookmarkEnd w:id="114"/>
      <w:bookmarkStart w:id="115" w:name="_Toc152045545"/>
      <w:bookmarkEnd w:id="115"/>
      <w:bookmarkStart w:id="116" w:name="_Toc152042321"/>
      <w:bookmarkEnd w:id="116"/>
      <w:bookmarkStart w:id="117" w:name="_Toc10281"/>
      <w:bookmarkEnd w:id="117"/>
      <w:bookmarkStart w:id="118" w:name="_Toc179632563"/>
      <w:bookmarkEnd w:id="118"/>
      <w:bookmarkStart w:id="119" w:name="_Toc11110"/>
      <w:bookmarkEnd w:id="119"/>
      <w:bookmarkStart w:id="120" w:name="_Toc144974513"/>
      <w:r>
        <w:rPr>
          <w:rFonts w:hint="eastAsia" w:ascii="宋体" w:hAnsi="宋体" w:eastAsia="宋体"/>
          <w:b/>
          <w:color w:val="auto"/>
          <w:highlight w:val="none"/>
        </w:rPr>
        <w:t>2.3 招标文件的修改</w:t>
      </w:r>
      <w:bookmarkEnd w:id="120"/>
    </w:p>
    <w:p w14:paraId="74AEE4A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2.3.1 招标人以投标人须知前附表规定的形式修改招标文件，并通知所有已购买招标文件的投标人。修改招标文件的时间距本章第4.2.1项规定的投标截止时间不足15日，且修改内容可能影响投标文件编制的，将相应延长投标截止时间。</w:t>
      </w:r>
    </w:p>
    <w:p w14:paraId="73AD115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2.3.2 投标人应注意及时浏览网上发出的修改，因投标人自身原因未及时获知修改内容而导致的任何后果将由投标人自行承担。</w:t>
      </w:r>
    </w:p>
    <w:p w14:paraId="12F4566D">
      <w:pPr>
        <w:pStyle w:val="35"/>
        <w:spacing w:line="360" w:lineRule="auto"/>
        <w:rPr>
          <w:rFonts w:ascii="宋体" w:hAnsi="宋体" w:eastAsia="宋体"/>
          <w:b/>
          <w:color w:val="auto"/>
          <w:highlight w:val="none"/>
        </w:rPr>
      </w:pPr>
      <w:bookmarkStart w:id="121" w:name="_Toc31031"/>
      <w:bookmarkEnd w:id="121"/>
      <w:bookmarkStart w:id="122" w:name="_Toc16778755"/>
      <w:bookmarkEnd w:id="122"/>
      <w:bookmarkStart w:id="123" w:name="_Toc2148"/>
      <w:r>
        <w:rPr>
          <w:rFonts w:hint="eastAsia" w:ascii="宋体" w:hAnsi="宋体" w:eastAsia="宋体"/>
          <w:b/>
          <w:color w:val="auto"/>
          <w:highlight w:val="none"/>
        </w:rPr>
        <w:t>2.4 招标文件的异议</w:t>
      </w:r>
      <w:bookmarkEnd w:id="123"/>
    </w:p>
    <w:p w14:paraId="3C7F60A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或其他利害关系人对招标文件有异议的，应在投标截止时间10日前以书面形式提出。招标人将在收到异议之日起3日内作出答复；作出答复前，将暂停招标投标活动。提出异议与作出答复均应通过“电子交易平台”以书面形式完成。</w:t>
      </w:r>
    </w:p>
    <w:p w14:paraId="4B7F1635">
      <w:pPr>
        <w:pStyle w:val="34"/>
        <w:spacing w:line="360" w:lineRule="auto"/>
        <w:rPr>
          <w:rFonts w:ascii="宋体" w:hAnsi="宋体" w:eastAsia="宋体"/>
          <w:b/>
          <w:color w:val="auto"/>
          <w:highlight w:val="none"/>
        </w:rPr>
      </w:pPr>
      <w:bookmarkStart w:id="124" w:name="_Toc152042322"/>
      <w:bookmarkEnd w:id="124"/>
      <w:bookmarkStart w:id="125" w:name="_Toc16778756"/>
      <w:bookmarkEnd w:id="125"/>
      <w:bookmarkStart w:id="126" w:name="_Toc25807"/>
      <w:bookmarkEnd w:id="126"/>
      <w:bookmarkStart w:id="127" w:name="_Toc31773"/>
      <w:bookmarkEnd w:id="127"/>
      <w:bookmarkStart w:id="128" w:name="_Toc144974514"/>
      <w:bookmarkEnd w:id="128"/>
      <w:bookmarkStart w:id="129" w:name="_Toc152045546"/>
      <w:bookmarkEnd w:id="129"/>
      <w:bookmarkStart w:id="130" w:name="_Toc179632564"/>
      <w:r>
        <w:rPr>
          <w:rFonts w:hint="eastAsia" w:ascii="宋体" w:hAnsi="宋体" w:eastAsia="宋体"/>
          <w:b/>
          <w:color w:val="auto"/>
          <w:highlight w:val="none"/>
        </w:rPr>
        <w:t>3. 投标文件</w:t>
      </w:r>
      <w:bookmarkEnd w:id="130"/>
    </w:p>
    <w:p w14:paraId="6C51B3D2">
      <w:pPr>
        <w:pStyle w:val="35"/>
        <w:spacing w:line="360" w:lineRule="auto"/>
        <w:rPr>
          <w:rFonts w:ascii="宋体" w:hAnsi="宋体" w:eastAsia="宋体"/>
          <w:b/>
          <w:color w:val="auto"/>
          <w:highlight w:val="none"/>
        </w:rPr>
      </w:pPr>
      <w:bookmarkStart w:id="131" w:name="_Toc179632565"/>
      <w:bookmarkEnd w:id="131"/>
      <w:bookmarkStart w:id="132" w:name="_Toc144974515"/>
      <w:bookmarkEnd w:id="132"/>
      <w:bookmarkStart w:id="133" w:name="_Toc152045547"/>
      <w:bookmarkEnd w:id="133"/>
      <w:bookmarkStart w:id="134" w:name="_Toc152042323"/>
      <w:bookmarkEnd w:id="134"/>
      <w:bookmarkStart w:id="135" w:name="_Toc16778757"/>
      <w:bookmarkEnd w:id="135"/>
      <w:bookmarkStart w:id="136" w:name="_Toc9422"/>
      <w:bookmarkEnd w:id="136"/>
      <w:bookmarkStart w:id="137" w:name="_Toc17451"/>
      <w:r>
        <w:rPr>
          <w:rFonts w:hint="eastAsia" w:ascii="宋体" w:hAnsi="宋体" w:eastAsia="宋体"/>
          <w:b/>
          <w:color w:val="auto"/>
          <w:highlight w:val="none"/>
        </w:rPr>
        <w:t>3.1 投标文件的组成</w:t>
      </w:r>
      <w:bookmarkEnd w:id="137"/>
    </w:p>
    <w:p w14:paraId="2C6022F4">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3.1.1投标文件应包括下列内容：</w:t>
      </w:r>
    </w:p>
    <w:p w14:paraId="0D4DE10F">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第一个信封（商务及技术文件）：</w:t>
      </w:r>
    </w:p>
    <w:p w14:paraId="61724535">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（1）投标函及投标函附录；</w:t>
      </w:r>
    </w:p>
    <w:p w14:paraId="5CDEAA10">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（2）授权委托书或法定代表人身份证明；</w:t>
      </w:r>
    </w:p>
    <w:p w14:paraId="40913F25">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（3）投标保证金；</w:t>
      </w:r>
    </w:p>
    <w:p w14:paraId="418DE178">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（4）施工组织设计；</w:t>
      </w:r>
    </w:p>
    <w:p w14:paraId="667562EE">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（5）项目管理机构；</w:t>
      </w:r>
    </w:p>
    <w:p w14:paraId="18EB109F">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（6）资格审查资料；</w:t>
      </w:r>
    </w:p>
    <w:p w14:paraId="4CD85BB9">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（7）其他资料。</w:t>
      </w:r>
    </w:p>
    <w:p w14:paraId="2D1DF0CD">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第二个信封（报价文件）：</w:t>
      </w:r>
    </w:p>
    <w:p w14:paraId="109D24C1">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（1）投标函</w:t>
      </w:r>
    </w:p>
    <w:p w14:paraId="7872902D">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）已标价工程量清单；</w:t>
      </w:r>
    </w:p>
    <w:p w14:paraId="3D4401C5">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）合同用款估算表。</w:t>
      </w:r>
    </w:p>
    <w:p w14:paraId="4A5CF60A">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投标人在评标过程中作出的符合法律法规和招标文件规定的澄清确认，构成投标文件的组成部分。</w:t>
      </w:r>
    </w:p>
    <w:p w14:paraId="44BC98D2">
      <w:pPr>
        <w:pStyle w:val="35"/>
        <w:spacing w:line="360" w:lineRule="auto"/>
        <w:rPr>
          <w:rFonts w:ascii="宋体" w:hAnsi="宋体" w:eastAsia="宋体"/>
          <w:b/>
          <w:color w:val="auto"/>
          <w:highlight w:val="none"/>
        </w:rPr>
      </w:pPr>
      <w:bookmarkStart w:id="138" w:name="_Toc5822"/>
      <w:bookmarkEnd w:id="138"/>
      <w:bookmarkStart w:id="139" w:name="_Toc144974516"/>
      <w:bookmarkEnd w:id="139"/>
      <w:bookmarkStart w:id="140" w:name="_Toc179632566"/>
      <w:bookmarkEnd w:id="140"/>
      <w:bookmarkStart w:id="141" w:name="_Toc16778758"/>
      <w:bookmarkEnd w:id="141"/>
      <w:bookmarkStart w:id="142" w:name="_Toc152042324"/>
      <w:bookmarkEnd w:id="142"/>
      <w:bookmarkStart w:id="143" w:name="_Toc8434"/>
      <w:bookmarkEnd w:id="143"/>
      <w:bookmarkStart w:id="144" w:name="_Toc152045548"/>
      <w:r>
        <w:rPr>
          <w:rFonts w:hint="eastAsia" w:ascii="宋体" w:hAnsi="宋体" w:eastAsia="宋体"/>
          <w:b/>
          <w:color w:val="auto"/>
          <w:highlight w:val="none"/>
        </w:rPr>
        <w:t>3.2 投标报价</w:t>
      </w:r>
      <w:bookmarkEnd w:id="144"/>
    </w:p>
    <w:p w14:paraId="0FEA9BC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3.2.1 投标报价应包括国家规定的增值税税金，除投标人须知前附表另有规定外，增值税税金按一般计税方法计算。投标人应按第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章“投标文件格式”的要求在投标函中进行报价。</w:t>
      </w:r>
    </w:p>
    <w:p w14:paraId="04012464">
      <w:pPr>
        <w:spacing w:line="400" w:lineRule="exact"/>
        <w:ind w:firstLine="482" w:firstLineChars="200"/>
        <w:rPr>
          <w:rFonts w:hint="eastAsia" w:ascii="宋体" w:hAnsi="宋体" w:cs="宋体"/>
          <w:sz w:val="24"/>
          <w:szCs w:val="24"/>
          <w:highlight w:val="none"/>
        </w:rPr>
      </w:pPr>
      <w:bookmarkStart w:id="145" w:name="_Toc13884"/>
      <w:bookmarkEnd w:id="145"/>
      <w:bookmarkStart w:id="146" w:name="_Toc152042325"/>
      <w:bookmarkEnd w:id="146"/>
      <w:bookmarkStart w:id="147" w:name="_Toc16778759"/>
      <w:bookmarkEnd w:id="147"/>
      <w:bookmarkStart w:id="148" w:name="_Toc179632567"/>
      <w:bookmarkEnd w:id="148"/>
      <w:bookmarkStart w:id="149" w:name="_Toc22036"/>
      <w:bookmarkEnd w:id="149"/>
      <w:bookmarkStart w:id="150" w:name="_Toc152045549"/>
      <w:bookmarkEnd w:id="150"/>
      <w:bookmarkStart w:id="151" w:name="_Toc144974517"/>
      <w:r>
        <w:rPr>
          <w:rFonts w:hint="eastAsia" w:ascii="宋体" w:hAnsi="宋体" w:cs="宋体"/>
          <w:b/>
          <w:bCs/>
          <w:sz w:val="24"/>
          <w:szCs w:val="24"/>
          <w:highlight w:val="none"/>
        </w:rPr>
        <w:t>本项目由招标人提供工程量清单，投标人按照招标人提供的工程量清单填写本合同工程子目的单价、合价和总额价。评标委员会将按照第三章“评标办法”的规定对投标价进行算术性错误修正及其他错误修正。</w:t>
      </w:r>
    </w:p>
    <w:p w14:paraId="35A22D0E">
      <w:pPr>
        <w:widowControl/>
        <w:shd w:val="clear" w:color="auto" w:fill="auto"/>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3.2.2 投标人应充分了解本项目的总体情况以及影响投标报价的其他要素。</w:t>
      </w:r>
    </w:p>
    <w:p w14:paraId="2D56B47E">
      <w:pPr>
        <w:widowControl/>
        <w:shd w:val="clear" w:color="auto" w:fill="auto"/>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3.2.3 本项目的报价方式见投标人须知前附表。投标人在投标截止时间前修改投标函中的投标总报价，应同时修改投标文件“已标价工程量清单”中的相应报价。此修改须符合本章第4.3款的有关要求。</w:t>
      </w:r>
    </w:p>
    <w:p w14:paraId="3A7406D1">
      <w:pPr>
        <w:spacing w:line="400" w:lineRule="exact"/>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3.2.4 投标人如果发现工程量清单中的数量与图纸中数量不一致时，应立即通知招标人核查，除非招标人以书面方式予以更正，否则，应以工程量清单中列出的数量为准。</w:t>
      </w:r>
    </w:p>
    <w:p w14:paraId="1872BBB9">
      <w:pPr>
        <w:widowControl/>
        <w:shd w:val="clear" w:color="auto" w:fill="auto"/>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3.2.5 投标人应根据《公路水运工程安全生产监督管理办法》，在投标总价中计入安全生产费用，安全生产费用应符合合同条款第9.2.5项的规定。工程量清单第100章内列有上述安全生产费的支付子目，由投标人按招标文件的规定填写总额价。</w:t>
      </w:r>
    </w:p>
    <w:p w14:paraId="11051E5D">
      <w:pPr>
        <w:widowControl/>
        <w:shd w:val="clear" w:color="auto" w:fill="auto"/>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3.2.6 除投标人须知前附表另有规定外，招标人不接受调价函。</w:t>
      </w:r>
    </w:p>
    <w:p w14:paraId="7963248D">
      <w:pPr>
        <w:widowControl/>
        <w:shd w:val="clear" w:color="auto" w:fill="auto"/>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3.2.7 在合同实施期间，投标人填写的单价、合价和总额价是否由于物价波动进行价格调整按照合同条款第16.1款的规定处理。如果按照合同条款第16.1.1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445C97F5">
      <w:pPr>
        <w:autoSpaceDE w:val="0"/>
        <w:autoSpaceDN w:val="0"/>
        <w:adjustRightInd w:val="0"/>
        <w:spacing w:line="360" w:lineRule="auto"/>
        <w:ind w:right="-34" w:rightChars="-16" w:firstLine="480" w:firstLineChars="200"/>
        <w:jc w:val="left"/>
        <w:rPr>
          <w:rFonts w:ascii="宋体" w:hAnsi="宋体"/>
          <w:sz w:val="24"/>
          <w:szCs w:val="24"/>
          <w:highlight w:val="none"/>
        </w:rPr>
      </w:pPr>
      <w:r>
        <w:rPr>
          <w:rFonts w:hint="eastAsia" w:ascii="宋体" w:hAnsi="宋体" w:eastAsia="宋体" w:cs="Times New Roman"/>
          <w:color w:val="auto"/>
          <w:sz w:val="24"/>
          <w:szCs w:val="24"/>
          <w:highlight w:val="none"/>
        </w:rPr>
        <w:t>3.2.8 招标人设有最高投标限价的，投标人的投标报价不得超过最高投标限价，最高投标限价在投标人须知前附表中载明。</w:t>
      </w:r>
      <w:r>
        <w:rPr>
          <w:rFonts w:hint="eastAsia" w:ascii="宋体" w:hAnsi="宋体" w:cs="宋体"/>
          <w:sz w:val="24"/>
          <w:szCs w:val="24"/>
          <w:highlight w:val="none"/>
        </w:rPr>
        <w:t>投标报价在合理范围内由投标单位自主报价，投标报价是固定价，在服务期内不予以调整。投标人根据项目内容及要求，结合市场情况进行投标报价，不得以低于成本的报价恶意竞标，投标人应承诺其报价的合理性且完全满足招标人需求，否则为未实质性响应招标文件。</w:t>
      </w:r>
    </w:p>
    <w:p w14:paraId="0915FDB6">
      <w:pPr>
        <w:widowControl/>
        <w:shd w:val="clear" w:color="auto" w:fill="auto"/>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3.2.9 投标报价的其他要求见投标人须知前附表。</w:t>
      </w:r>
    </w:p>
    <w:p w14:paraId="6E7397D9">
      <w:pPr>
        <w:pStyle w:val="35"/>
        <w:rPr>
          <w:rFonts w:ascii="宋体" w:hAnsi="宋体" w:eastAsia="宋体"/>
          <w:b/>
          <w:color w:val="auto"/>
          <w:highlight w:val="none"/>
        </w:rPr>
      </w:pPr>
      <w:r>
        <w:rPr>
          <w:rFonts w:hint="eastAsia" w:ascii="宋体" w:hAnsi="宋体" w:eastAsia="宋体"/>
          <w:b/>
          <w:color w:val="auto"/>
          <w:highlight w:val="none"/>
        </w:rPr>
        <w:t>3.3 投标有效期</w:t>
      </w:r>
      <w:bookmarkEnd w:id="151"/>
    </w:p>
    <w:p w14:paraId="3409505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3.3.1 除投标人须知前附表另有规定外，投标有效期为自投标人提交投标文件截止之日起计</w:t>
      </w:r>
      <w:r>
        <w:rPr>
          <w:rFonts w:hint="eastAsia" w:ascii="宋体" w:hAnsi="宋体"/>
          <w:color w:val="000000" w:themeColor="text1"/>
          <w:sz w:val="24"/>
          <w:szCs w:val="24"/>
          <w:highlight w:val="none"/>
          <w14:textFill>
            <w14:solidFill>
              <w14:schemeClr w14:val="tx1"/>
            </w14:solidFill>
          </w14:textFill>
        </w:rPr>
        <w:t>算</w:t>
      </w:r>
      <w:r>
        <w:rPr>
          <w:rFonts w:hint="eastAsia" w:ascii="宋体" w:hAnsi="宋体"/>
          <w:color w:val="000000" w:themeColor="text1"/>
          <w:sz w:val="24"/>
          <w:szCs w:val="24"/>
          <w:highlight w:val="none"/>
          <w:lang w:val="en-US" w:eastAsia="zh-CN"/>
          <w14:textFill>
            <w14:solidFill>
              <w14:schemeClr w14:val="tx1"/>
            </w14:solidFill>
          </w14:textFill>
        </w:rPr>
        <w:t>9</w:t>
      </w:r>
      <w:r>
        <w:rPr>
          <w:rFonts w:hint="eastAsia" w:ascii="宋体" w:hAnsi="宋体"/>
          <w:color w:val="000000" w:themeColor="text1"/>
          <w:sz w:val="24"/>
          <w:szCs w:val="24"/>
          <w:highlight w:val="none"/>
          <w14:textFill>
            <w14:solidFill>
              <w14:schemeClr w14:val="tx1"/>
            </w14:solidFill>
          </w14:textFill>
        </w:rPr>
        <w:t>0日</w:t>
      </w:r>
      <w:r>
        <w:rPr>
          <w:rFonts w:hint="eastAsia" w:ascii="宋体" w:hAnsi="宋体"/>
          <w:color w:val="0000FF"/>
          <w:sz w:val="24"/>
          <w:szCs w:val="24"/>
          <w:highlight w:val="none"/>
        </w:rPr>
        <w:t>。</w:t>
      </w:r>
    </w:p>
    <w:p w14:paraId="55ADAD2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3.3.2 在投标有效期内，投标人撤销投标文件的，应承担招标文件和法律规定的责任。</w:t>
      </w:r>
    </w:p>
    <w:p w14:paraId="707E8BFC">
      <w:pPr>
        <w:widowControl/>
        <w:shd w:val="clear" w:color="auto" w:fill="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olor w:val="auto"/>
          <w:sz w:val="24"/>
          <w:szCs w:val="24"/>
          <w:highlight w:val="none"/>
        </w:rPr>
        <w:t>3.3.3 出现特殊情况需要延长投标有效期的，招标人以通过电子招标投标系统通知所有投标人延长投标有效期。投标人应予以书面答复，同意延长的，应相应延长其投标保证金的有效期，但不得要求或被允许修改其投标文件；投标人拒绝延长的，其投标失效，但投标人有权收回其投标保证金及以现金或支票形式递交的投标保证金的银行同期活期存款利息。</w:t>
      </w:r>
    </w:p>
    <w:p w14:paraId="3E34AA85">
      <w:pPr>
        <w:pStyle w:val="35"/>
        <w:spacing w:line="360" w:lineRule="auto"/>
        <w:rPr>
          <w:rFonts w:ascii="宋体" w:hAnsi="宋体" w:eastAsia="宋体"/>
          <w:b/>
          <w:color w:val="auto"/>
          <w:highlight w:val="none"/>
        </w:rPr>
      </w:pPr>
      <w:bookmarkStart w:id="152" w:name="_Toc6097"/>
      <w:bookmarkEnd w:id="152"/>
      <w:bookmarkStart w:id="153" w:name="_Toc152042326"/>
      <w:bookmarkEnd w:id="153"/>
      <w:bookmarkStart w:id="154" w:name="_Toc144974518"/>
      <w:bookmarkEnd w:id="154"/>
      <w:bookmarkStart w:id="155" w:name="_Toc21550"/>
      <w:bookmarkEnd w:id="155"/>
      <w:bookmarkStart w:id="156" w:name="_Toc16778760"/>
      <w:bookmarkEnd w:id="156"/>
      <w:bookmarkStart w:id="157" w:name="_Toc152045550"/>
      <w:bookmarkEnd w:id="157"/>
      <w:bookmarkStart w:id="158" w:name="_Toc179632568"/>
      <w:r>
        <w:rPr>
          <w:rFonts w:hint="eastAsia" w:ascii="宋体" w:hAnsi="宋体" w:eastAsia="宋体"/>
          <w:b/>
          <w:color w:val="auto"/>
          <w:highlight w:val="none"/>
        </w:rPr>
        <w:t>3.4 投标保证金</w:t>
      </w:r>
      <w:bookmarkEnd w:id="158"/>
    </w:p>
    <w:p w14:paraId="5A231ED1">
      <w:pPr>
        <w:spacing w:line="360" w:lineRule="auto"/>
        <w:ind w:firstLine="480" w:firstLineChars="200"/>
        <w:rPr>
          <w:rFonts w:ascii="宋体" w:hAnsi="宋体"/>
          <w:color w:val="auto"/>
          <w:sz w:val="24"/>
          <w:szCs w:val="24"/>
          <w:highlight w:val="none"/>
        </w:rPr>
      </w:pPr>
      <w:bookmarkStart w:id="159" w:name="_Toc179632569"/>
      <w:bookmarkEnd w:id="159"/>
      <w:bookmarkStart w:id="160" w:name="_Toc144974519"/>
      <w:bookmarkEnd w:id="160"/>
      <w:bookmarkStart w:id="161" w:name="_Toc152042327"/>
      <w:bookmarkEnd w:id="161"/>
      <w:bookmarkStart w:id="162" w:name="_Toc152045551"/>
      <w:r>
        <w:rPr>
          <w:rFonts w:hint="eastAsia" w:ascii="宋体" w:hAnsi="宋体"/>
          <w:color w:val="auto"/>
          <w:sz w:val="24"/>
          <w:szCs w:val="24"/>
          <w:highlight w:val="none"/>
        </w:rPr>
        <w:t>3.4.1 投标人在递交投标文件的同时，应按投标人须知前附表规定的金额和第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章“投标文件格式”规定的投标保证金格式递交投标保证金，并作为其投标文件的组成部分。</w:t>
      </w:r>
      <w:bookmarkEnd w:id="162"/>
      <w:r>
        <w:rPr>
          <w:rFonts w:hint="eastAsia" w:ascii="宋体" w:hAnsi="宋体"/>
          <w:color w:val="auto"/>
          <w:sz w:val="24"/>
          <w:szCs w:val="24"/>
          <w:highlight w:val="none"/>
        </w:rPr>
        <w:t>投标保证金应采用现金、支票</w:t>
      </w:r>
      <w:r>
        <w:rPr>
          <w:rFonts w:hint="eastAsia" w:ascii="宋体" w:hAnsi="宋体"/>
          <w:color w:val="auto"/>
          <w:sz w:val="24"/>
          <w:szCs w:val="24"/>
          <w:highlight w:val="none"/>
          <w:lang w:eastAsia="zh-CN"/>
        </w:rPr>
        <w:t>、银行保函</w:t>
      </w:r>
      <w:r>
        <w:rPr>
          <w:rFonts w:hint="eastAsia" w:ascii="宋体" w:hAnsi="宋体"/>
          <w:color w:val="auto"/>
          <w:sz w:val="24"/>
          <w:szCs w:val="24"/>
          <w:highlight w:val="none"/>
        </w:rPr>
        <w:t>或招标人在投标人须知前附表规定的其他形式。无论采取何种形式的投标保证金，投标保证金有效期均应与投标有效期一致。招标人如果按本章第3.3.3项的规定延长了投标有效期，则投标保证金的有效期也相应延长。</w:t>
      </w:r>
    </w:p>
    <w:p w14:paraId="6F4FD58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3.4.2 投标人不按本章第3.4.1项要求提交投标保证金的，评标委员会将否决其投标。</w:t>
      </w:r>
    </w:p>
    <w:p w14:paraId="11AA50D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3.4.3 招标人最迟将在中标通知书发出后5日内向中标候选人以外的其他投标人退还投标保证金，与中标人签订合同后5日内向中标人和其他中标候选人退还投标保证金。投标保证金以现金或支票形式递交的，招标人应同时退还投标保证金的银行同期活期存款利息，且退还至投标人的基本账户。</w:t>
      </w:r>
    </w:p>
    <w:p w14:paraId="06FE18F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利息计算原则见投标人须知前附表。</w:t>
      </w:r>
    </w:p>
    <w:p w14:paraId="40F4185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3.4.4 有下列情形之一的，投标保证金将不予退还：</w:t>
      </w:r>
    </w:p>
    <w:p w14:paraId="4186941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（1）投标人在投标有效期内撤销投标文件；</w:t>
      </w:r>
    </w:p>
    <w:p w14:paraId="56399EA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（2）中标人在收到中标通知书后，无正当理由不与招标人订立合同，在签订合同时向招标人提出附加条件，或不按照招标文件要求提交履约保证金；</w:t>
      </w:r>
    </w:p>
    <w:p w14:paraId="38B361E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（3）发生投标人须知前附表规定的其他可以不予退还投标保证金的情形。</w:t>
      </w:r>
    </w:p>
    <w:p w14:paraId="15697AE6">
      <w:pPr>
        <w:pStyle w:val="35"/>
        <w:spacing w:line="360" w:lineRule="auto"/>
        <w:rPr>
          <w:rFonts w:ascii="宋体" w:hAnsi="宋体" w:eastAsia="宋体"/>
          <w:b/>
          <w:color w:val="auto"/>
          <w:highlight w:val="none"/>
        </w:rPr>
      </w:pPr>
      <w:bookmarkStart w:id="163" w:name="_Toc21969"/>
      <w:bookmarkEnd w:id="163"/>
      <w:bookmarkStart w:id="164" w:name="_Toc16778761"/>
      <w:bookmarkEnd w:id="164"/>
      <w:bookmarkStart w:id="165" w:name="_Toc32474"/>
      <w:r>
        <w:rPr>
          <w:rFonts w:hint="eastAsia" w:ascii="宋体" w:hAnsi="宋体" w:eastAsia="宋体"/>
          <w:b/>
          <w:color w:val="auto"/>
          <w:highlight w:val="none"/>
        </w:rPr>
        <w:t>3.5 资格审查资料</w:t>
      </w:r>
      <w:bookmarkEnd w:id="165"/>
    </w:p>
    <w:p w14:paraId="70EDD32E">
      <w:pPr>
        <w:spacing w:line="360" w:lineRule="auto"/>
        <w:ind w:firstLine="480" w:firstLineChars="200"/>
        <w:rPr>
          <w:rFonts w:ascii="宋体" w:hAnsi="宋体"/>
          <w:color w:val="auto"/>
          <w:sz w:val="24"/>
          <w:szCs w:val="24"/>
          <w:highlight w:val="none"/>
        </w:rPr>
      </w:pPr>
      <w:bookmarkStart w:id="166" w:name="_Toc152042329"/>
      <w:bookmarkEnd w:id="166"/>
      <w:bookmarkStart w:id="167" w:name="_Toc144974521"/>
      <w:bookmarkEnd w:id="167"/>
      <w:bookmarkStart w:id="168" w:name="_Toc179632571"/>
      <w:bookmarkEnd w:id="168"/>
      <w:bookmarkStart w:id="169" w:name="_Toc152045553"/>
      <w:r>
        <w:rPr>
          <w:rFonts w:hint="eastAsia" w:ascii="宋体" w:hAnsi="宋体"/>
          <w:color w:val="auto"/>
          <w:sz w:val="24"/>
          <w:szCs w:val="24"/>
          <w:highlight w:val="none"/>
        </w:rPr>
        <w:t>除投标人须知前附表另有规定外，投标人应按下列规定提供资格审查资料，以证明其满足本章第1.4款规定的资质、财务、业绩、信誉等要求。</w:t>
      </w:r>
      <w:bookmarkEnd w:id="169"/>
    </w:p>
    <w:p w14:paraId="773AA9E3">
      <w:pPr>
        <w:spacing w:line="360" w:lineRule="auto"/>
        <w:ind w:firstLine="480" w:firstLineChars="200"/>
        <w:rPr>
          <w:rFonts w:ascii="宋体" w:hAnsi="宋体"/>
          <w:color w:val="0000FF"/>
          <w:sz w:val="24"/>
          <w:szCs w:val="24"/>
          <w:highlight w:val="none"/>
        </w:rPr>
      </w:pPr>
      <w:r>
        <w:rPr>
          <w:rFonts w:hint="eastAsia" w:ascii="宋体" w:hAnsi="宋体"/>
          <w:color w:val="auto"/>
          <w:sz w:val="24"/>
          <w:szCs w:val="24"/>
          <w:highlight w:val="none"/>
        </w:rPr>
        <w:t>3.5.1 “投标人基本情况表”应附企业法人营业执照副本（按照“三证合一”或“五证合一”登记制度进行登记的，可仅提供营业执照副本，下同）、施工资质证书副本、安全生产许可证副本、基本账户开户许可证或开户证明的扫描件上传至电子招标投标系统</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以及投标人在国家企业信用信息公示系统中基础信息（体现股东及出资详细信息）的网页截图或由法定的社会验资机构出具的验资报告或注册地工商部门出具的股东出资情况证明扫描件上传至电子招标投标系统。</w:t>
      </w:r>
    </w:p>
    <w:p w14:paraId="378852C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企业法人营业执照副本、施工资质证书副本、安全生产许可证副本、基本账户开户许可证或开户证明的扫描件，应包括投标人名称、投标人其他相关信息、颁发机构名称、投标人信息变更情况等关键页在内，并逐页加盖投标人单位章。</w:t>
      </w:r>
    </w:p>
    <w:p w14:paraId="5FA38B5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3.5.2 “财务状况表”应附经会计师事务所或审计机构审计的财务会计报表，包括资产负债表、现金流量表、利润表和财务情况说明书（附注）的复印件，具体年份要求见投标人须知前附表。投标人的成立时间少于投标人须知前附表规定年份的，应提供成立以来的财</w:t>
      </w:r>
      <w:r>
        <w:rPr>
          <w:rFonts w:hint="eastAsia" w:ascii="宋体" w:hAnsi="宋体"/>
          <w:color w:val="000000" w:themeColor="text1"/>
          <w:sz w:val="24"/>
          <w:szCs w:val="24"/>
          <w:highlight w:val="none"/>
          <w14:textFill>
            <w14:solidFill>
              <w14:schemeClr w14:val="tx1"/>
            </w14:solidFill>
          </w14:textFill>
        </w:rPr>
        <w:t>务状况表。</w:t>
      </w:r>
    </w:p>
    <w:p w14:paraId="646301E9">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color w:val="000000" w:themeColor="text1"/>
          <w:sz w:val="24"/>
          <w:szCs w:val="24"/>
          <w:highlight w:val="none"/>
          <w14:textFill>
            <w14:solidFill>
              <w14:schemeClr w14:val="tx1"/>
            </w14:solidFill>
          </w14:textFill>
        </w:rPr>
        <w:t xml:space="preserve">3.5.3 </w:t>
      </w:r>
      <w:r>
        <w:rPr>
          <w:rFonts w:hint="eastAsia" w:ascii="宋体" w:hAnsi="宋体" w:eastAsia="宋体" w:cs="Times New Roman"/>
          <w:color w:val="auto"/>
          <w:sz w:val="24"/>
          <w:szCs w:val="24"/>
          <w:highlight w:val="none"/>
        </w:rPr>
        <w:t>“近年完成的类似项目”应附</w:t>
      </w:r>
      <w:r>
        <w:rPr>
          <w:rFonts w:hint="eastAsia" w:ascii="宋体" w:hAnsi="宋体" w:eastAsia="宋体" w:cs="Times New Roman"/>
          <w:color w:val="auto"/>
          <w:sz w:val="24"/>
          <w:szCs w:val="24"/>
          <w:highlight w:val="none"/>
          <w:lang w:eastAsia="zh-CN"/>
        </w:rPr>
        <w:t>在交通运输部“全国公路建设市场监督管理系统”网址</w:t>
      </w:r>
      <w:r>
        <w:rPr>
          <w:rFonts w:hint="default" w:ascii="宋体" w:hAnsi="宋体" w:eastAsia="宋体" w:cs="Times New Roman"/>
          <w:color w:val="auto"/>
          <w:sz w:val="24"/>
          <w:szCs w:val="24"/>
          <w:highlight w:val="none"/>
          <w:lang w:eastAsia="zh-CN"/>
        </w:rPr>
        <w:t>（https://hwdms.mot.gov.cn/otcredit-webapp/login#/signin）</w:t>
      </w:r>
      <w:r>
        <w:rPr>
          <w:rFonts w:hint="eastAsia" w:ascii="宋体" w:hAnsi="宋体" w:eastAsia="宋体" w:cs="Times New Roman"/>
          <w:color w:val="auto"/>
          <w:sz w:val="24"/>
          <w:szCs w:val="24"/>
          <w:highlight w:val="none"/>
          <w:lang w:eastAsia="zh-CN"/>
        </w:rPr>
        <w:t>中查询到的相关项目网页截图复印件，即包括“项目名称”“标段类型”“合同价”“主要工程量”等栏目在内的项目详细信息网页截图复印件。</w:t>
      </w:r>
    </w:p>
    <w:p w14:paraId="77840563">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如投标人未提供相关项目网页截图复印件或相关项目网页截图中的信息，可提供</w:t>
      </w:r>
      <w:r>
        <w:rPr>
          <w:rFonts w:hint="eastAsia" w:ascii="宋体" w:hAnsi="宋体" w:eastAsia="宋体" w:cs="Times New Roman"/>
          <w:color w:val="auto"/>
          <w:sz w:val="24"/>
          <w:szCs w:val="24"/>
          <w:highlight w:val="none"/>
          <w:lang w:eastAsia="zh-CN"/>
        </w:rPr>
        <w:t>相应的合同协议书（含封面）、</w:t>
      </w:r>
      <w:r>
        <w:rPr>
          <w:rFonts w:hint="eastAsia" w:ascii="宋体" w:hAnsi="宋体" w:eastAsia="宋体" w:cs="Times New Roman"/>
          <w:color w:val="auto"/>
          <w:sz w:val="24"/>
          <w:szCs w:val="24"/>
          <w:highlight w:val="none"/>
        </w:rPr>
        <w:t>中标通知书</w:t>
      </w:r>
      <w:r>
        <w:rPr>
          <w:rFonts w:hint="eastAsia" w:ascii="宋体" w:hAnsi="宋体" w:eastAsia="宋体" w:cs="Times New Roman"/>
          <w:color w:val="auto"/>
          <w:sz w:val="24"/>
          <w:szCs w:val="24"/>
          <w:highlight w:val="none"/>
          <w:lang w:eastAsia="zh-CN"/>
        </w:rPr>
        <w:t>、中标公示网页截图</w:t>
      </w:r>
      <w:r>
        <w:rPr>
          <w:rFonts w:hint="eastAsia" w:ascii="宋体" w:hAnsi="宋体" w:eastAsia="宋体" w:cs="Times New Roman"/>
          <w:color w:val="auto"/>
          <w:sz w:val="24"/>
          <w:szCs w:val="24"/>
          <w:highlight w:val="none"/>
        </w:rPr>
        <w:t>、工程竣(交)工验收报告复印件，具体时间要求见投标人须知前附表。</w:t>
      </w:r>
    </w:p>
    <w:p w14:paraId="7E3C3FF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3.5.4 “投标人的信誉情况表”应附</w:t>
      </w:r>
    </w:p>
    <w:p w14:paraId="6805C24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对属于失信被执行人、被列入严重违法失信企业名单的投标人将被拒绝参与投标。通过“信用中国”跳转至“中国执行信息公开网”（http://zxgk.court.gov.cn/shixin/）查询投标人、法定代表人、项目经理是否为失信被执行人，在国家企业信用信息公示系统（http://www.gsxt.gov.cn/）中查询投标人是否被列入严重违法失信企业名单。(投标人须提供网站查询打印页，打印页需包括查询日期，查询日期为公告发布之后至投标截止时间前)。</w:t>
      </w:r>
    </w:p>
    <w:p w14:paraId="6F43B25B">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凡是被列入全国或省级建筑市场监管公共服务平台“黑名单”的，依法拒绝其参与本次投标。投标所用资质项在全国或省级建筑市场监管公共服务平台资质状况被标注资质异常状态的（投标人），依法拒绝参与本项目招投标活动。查询渠道:“全国建筑市场监管公共服务平台”网站(https://jzsc.mohurd.gov.cn/home)，须提供查询结果证明材料(投标人须提供网站查询打印页，打印页需包括查询日期，查询日期为公告发布之后至投标截止时间前)。</w:t>
      </w:r>
    </w:p>
    <w:p w14:paraId="7E043EDB">
      <w:pPr>
        <w:spacing w:line="360" w:lineRule="auto"/>
        <w:ind w:firstLine="480" w:firstLineChars="200"/>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3.5.5 “拟委任的项目经理和项目总工资历表”应附项目经理</w:t>
      </w:r>
      <w:r>
        <w:rPr>
          <w:rFonts w:hint="eastAsia" w:ascii="宋体" w:hAnsi="宋体" w:cs="Times New Roman"/>
          <w:color w:val="auto"/>
          <w:sz w:val="24"/>
          <w:szCs w:val="24"/>
          <w:highlight w:val="none"/>
          <w:lang w:val="en-US" w:eastAsia="zh-CN"/>
        </w:rPr>
        <w:t>和</w:t>
      </w:r>
      <w:r>
        <w:rPr>
          <w:rFonts w:hint="eastAsia" w:ascii="宋体" w:hAnsi="宋体" w:eastAsia="宋体" w:cs="Times New Roman"/>
          <w:color w:val="auto"/>
          <w:sz w:val="24"/>
          <w:szCs w:val="24"/>
          <w:highlight w:val="none"/>
        </w:rPr>
        <w:t>项目总工的身份证以及资格审查条件所要求的其他相关证书（如建造师注册证书、安全生产考核合格证书</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B证</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职称证</w:t>
      </w:r>
      <w:r>
        <w:rPr>
          <w:rFonts w:hint="eastAsia" w:ascii="宋体" w:hAnsi="宋体" w:eastAsia="宋体" w:cs="Times New Roman"/>
          <w:color w:val="auto"/>
          <w:sz w:val="24"/>
          <w:szCs w:val="24"/>
          <w:highlight w:val="none"/>
        </w:rPr>
        <w:t>等）的扫描件上传至电子招标投标系统，建造师注册证书、安全生产考核合格证书</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B证</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在政府相关部门网站上公开信息的网页截图扫描件上传至电子招标投标系统，以及投标人所属社保机构出具的拟委任的项目经理和项目总工的社保缴费证明或其他能够证明拟委任的项目经理和项目总工参加社保的有效证明材料扫描件上传至电子招标投标系统</w:t>
      </w:r>
      <w:r>
        <w:rPr>
          <w:rFonts w:hint="eastAsia" w:ascii="宋体" w:hAnsi="宋体" w:eastAsia="宋体" w:cs="Times New Roman"/>
          <w:color w:val="auto"/>
          <w:sz w:val="24"/>
          <w:szCs w:val="24"/>
          <w:highlight w:val="none"/>
          <w:lang w:val="en-US" w:eastAsia="zh-CN"/>
        </w:rPr>
        <w:t>（提供近</w:t>
      </w:r>
      <w:r>
        <w:rPr>
          <w:rFonts w:hint="eastAsia" w:ascii="宋体" w:hAnsi="宋体" w:cs="Times New Roman"/>
          <w:color w:val="auto"/>
          <w:sz w:val="24"/>
          <w:szCs w:val="24"/>
          <w:highlight w:val="none"/>
          <w:lang w:val="en-US" w:eastAsia="zh-CN"/>
        </w:rPr>
        <w:t>六</w:t>
      </w:r>
      <w:r>
        <w:rPr>
          <w:rFonts w:hint="eastAsia" w:ascii="宋体" w:hAnsi="宋体" w:eastAsia="宋体" w:cs="Times New Roman"/>
          <w:color w:val="auto"/>
          <w:sz w:val="24"/>
          <w:szCs w:val="24"/>
          <w:highlight w:val="none"/>
          <w:lang w:val="en-US" w:eastAsia="zh-CN"/>
        </w:rPr>
        <w:t>个月社保证明）</w:t>
      </w:r>
      <w:r>
        <w:rPr>
          <w:rFonts w:hint="eastAsia" w:ascii="宋体" w:hAnsi="宋体" w:eastAsia="宋体" w:cs="Times New Roman"/>
          <w:color w:val="auto"/>
          <w:sz w:val="24"/>
          <w:szCs w:val="24"/>
          <w:highlight w:val="none"/>
        </w:rPr>
        <w:t>。</w:t>
      </w:r>
    </w:p>
    <w:p w14:paraId="223628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3.5.6 “拟委任的其</w:t>
      </w:r>
      <w:r>
        <w:rPr>
          <w:rFonts w:hint="eastAsia" w:ascii="宋体" w:hAnsi="宋体"/>
          <w:color w:val="000000" w:themeColor="text1"/>
          <w:sz w:val="24"/>
          <w:szCs w:val="24"/>
          <w:highlight w:val="none"/>
          <w14:textFill>
            <w14:solidFill>
              <w14:schemeClr w14:val="tx1"/>
            </w14:solidFill>
          </w14:textFill>
        </w:rPr>
        <w:t>他管理和技术人员汇总表”(如有)应填报满足投标人须知前附表附录6规定的其他人员的相关信息。“拟委任的其他管理和技术人员资历表”（如有）中相关人员应附身份证、职称资格证书以及资格审查条件所要求的其他相关证书的的</w:t>
      </w:r>
      <w:r>
        <w:rPr>
          <w:rFonts w:hint="eastAsia" w:ascii="宋体" w:hAnsi="宋体"/>
          <w:color w:val="000000" w:themeColor="text1"/>
          <w:sz w:val="24"/>
          <w:szCs w:val="24"/>
          <w:highlight w:val="none"/>
          <w:lang w:eastAsia="zh-CN"/>
          <w14:textFill>
            <w14:solidFill>
              <w14:schemeClr w14:val="tx1"/>
            </w14:solidFill>
          </w14:textFill>
        </w:rPr>
        <w:t>扫描</w:t>
      </w:r>
      <w:r>
        <w:rPr>
          <w:rFonts w:hint="eastAsia" w:ascii="宋体" w:hAnsi="宋体"/>
          <w:color w:val="000000" w:themeColor="text1"/>
          <w:sz w:val="24"/>
          <w:szCs w:val="24"/>
          <w:highlight w:val="none"/>
          <w14:textFill>
            <w14:solidFill>
              <w14:schemeClr w14:val="tx1"/>
            </w14:solidFill>
          </w14:textFill>
        </w:rPr>
        <w:t>件</w:t>
      </w:r>
      <w:r>
        <w:rPr>
          <w:rFonts w:hint="eastAsia" w:ascii="宋体" w:hAnsi="宋体"/>
          <w:color w:val="000000" w:themeColor="text1"/>
          <w:sz w:val="24"/>
          <w:szCs w:val="24"/>
          <w:highlight w:val="none"/>
          <w:lang w:eastAsia="zh-CN"/>
          <w14:textFill>
            <w14:solidFill>
              <w14:schemeClr w14:val="tx1"/>
            </w14:solidFill>
          </w14:textFill>
        </w:rPr>
        <w:t>，相关业绩证明材料的扫描件，</w:t>
      </w:r>
      <w:r>
        <w:rPr>
          <w:rFonts w:hint="eastAsia" w:ascii="宋体" w:hAnsi="宋体"/>
          <w:color w:val="000000" w:themeColor="text1"/>
          <w:sz w:val="24"/>
          <w:szCs w:val="24"/>
          <w:highlight w:val="none"/>
          <w14:textFill>
            <w14:solidFill>
              <w14:schemeClr w14:val="tx1"/>
            </w14:solidFill>
          </w14:textFill>
        </w:rPr>
        <w:t>以及投标人所属社保机构出具社保缴费证明或参加社保的有效证明材料</w:t>
      </w:r>
      <w:r>
        <w:rPr>
          <w:rFonts w:hint="eastAsia" w:ascii="宋体" w:hAnsi="宋体"/>
          <w:color w:val="000000" w:themeColor="text1"/>
          <w:sz w:val="24"/>
          <w:szCs w:val="24"/>
          <w:highlight w:val="none"/>
          <w:lang w:val="en-US" w:eastAsia="zh-CN"/>
          <w14:textFill>
            <w14:solidFill>
              <w14:schemeClr w14:val="tx1"/>
            </w14:solidFill>
          </w14:textFill>
        </w:rPr>
        <w:t>（提供近六个月社保证明）</w:t>
      </w:r>
      <w:r>
        <w:rPr>
          <w:rFonts w:hint="eastAsia" w:ascii="宋体" w:hAnsi="宋体"/>
          <w:color w:val="000000" w:themeColor="text1"/>
          <w:sz w:val="24"/>
          <w:szCs w:val="24"/>
          <w:highlight w:val="none"/>
          <w14:textFill>
            <w14:solidFill>
              <w14:schemeClr w14:val="tx1"/>
            </w14:solidFill>
          </w14:textFill>
        </w:rPr>
        <w:t>。</w:t>
      </w:r>
    </w:p>
    <w:p w14:paraId="5A7A9ABD">
      <w:pPr>
        <w:snapToGrid w:val="0"/>
        <w:spacing w:before="0" w:after="0" w:line="360" w:lineRule="auto"/>
        <w:ind w:firstLineChars="200"/>
        <w:jc w:val="both"/>
        <w:rPr>
          <w:rFonts w:ascii="宋体" w:hAnsi="宋体" w:eastAsia="宋体"/>
          <w:color w:val="FF0000"/>
          <w:sz w:val="24"/>
          <w:szCs w:val="24"/>
          <w:highlight w:val="none"/>
        </w:rPr>
      </w:pPr>
      <w:r>
        <w:rPr>
          <w:rFonts w:hint="eastAsia" w:ascii="宋体" w:hAnsi="宋体"/>
          <w:color w:val="000000" w:themeColor="text1"/>
          <w:sz w:val="24"/>
          <w:szCs w:val="24"/>
          <w:highlight w:val="none"/>
          <w14:textFill>
            <w14:solidFill>
              <w14:schemeClr w14:val="tx1"/>
            </w14:solidFill>
          </w14:textFill>
        </w:rPr>
        <w:t>3.5.7 “拟投入本标段的主要施工机械表”</w:t>
      </w:r>
      <w:r>
        <w:rPr>
          <w:rFonts w:hint="eastAsia" w:ascii="宋体" w:hAnsi="宋体"/>
          <w:color w:val="000000" w:themeColor="text1"/>
          <w:sz w:val="24"/>
          <w:szCs w:val="24"/>
          <w:highlight w:val="none"/>
          <w:lang w:eastAsia="zh-CN"/>
          <w14:textFill>
            <w14:solidFill>
              <w14:schemeClr w14:val="tx1"/>
            </w14:solidFill>
          </w14:textFill>
        </w:rPr>
        <w:t>拟配备本标段的主要材料试验、测量、质检仪器设备表（如有）</w:t>
      </w:r>
      <w:r>
        <w:rPr>
          <w:rFonts w:hint="eastAsia" w:ascii="宋体" w:hAnsi="宋体"/>
          <w:color w:val="000000" w:themeColor="text1"/>
          <w:sz w:val="24"/>
          <w:szCs w:val="24"/>
          <w:highlight w:val="none"/>
          <w14:textFill>
            <w14:solidFill>
              <w14:schemeClr w14:val="tx1"/>
            </w14:solidFill>
          </w14:textFill>
        </w:rPr>
        <w:t>应填报满足投标人须知前附表附录7规定</w:t>
      </w:r>
      <w:r>
        <w:rPr>
          <w:rFonts w:hint="eastAsia" w:ascii="宋体" w:hAnsi="宋体"/>
          <w:color w:val="auto"/>
          <w:sz w:val="24"/>
          <w:szCs w:val="24"/>
          <w:highlight w:val="none"/>
        </w:rPr>
        <w:t>的机械设备</w:t>
      </w:r>
      <w:r>
        <w:rPr>
          <w:rFonts w:hint="eastAsia" w:ascii="宋体" w:hAnsi="宋体"/>
          <w:color w:val="auto"/>
          <w:sz w:val="24"/>
          <w:szCs w:val="24"/>
          <w:highlight w:val="none"/>
          <w:lang w:eastAsia="zh-CN"/>
        </w:rPr>
        <w:t>和试验检测设备</w:t>
      </w:r>
      <w:r>
        <w:rPr>
          <w:rFonts w:hint="eastAsia" w:ascii="宋体" w:hAnsi="宋体"/>
          <w:color w:val="auto"/>
          <w:sz w:val="24"/>
          <w:szCs w:val="24"/>
          <w:highlight w:val="none"/>
        </w:rPr>
        <w:t>。</w:t>
      </w:r>
    </w:p>
    <w:p w14:paraId="42234904">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3.5.8 投标人须知前附表规定接受联合体投标的，本章第 3.5.1 项至第 3.5.7 项规定的表格和资料应包括联合体各方相关情况。（不适用）</w:t>
      </w:r>
    </w:p>
    <w:p w14:paraId="0DD46050">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3.5.9 除合同条款约定的特殊情形外，投标人在投标文件中填报的项目经理和项目总工不允许更换。</w:t>
      </w:r>
      <w:r>
        <w:rPr>
          <w:rFonts w:hint="eastAsia" w:ascii="宋体" w:hAnsi="宋体"/>
          <w:color w:val="auto"/>
          <w:sz w:val="24"/>
          <w:szCs w:val="24"/>
          <w:highlight w:val="none"/>
          <w:lang w:val="en-US" w:eastAsia="zh-CN"/>
        </w:rPr>
        <w:t>投标人应对此作出承诺，否则</w:t>
      </w:r>
      <w:r>
        <w:rPr>
          <w:rFonts w:hint="eastAsia" w:ascii="宋体" w:hAnsi="宋体"/>
          <w:color w:val="auto"/>
          <w:sz w:val="24"/>
          <w:szCs w:val="24"/>
          <w:highlight w:val="none"/>
        </w:rPr>
        <w:t>投标将被否决</w:t>
      </w:r>
      <w:r>
        <w:rPr>
          <w:rFonts w:hint="eastAsia" w:ascii="宋体" w:hAnsi="宋体"/>
          <w:color w:val="auto"/>
          <w:sz w:val="24"/>
          <w:szCs w:val="24"/>
          <w:highlight w:val="none"/>
          <w:lang w:eastAsia="zh-CN"/>
        </w:rPr>
        <w:t>。</w:t>
      </w:r>
    </w:p>
    <w:p w14:paraId="212D4C88">
      <w:pPr>
        <w:spacing w:line="360" w:lineRule="auto"/>
        <w:ind w:firstLine="480" w:firstLineChars="200"/>
        <w:rPr>
          <w:rFonts w:hint="default" w:ascii="宋体" w:hAnsi="宋体" w:eastAsia="宋体"/>
          <w:color w:val="FF0000"/>
          <w:sz w:val="24"/>
          <w:szCs w:val="24"/>
          <w:highlight w:val="none"/>
          <w:lang w:val="en-US" w:eastAsia="zh-CN"/>
        </w:rPr>
      </w:pPr>
      <w:r>
        <w:rPr>
          <w:rFonts w:hint="eastAsia" w:ascii="宋体" w:hAnsi="宋体"/>
          <w:color w:val="auto"/>
          <w:sz w:val="24"/>
          <w:szCs w:val="24"/>
          <w:highlight w:val="none"/>
          <w:lang w:val="en-US" w:eastAsia="zh-CN"/>
        </w:rPr>
        <w:t>3.5.10</w:t>
      </w:r>
      <w:r>
        <w:rPr>
          <w:rFonts w:hint="eastAsia" w:ascii="宋体" w:hAnsi="宋体"/>
          <w:color w:val="auto"/>
          <w:sz w:val="24"/>
          <w:szCs w:val="24"/>
          <w:highlight w:val="none"/>
        </w:rPr>
        <w:t>招标人有权核查投标人在投标文件中提供的资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10％签约合同价的金额作为违约金</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并取消其中标资格，</w:t>
      </w:r>
      <w:r>
        <w:rPr>
          <w:rFonts w:hint="eastAsia" w:ascii="宋体" w:hAnsi="宋体"/>
          <w:color w:val="auto"/>
          <w:sz w:val="24"/>
          <w:szCs w:val="24"/>
          <w:highlight w:val="none"/>
        </w:rPr>
        <w:t>同时招标人将投标人上述弄虚作假行为上报省级交通运输主管部门，作为不良记录纳入</w:t>
      </w:r>
      <w:r>
        <w:rPr>
          <w:rFonts w:hint="eastAsia" w:ascii="宋体" w:hAnsi="宋体"/>
          <w:color w:val="auto"/>
          <w:sz w:val="24"/>
          <w:szCs w:val="24"/>
          <w:highlight w:val="none"/>
          <w:lang w:eastAsia="zh-CN"/>
        </w:rPr>
        <w:t>全国公路建设市场监督管理系统</w:t>
      </w:r>
      <w:r>
        <w:rPr>
          <w:rFonts w:hint="eastAsia" w:ascii="宋体" w:hAnsi="宋体"/>
          <w:color w:val="auto"/>
          <w:sz w:val="24"/>
          <w:szCs w:val="24"/>
          <w:highlight w:val="none"/>
          <w:lang w:val="en-US" w:eastAsia="zh-CN"/>
        </w:rPr>
        <w:t>（ http：//glxy.mot.gov.cn），投标人应对此作出承诺，否则</w:t>
      </w:r>
      <w:r>
        <w:rPr>
          <w:rFonts w:hint="eastAsia" w:ascii="宋体" w:hAnsi="宋体"/>
          <w:color w:val="auto"/>
          <w:sz w:val="24"/>
          <w:szCs w:val="24"/>
          <w:highlight w:val="none"/>
        </w:rPr>
        <w:t>投标将被否决</w:t>
      </w:r>
      <w:r>
        <w:rPr>
          <w:rFonts w:hint="eastAsia" w:ascii="宋体" w:hAnsi="宋体"/>
          <w:color w:val="auto"/>
          <w:sz w:val="24"/>
          <w:szCs w:val="24"/>
          <w:highlight w:val="none"/>
          <w:lang w:val="en-US" w:eastAsia="zh-CN"/>
        </w:rPr>
        <w:t>。</w:t>
      </w:r>
    </w:p>
    <w:p w14:paraId="579F54FE">
      <w:pPr>
        <w:pStyle w:val="35"/>
        <w:spacing w:line="360" w:lineRule="auto"/>
        <w:rPr>
          <w:rFonts w:ascii="宋体" w:hAnsi="宋体" w:eastAsia="宋体"/>
          <w:b/>
          <w:color w:val="auto"/>
          <w:highlight w:val="none"/>
        </w:rPr>
      </w:pPr>
      <w:bookmarkStart w:id="170" w:name="_Toc16778762"/>
      <w:bookmarkEnd w:id="170"/>
      <w:bookmarkStart w:id="171" w:name="_Toc22396"/>
      <w:bookmarkEnd w:id="171"/>
      <w:bookmarkStart w:id="172" w:name="_Toc19164"/>
      <w:r>
        <w:rPr>
          <w:rFonts w:hint="eastAsia" w:ascii="宋体" w:hAnsi="宋体" w:eastAsia="宋体"/>
          <w:b/>
          <w:color w:val="auto"/>
          <w:highlight w:val="none"/>
        </w:rPr>
        <w:t>3.6 备选投标方案</w:t>
      </w:r>
      <w:bookmarkEnd w:id="172"/>
      <w:r>
        <w:rPr>
          <w:rFonts w:hint="eastAsia" w:ascii="宋体" w:hAnsi="宋体" w:eastAsia="宋体"/>
          <w:b/>
          <w:color w:val="auto"/>
          <w:highlight w:val="none"/>
        </w:rPr>
        <w:t>（不允许）</w:t>
      </w:r>
    </w:p>
    <w:p w14:paraId="7381864A">
      <w:pPr>
        <w:pStyle w:val="35"/>
        <w:spacing w:line="360" w:lineRule="auto"/>
        <w:rPr>
          <w:rFonts w:ascii="宋体" w:hAnsi="宋体" w:eastAsia="宋体"/>
          <w:b/>
          <w:color w:val="auto"/>
          <w:highlight w:val="none"/>
        </w:rPr>
      </w:pPr>
      <w:bookmarkStart w:id="173" w:name="_Toc29828"/>
      <w:bookmarkEnd w:id="173"/>
      <w:bookmarkStart w:id="174" w:name="_Toc152042330"/>
      <w:bookmarkEnd w:id="174"/>
      <w:bookmarkStart w:id="175" w:name="_Toc179632572"/>
      <w:bookmarkEnd w:id="175"/>
      <w:bookmarkStart w:id="176" w:name="_Toc20758"/>
      <w:bookmarkEnd w:id="176"/>
      <w:bookmarkStart w:id="177" w:name="_Toc152045554"/>
      <w:bookmarkEnd w:id="177"/>
      <w:bookmarkStart w:id="178" w:name="_Toc144974522"/>
      <w:bookmarkEnd w:id="178"/>
      <w:bookmarkStart w:id="179" w:name="_Toc16778763"/>
      <w:r>
        <w:rPr>
          <w:rFonts w:hint="eastAsia" w:ascii="宋体" w:hAnsi="宋体" w:eastAsia="宋体"/>
          <w:b/>
          <w:color w:val="auto"/>
          <w:highlight w:val="none"/>
        </w:rPr>
        <w:t>3.7 投标文件的编制</w:t>
      </w:r>
      <w:bookmarkEnd w:id="179"/>
    </w:p>
    <w:p w14:paraId="6CA4FDD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3.7.1 投标文件应按第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章“投标文件格式”进行编写，如有必要，可以增加附页，作为投标文件的组成部分。其中，投标函附录在满足招标文件实质性要求的基础上，可以提出比招标文件要求更有利于招标人的承诺。</w:t>
      </w:r>
    </w:p>
    <w:p w14:paraId="618DB7B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3.7.2 投标文件应对招标文件有关工期、投标有效期、质量要求、安全目标、技术标准和要求、招标范围等实质性内容作出响应。</w:t>
      </w:r>
    </w:p>
    <w:p w14:paraId="2143CCA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3.7.3 </w:t>
      </w:r>
      <w:bookmarkStart w:id="180" w:name="_Toc179632573"/>
      <w:bookmarkEnd w:id="180"/>
      <w:bookmarkStart w:id="181" w:name="_Toc152042331"/>
      <w:bookmarkEnd w:id="181"/>
      <w:bookmarkStart w:id="182" w:name="_Toc16778764"/>
      <w:bookmarkEnd w:id="182"/>
      <w:bookmarkStart w:id="183" w:name="_Toc144974523"/>
      <w:bookmarkEnd w:id="183"/>
      <w:bookmarkStart w:id="184" w:name="_Toc152045555"/>
      <w:r>
        <w:rPr>
          <w:rFonts w:hint="eastAsia" w:ascii="宋体" w:hAnsi="宋体"/>
          <w:color w:val="auto"/>
          <w:sz w:val="24"/>
          <w:szCs w:val="24"/>
          <w:highlight w:val="none"/>
        </w:rPr>
        <w:t>投标文件</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制作</w:t>
      </w:r>
      <w:r>
        <w:rPr>
          <w:rFonts w:hint="eastAsia" w:ascii="宋体" w:hAnsi="宋体"/>
          <w:color w:val="auto"/>
          <w:sz w:val="24"/>
          <w:szCs w:val="24"/>
          <w:highlight w:val="none"/>
          <w:lang w:eastAsia="zh-CN"/>
        </w:rPr>
        <w:t>应满足以下规定</w:t>
      </w:r>
      <w:r>
        <w:rPr>
          <w:rFonts w:hint="eastAsia" w:ascii="宋体" w:hAnsi="宋体"/>
          <w:color w:val="auto"/>
          <w:sz w:val="24"/>
          <w:szCs w:val="24"/>
          <w:highlight w:val="none"/>
        </w:rPr>
        <w:t>：</w:t>
      </w:r>
      <w:bookmarkEnd w:id="184"/>
    </w:p>
    <w:p w14:paraId="53D73F7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（1）投标文件由投标人使用“驻马店市公共资源交易平台”自带的“投标文件制作工具”制作生成。</w:t>
      </w:r>
    </w:p>
    <w:p w14:paraId="2B3EEA30">
      <w:pPr>
        <w:keepNext w:val="0"/>
        <w:keepLines w:val="0"/>
        <w:pageBreakBefore w:val="0"/>
        <w:kinsoku/>
        <w:overflowPunct/>
        <w:topLinePunct w:val="0"/>
        <w:autoSpaceDE/>
        <w:autoSpaceDN/>
        <w:bidi w:val="0"/>
        <w:adjustRightInd/>
        <w:snapToGrid w:val="0"/>
        <w:spacing w:line="368" w:lineRule="auto"/>
        <w:ind w:firstLine="480" w:firstLineChars="200"/>
        <w:textAlignment w:val="auto"/>
        <w:rPr>
          <w:rFonts w:hint="eastAsia" w:ascii="仿宋_GB2312" w:hAnsi="宋体"/>
          <w:color w:val="auto"/>
          <w:sz w:val="24"/>
          <w:szCs w:val="24"/>
          <w:highlight w:val="none"/>
        </w:rPr>
      </w:pPr>
      <w:r>
        <w:rPr>
          <w:rFonts w:hint="eastAsia" w:ascii="宋体" w:hAnsi="宋体"/>
          <w:color w:val="auto"/>
          <w:sz w:val="24"/>
          <w:szCs w:val="24"/>
          <w:highlight w:val="none"/>
        </w:rPr>
        <w:t>（2）投标人在编制投标文件时应建立分级目录，并按照标签提示导入相关内容。</w:t>
      </w:r>
      <w:r>
        <w:rPr>
          <w:rFonts w:hint="eastAsia" w:ascii="宋体" w:hAnsi="宋体"/>
          <w:color w:val="auto"/>
          <w:sz w:val="24"/>
          <w:szCs w:val="24"/>
          <w:highlight w:val="none"/>
          <w:lang w:val="en-US" w:eastAsia="zh-CN"/>
        </w:rPr>
        <w:t>投标</w:t>
      </w:r>
      <w:r>
        <w:rPr>
          <w:rFonts w:hint="eastAsia" w:ascii="宋体" w:hAnsi="宋体" w:eastAsia="宋体"/>
          <w:color w:val="auto"/>
          <w:kern w:val="0"/>
          <w:sz w:val="24"/>
          <w:szCs w:val="24"/>
          <w:highlight w:val="none"/>
          <w:lang w:eastAsia="zh-CN"/>
        </w:rPr>
        <w:t>文件</w:t>
      </w:r>
      <w:r>
        <w:rPr>
          <w:rFonts w:ascii="宋体" w:hAnsi="宋体" w:eastAsia="宋体"/>
          <w:color w:val="auto"/>
          <w:kern w:val="0"/>
          <w:sz w:val="24"/>
          <w:szCs w:val="24"/>
          <w:highlight w:val="none"/>
        </w:rPr>
        <w:t>内容不完整、编排混乱导致</w:t>
      </w:r>
      <w:r>
        <w:rPr>
          <w:rFonts w:hint="eastAsia" w:ascii="宋体" w:hAnsi="宋体" w:eastAsia="宋体"/>
          <w:color w:val="auto"/>
          <w:kern w:val="0"/>
          <w:sz w:val="24"/>
          <w:szCs w:val="24"/>
          <w:highlight w:val="none"/>
          <w:lang w:val="en-US" w:eastAsia="zh-CN"/>
        </w:rPr>
        <w:t>投标</w:t>
      </w:r>
      <w:r>
        <w:rPr>
          <w:rFonts w:hint="eastAsia" w:ascii="宋体" w:hAnsi="宋体" w:eastAsia="宋体"/>
          <w:color w:val="auto"/>
          <w:kern w:val="0"/>
          <w:sz w:val="24"/>
          <w:szCs w:val="24"/>
          <w:highlight w:val="none"/>
          <w:lang w:eastAsia="zh-CN"/>
        </w:rPr>
        <w:t>文件</w:t>
      </w:r>
      <w:r>
        <w:rPr>
          <w:rFonts w:ascii="宋体" w:hAnsi="宋体" w:eastAsia="宋体"/>
          <w:color w:val="auto"/>
          <w:kern w:val="0"/>
          <w:sz w:val="24"/>
          <w:szCs w:val="24"/>
          <w:highlight w:val="none"/>
        </w:rPr>
        <w:t>被误读、漏读或者查找不到相关内容的，由</w:t>
      </w:r>
      <w:r>
        <w:rPr>
          <w:rFonts w:hint="eastAsia" w:ascii="宋体" w:hAnsi="宋体" w:eastAsia="宋体"/>
          <w:color w:val="auto"/>
          <w:kern w:val="0"/>
          <w:sz w:val="24"/>
          <w:szCs w:val="24"/>
          <w:highlight w:val="none"/>
          <w:lang w:val="en-US" w:eastAsia="zh-CN"/>
        </w:rPr>
        <w:t>投标人</w:t>
      </w:r>
      <w:r>
        <w:rPr>
          <w:rFonts w:ascii="宋体" w:hAnsi="宋体" w:eastAsia="宋体"/>
          <w:color w:val="auto"/>
          <w:kern w:val="0"/>
          <w:sz w:val="24"/>
          <w:szCs w:val="24"/>
          <w:highlight w:val="none"/>
        </w:rPr>
        <w:t>负责</w:t>
      </w:r>
      <w:r>
        <w:rPr>
          <w:rFonts w:hint="eastAsia" w:ascii="宋体" w:hAnsi="宋体"/>
          <w:color w:val="auto"/>
          <w:sz w:val="24"/>
          <w:szCs w:val="24"/>
          <w:highlight w:val="none"/>
          <w:lang w:eastAsia="zh-CN"/>
        </w:rPr>
        <w:t>，</w:t>
      </w:r>
      <w:r>
        <w:rPr>
          <w:rFonts w:hint="eastAsia" w:ascii="宋体" w:hAnsi="宋体"/>
          <w:color w:val="auto"/>
          <w:sz w:val="24"/>
          <w:szCs w:val="24"/>
          <w:highlight w:val="none"/>
        </w:rPr>
        <w:t>并</w:t>
      </w:r>
      <w:r>
        <w:rPr>
          <w:rFonts w:hint="eastAsia" w:ascii="宋体" w:hAnsi="宋体"/>
          <w:color w:val="auto"/>
          <w:sz w:val="24"/>
          <w:szCs w:val="24"/>
          <w:highlight w:val="none"/>
          <w:lang w:val="en-US" w:eastAsia="zh-CN"/>
        </w:rPr>
        <w:t>应对此</w:t>
      </w:r>
      <w:r>
        <w:rPr>
          <w:rFonts w:hint="eastAsia" w:ascii="宋体" w:hAnsi="宋体"/>
          <w:color w:val="auto"/>
          <w:sz w:val="24"/>
          <w:szCs w:val="24"/>
          <w:highlight w:val="none"/>
        </w:rPr>
        <w:t>做出承诺，否则视为对</w:t>
      </w:r>
      <w:r>
        <w:rPr>
          <w:rFonts w:hint="eastAsia" w:ascii="宋体" w:hAnsi="宋体"/>
          <w:color w:val="auto"/>
          <w:sz w:val="24"/>
          <w:szCs w:val="24"/>
          <w:highlight w:val="none"/>
          <w:lang w:val="en-US" w:eastAsia="zh-CN"/>
        </w:rPr>
        <w:t>招标</w:t>
      </w:r>
      <w:r>
        <w:rPr>
          <w:rFonts w:hint="eastAsia" w:ascii="宋体" w:hAnsi="宋体"/>
          <w:color w:val="auto"/>
          <w:sz w:val="24"/>
          <w:szCs w:val="24"/>
          <w:highlight w:val="none"/>
        </w:rPr>
        <w:t>文件未作出实质性响应。</w:t>
      </w:r>
    </w:p>
    <w:p w14:paraId="5BE5BE1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（3）投标文件中证明资料的“复印件”均为“原件的扫描件”。</w:t>
      </w:r>
    </w:p>
    <w:p w14:paraId="339CC6A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（4）投标文件中的已标价报价清单数据文件应与招标人提供的报价清单数据文件格式一致。 </w:t>
      </w:r>
    </w:p>
    <w:p w14:paraId="4D6A447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章“投标文件格式”中要求盖单位章和（或）签字的地方，投标人均应使用 CA 数字证书加盖投标人的单位电子印章和（或）法定代表人的个人电子印章或电子签名章。</w:t>
      </w:r>
    </w:p>
    <w:p w14:paraId="7084C9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（6）投标文件制作完成后，投标人应使用 CA 数字证书对投标文件进行文件加密，形成加密的投标文件。</w:t>
      </w:r>
    </w:p>
    <w:p w14:paraId="38FF06C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（7）投标文件制作的具体方法详见“投标文件制作工具”中的帮助文档。</w:t>
      </w:r>
    </w:p>
    <w:p w14:paraId="7370CB4B">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3.7.4投标文件副本份数及其他要求：见投标人须知前附表。</w:t>
      </w:r>
      <w:r>
        <w:rPr>
          <w:rFonts w:hint="eastAsia" w:ascii="宋体" w:hAnsi="宋体"/>
          <w:color w:val="auto"/>
          <w:sz w:val="24"/>
          <w:szCs w:val="24"/>
          <w:highlight w:val="none"/>
          <w:lang w:val="en-US" w:eastAsia="zh-CN"/>
        </w:rPr>
        <w:t>投标文件中投标人自拟格式的承诺书、保证、声明等应由法定代表人亲笔书写签名，</w:t>
      </w:r>
      <w:r>
        <w:rPr>
          <w:rFonts w:hint="eastAsia" w:ascii="宋体" w:hAnsi="宋体"/>
          <w:color w:val="auto"/>
          <w:sz w:val="24"/>
          <w:szCs w:val="24"/>
          <w:highlight w:val="none"/>
        </w:rPr>
        <w:t>否则视为对</w:t>
      </w:r>
      <w:r>
        <w:rPr>
          <w:rFonts w:hint="eastAsia" w:ascii="宋体" w:hAnsi="宋体"/>
          <w:color w:val="auto"/>
          <w:sz w:val="24"/>
          <w:szCs w:val="24"/>
          <w:highlight w:val="none"/>
          <w:lang w:val="en-US" w:eastAsia="zh-CN"/>
        </w:rPr>
        <w:t>招标</w:t>
      </w:r>
      <w:r>
        <w:rPr>
          <w:rFonts w:hint="eastAsia" w:ascii="宋体" w:hAnsi="宋体"/>
          <w:color w:val="auto"/>
          <w:sz w:val="24"/>
          <w:szCs w:val="24"/>
          <w:highlight w:val="none"/>
        </w:rPr>
        <w:t>文件未作出实质性响应</w:t>
      </w:r>
      <w:r>
        <w:rPr>
          <w:rFonts w:hint="eastAsia" w:ascii="宋体" w:hAnsi="宋体"/>
          <w:color w:val="auto"/>
          <w:sz w:val="24"/>
          <w:szCs w:val="24"/>
          <w:highlight w:val="none"/>
          <w:lang w:eastAsia="zh-CN"/>
        </w:rPr>
        <w:t>。</w:t>
      </w:r>
    </w:p>
    <w:p w14:paraId="09EF5719">
      <w:pPr>
        <w:pStyle w:val="34"/>
        <w:spacing w:line="360" w:lineRule="auto"/>
        <w:rPr>
          <w:rFonts w:ascii="宋体" w:hAnsi="宋体" w:eastAsia="宋体"/>
          <w:b/>
          <w:color w:val="auto"/>
          <w:highlight w:val="none"/>
        </w:rPr>
      </w:pPr>
      <w:bookmarkStart w:id="185" w:name="_Toc29042"/>
      <w:bookmarkEnd w:id="185"/>
      <w:bookmarkStart w:id="186" w:name="_Toc23390"/>
      <w:r>
        <w:rPr>
          <w:rFonts w:hint="eastAsia" w:ascii="宋体" w:hAnsi="宋体" w:eastAsia="宋体"/>
          <w:b/>
          <w:color w:val="auto"/>
          <w:highlight w:val="none"/>
        </w:rPr>
        <w:t>4. 投标</w:t>
      </w:r>
      <w:bookmarkEnd w:id="186"/>
    </w:p>
    <w:p w14:paraId="3A59FD00">
      <w:pPr>
        <w:pStyle w:val="35"/>
        <w:spacing w:line="360" w:lineRule="auto"/>
        <w:rPr>
          <w:rFonts w:hint="eastAsia" w:ascii="宋体" w:hAnsi="宋体" w:eastAsia="宋体"/>
          <w:b/>
          <w:color w:val="auto"/>
          <w:highlight w:val="none"/>
          <w:lang w:eastAsia="zh-CN"/>
        </w:rPr>
      </w:pPr>
      <w:bookmarkStart w:id="187" w:name="_Toc16585"/>
      <w:bookmarkEnd w:id="187"/>
      <w:bookmarkStart w:id="188" w:name="_Toc179632574"/>
      <w:bookmarkEnd w:id="188"/>
      <w:bookmarkStart w:id="189" w:name="_Toc144974524"/>
      <w:bookmarkEnd w:id="189"/>
      <w:bookmarkStart w:id="190" w:name="_Toc16778765"/>
      <w:bookmarkEnd w:id="190"/>
      <w:bookmarkStart w:id="191" w:name="_Toc152042332"/>
      <w:bookmarkEnd w:id="191"/>
      <w:bookmarkStart w:id="192" w:name="_Toc25042"/>
      <w:bookmarkEnd w:id="192"/>
      <w:bookmarkStart w:id="193" w:name="_Toc152045556"/>
      <w:r>
        <w:rPr>
          <w:rFonts w:hint="eastAsia" w:ascii="宋体" w:hAnsi="宋体" w:eastAsia="宋体"/>
          <w:b/>
          <w:color w:val="auto"/>
          <w:highlight w:val="none"/>
        </w:rPr>
        <w:t>4.1 投标文件的</w:t>
      </w:r>
      <w:bookmarkEnd w:id="193"/>
      <w:r>
        <w:rPr>
          <w:rFonts w:hint="eastAsia" w:ascii="宋体" w:hAnsi="宋体" w:eastAsia="宋体"/>
          <w:b/>
          <w:color w:val="auto"/>
          <w:highlight w:val="none"/>
          <w:lang w:eastAsia="zh-CN"/>
        </w:rPr>
        <w:t>加密</w:t>
      </w:r>
    </w:p>
    <w:p w14:paraId="081C2C6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4.1.1投标文件应按照本章第 3.7.3 项要求制作并加密，未按要求加密的投标文件，招标人（“驻马店市公共资源交易平台”）将拒绝接收并提示。 </w:t>
      </w:r>
    </w:p>
    <w:p w14:paraId="3B26CC22">
      <w:pPr>
        <w:pStyle w:val="35"/>
        <w:spacing w:line="360" w:lineRule="auto"/>
        <w:rPr>
          <w:rFonts w:ascii="宋体" w:hAnsi="宋体" w:eastAsia="宋体"/>
          <w:b/>
          <w:color w:val="auto"/>
          <w:highlight w:val="none"/>
        </w:rPr>
      </w:pPr>
      <w:bookmarkStart w:id="194" w:name="_Toc12881"/>
      <w:bookmarkEnd w:id="194"/>
      <w:bookmarkStart w:id="195" w:name="_Toc152042333"/>
      <w:bookmarkEnd w:id="195"/>
      <w:bookmarkStart w:id="196" w:name="_Toc144974525"/>
      <w:bookmarkEnd w:id="196"/>
      <w:bookmarkStart w:id="197" w:name="_Toc179632575"/>
      <w:bookmarkEnd w:id="197"/>
      <w:bookmarkStart w:id="198" w:name="_Toc16778766"/>
      <w:bookmarkEnd w:id="198"/>
      <w:bookmarkStart w:id="199" w:name="_Toc152045557"/>
      <w:bookmarkEnd w:id="199"/>
      <w:bookmarkStart w:id="200" w:name="_Toc29063"/>
      <w:r>
        <w:rPr>
          <w:rFonts w:hint="eastAsia" w:ascii="宋体" w:hAnsi="宋体" w:eastAsia="宋体"/>
          <w:b/>
          <w:color w:val="auto"/>
          <w:highlight w:val="none"/>
        </w:rPr>
        <w:t>4.2 投标文件的递交</w:t>
      </w:r>
      <w:bookmarkEnd w:id="200"/>
    </w:p>
    <w:p w14:paraId="6ED9F9B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4.2.1 投标人应在第一章“招标公告”或“投标邀请书”规定的投标截止时间前，通过互联网使用 CA 数字证书登录“驻马店市公共资源交易平台”，将加密的投标文件上传，并保存上传成功后系统自动生成的电子签收凭证，递交时间即为电子签收凭证时间。投标人应充分考虑上传文件时的不可预见因素，未在投标截止时间前完成上传的，视为逾期送达，招标人（“驻马店市公共资源交易平台”）将拒绝接收。</w:t>
      </w:r>
    </w:p>
    <w:p w14:paraId="3937F0C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4.2.2 根据本章第 4.1 款的规定，投标人递交的投标文件，只要出现应当拒收的情形，其投标文件予以拒收。</w:t>
      </w:r>
    </w:p>
    <w:p w14:paraId="3A25B5F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4.2.3除投标人须知前附表另有规定外，投标人所递交的投标文件不予退还。</w:t>
      </w:r>
    </w:p>
    <w:p w14:paraId="27F5E81A">
      <w:pPr>
        <w:pStyle w:val="35"/>
        <w:spacing w:line="360" w:lineRule="auto"/>
        <w:rPr>
          <w:rFonts w:ascii="宋体" w:hAnsi="宋体" w:eastAsia="宋体"/>
          <w:b/>
          <w:color w:val="auto"/>
          <w:highlight w:val="none"/>
        </w:rPr>
      </w:pPr>
      <w:bookmarkStart w:id="201" w:name="_Toc144974526"/>
      <w:bookmarkEnd w:id="201"/>
      <w:bookmarkStart w:id="202" w:name="_Toc24664"/>
      <w:bookmarkEnd w:id="202"/>
      <w:bookmarkStart w:id="203" w:name="_Toc16778767"/>
      <w:bookmarkEnd w:id="203"/>
      <w:bookmarkStart w:id="204" w:name="_Toc152045558"/>
      <w:bookmarkEnd w:id="204"/>
      <w:bookmarkStart w:id="205" w:name="_Toc26962"/>
      <w:bookmarkEnd w:id="205"/>
      <w:bookmarkStart w:id="206" w:name="_Toc152042334"/>
      <w:bookmarkEnd w:id="206"/>
      <w:bookmarkStart w:id="207" w:name="_Toc179632576"/>
      <w:r>
        <w:rPr>
          <w:rFonts w:hint="eastAsia" w:ascii="宋体" w:hAnsi="宋体" w:eastAsia="宋体"/>
          <w:b/>
          <w:color w:val="auto"/>
          <w:highlight w:val="none"/>
        </w:rPr>
        <w:t>4.3 投标文件的修改与撤回</w:t>
      </w:r>
      <w:bookmarkEnd w:id="207"/>
    </w:p>
    <w:p w14:paraId="591D16A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4.3.1 在本章第 4.2.1 项规定的投标截止时间前，投标人可以修改或撤回已递交的投标文件。投标人对加密的投标文件进行撤回的，应在“驻马店市公共资源交易平台”直接进行撤回操作；投标人对加密的投标文件进行修改的，应在投标截止时间前完成上传。</w:t>
      </w:r>
    </w:p>
    <w:p w14:paraId="55B4880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4.3.2 投标人修改投标文件的，应使用“投标文件制作工具”制作成完整的投标文件，并按照本章第 3 条、第 4 条规定进行编制、加密和递交。对采用网上递交的加密的投标文件，以投标截止时间前最后完成上传的文件为准。</w:t>
      </w:r>
    </w:p>
    <w:p w14:paraId="79328432">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4.3.3 投标人撤回投标文件的，招标人自收到投标人书面撤回通知之日起 5 日内退还已收取的投标保证金。</w:t>
      </w:r>
      <w:bookmarkStart w:id="208" w:name="5、磋商开启"/>
      <w:bookmarkEnd w:id="208"/>
    </w:p>
    <w:p w14:paraId="3045F83E">
      <w:pPr>
        <w:pStyle w:val="34"/>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eastAsia="宋体"/>
          <w:b/>
          <w:color w:val="auto"/>
          <w:highlight w:val="none"/>
        </w:rPr>
      </w:pPr>
      <w:bookmarkStart w:id="209" w:name="_Toc144974527"/>
      <w:bookmarkEnd w:id="209"/>
      <w:bookmarkStart w:id="210" w:name="_Toc179632577"/>
      <w:bookmarkEnd w:id="210"/>
      <w:bookmarkStart w:id="211" w:name="_Toc152042335"/>
      <w:bookmarkEnd w:id="211"/>
      <w:bookmarkStart w:id="212" w:name="_Toc16778768"/>
      <w:bookmarkEnd w:id="212"/>
      <w:bookmarkStart w:id="213" w:name="_Toc3762"/>
      <w:bookmarkEnd w:id="213"/>
      <w:bookmarkStart w:id="214" w:name="_Toc152045559"/>
      <w:bookmarkEnd w:id="214"/>
      <w:bookmarkStart w:id="215" w:name="_Toc14534"/>
      <w:r>
        <w:rPr>
          <w:rFonts w:hint="eastAsia" w:ascii="宋体" w:hAnsi="宋体" w:eastAsia="宋体"/>
          <w:b/>
          <w:color w:val="auto"/>
          <w:highlight w:val="none"/>
        </w:rPr>
        <w:t>5. 开标</w:t>
      </w:r>
      <w:bookmarkEnd w:id="215"/>
    </w:p>
    <w:p w14:paraId="0F825AFE">
      <w:pPr>
        <w:pStyle w:val="35"/>
        <w:spacing w:line="360" w:lineRule="auto"/>
        <w:rPr>
          <w:rFonts w:hint="eastAsia" w:ascii="宋体" w:hAnsi="宋体" w:eastAsia="宋体"/>
          <w:b/>
          <w:color w:val="auto"/>
          <w:highlight w:val="none"/>
        </w:rPr>
      </w:pPr>
      <w:bookmarkStart w:id="216" w:name="_Toc152045560"/>
      <w:bookmarkEnd w:id="216"/>
      <w:bookmarkStart w:id="217" w:name="_Toc179632579"/>
      <w:bookmarkEnd w:id="217"/>
      <w:bookmarkStart w:id="218" w:name="_Toc16778770"/>
      <w:bookmarkEnd w:id="218"/>
      <w:bookmarkStart w:id="219" w:name="_Toc152045561"/>
      <w:bookmarkEnd w:id="219"/>
      <w:bookmarkStart w:id="220" w:name="_Toc1228"/>
      <w:bookmarkEnd w:id="220"/>
      <w:bookmarkStart w:id="221" w:name="_Toc144974528"/>
      <w:bookmarkEnd w:id="221"/>
      <w:bookmarkStart w:id="222" w:name="_Toc152042336"/>
      <w:bookmarkEnd w:id="222"/>
      <w:bookmarkStart w:id="223" w:name="_Toc14296"/>
      <w:bookmarkEnd w:id="223"/>
      <w:bookmarkStart w:id="224" w:name="_Toc152042337"/>
      <w:bookmarkEnd w:id="224"/>
      <w:bookmarkStart w:id="225" w:name="_Toc18244"/>
      <w:bookmarkEnd w:id="225"/>
      <w:bookmarkStart w:id="226" w:name="_Toc16778769"/>
      <w:bookmarkEnd w:id="226"/>
      <w:r>
        <w:rPr>
          <w:rFonts w:hint="eastAsia" w:ascii="宋体" w:hAnsi="宋体" w:eastAsia="宋体"/>
          <w:b/>
          <w:color w:val="auto"/>
          <w:highlight w:val="none"/>
        </w:rPr>
        <w:t>5.1 开标时间和地点</w:t>
      </w:r>
    </w:p>
    <w:p w14:paraId="31F80E0F">
      <w:pPr>
        <w:spacing w:line="360" w:lineRule="auto"/>
        <w:ind w:firstLine="480" w:firstLineChars="200"/>
        <w:rPr>
          <w:rFonts w:hint="eastAsia" w:ascii="宋体" w:hAnsi="宋体"/>
          <w:color w:val="auto"/>
          <w:sz w:val="24"/>
          <w:szCs w:val="24"/>
          <w:highlight w:val="none"/>
        </w:rPr>
      </w:pPr>
      <w:bookmarkStart w:id="227" w:name="_Toc144974529"/>
      <w:r>
        <w:rPr>
          <w:rFonts w:hint="eastAsia" w:ascii="宋体" w:hAnsi="宋体"/>
          <w:color w:val="auto"/>
          <w:sz w:val="24"/>
          <w:szCs w:val="24"/>
          <w:highlight w:val="none"/>
        </w:rPr>
        <w:t>招标人在本章第 4.2.1 项规定的投标截止时间（开标时间）和投标人须知前附表规定的地点对收到的投标文件第一个信封（商务及技术文件）公开开标，并邀请所有投标人的法定代表人或其委托代理人准时参加远程开标。</w:t>
      </w:r>
      <w:bookmarkEnd w:id="227"/>
    </w:p>
    <w:p w14:paraId="56DEFF8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招标人在投标人须知前附表规定的时间和地点对投标文件第二个信封（报价文件）进行开标，并邀请所有投标人的法定代表人或其委托代理人准时参加远程开标。</w:t>
      </w:r>
    </w:p>
    <w:p w14:paraId="12C09BFC">
      <w:pPr>
        <w:spacing w:line="360" w:lineRule="auto"/>
        <w:ind w:firstLine="480" w:firstLineChars="200"/>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投标人若未派法定代表人或委托代理人参加第一个信封（商务及技术文件）远程开标的，其投标将被否决。</w:t>
      </w:r>
      <w:r>
        <w:rPr>
          <w:rFonts w:hint="eastAsia" w:ascii="宋体" w:hAnsi="宋体"/>
          <w:color w:val="auto"/>
          <w:sz w:val="24"/>
          <w:szCs w:val="24"/>
          <w:highlight w:val="none"/>
        </w:rPr>
        <w:t>投标人若未派法定代表人或委托代理人参加第二个信封（报价文件）远程开标的，视为该投标人默认第二个信封（报价文件）的开标结果。</w:t>
      </w:r>
    </w:p>
    <w:p w14:paraId="2EE52966">
      <w:pPr>
        <w:pStyle w:val="35"/>
        <w:spacing w:line="360" w:lineRule="auto"/>
        <w:rPr>
          <w:rFonts w:hint="eastAsia" w:ascii="宋体" w:hAnsi="宋体" w:eastAsia="宋体"/>
          <w:b/>
          <w:color w:val="auto"/>
          <w:highlight w:val="none"/>
        </w:rPr>
      </w:pPr>
      <w:bookmarkStart w:id="228" w:name="_Toc5371"/>
      <w:r>
        <w:rPr>
          <w:rFonts w:hint="eastAsia" w:ascii="宋体" w:hAnsi="宋体" w:eastAsia="宋体"/>
          <w:b/>
          <w:color w:val="auto"/>
          <w:highlight w:val="none"/>
        </w:rPr>
        <w:t>5.2 开标程序</w:t>
      </w:r>
      <w:bookmarkEnd w:id="228"/>
    </w:p>
    <w:p w14:paraId="48C03FE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14:paraId="5C2B2C2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5.2.1 主持人按下列程序对投标文件第一个信封（商务及技术文件）进行远程开标：</w:t>
      </w:r>
    </w:p>
    <w:p w14:paraId="315D108E">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（1）宣布开标纪律；</w:t>
      </w:r>
    </w:p>
    <w:p w14:paraId="07F2A8E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（2）公布在投标截止时间前递交投标文件的投标人数量；</w:t>
      </w:r>
    </w:p>
    <w:p w14:paraId="5AFCE51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（3）宣布开标人、唱标人、记录人等有关人员姓名； </w:t>
      </w:r>
    </w:p>
    <w:p w14:paraId="1BEC739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（4）由招标人现场随机抽取的投标人代表抽取评标基准价系数（如有）；</w:t>
      </w:r>
    </w:p>
    <w:p w14:paraId="31C4A62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（5）投标人代表解密加密的投标文件；</w:t>
      </w:r>
    </w:p>
    <w:p w14:paraId="526468D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（6）招标人对未成功解密的投标文件进行退回并按本章第 5.3 款进行补救处理，对已解密成功的投标文件进行二次解密；</w:t>
      </w:r>
    </w:p>
    <w:p w14:paraId="4BF90EF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（7）导入并读取所有解密成功的投标文件第一个信封（商务及技术文件）的内容；</w:t>
      </w:r>
    </w:p>
    <w:p w14:paraId="5C4B1CB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（8）公布标段名称、投标人名称、投标保证金的递交情况及其他内容，并记录在案； </w:t>
      </w:r>
    </w:p>
    <w:p w14:paraId="3C23407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（9）招标人代表、记录人等有关人员在开标记录上签字确认；</w:t>
      </w:r>
    </w:p>
    <w:p w14:paraId="7EE11CC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（10）开标结束。</w:t>
      </w:r>
    </w:p>
    <w:p w14:paraId="10FDC7E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5.2.2 投标文件第二个信封（报价文件）在投标文件第一个信封（商务及技术文件）完成评审前，“驻马店市公共资源交易平台”的开标评标系统将不进行读取。</w:t>
      </w:r>
    </w:p>
    <w:p w14:paraId="5222153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5.2.3 招标人将按照本章第 5.1 款规定的时间和地点对投标文件第二个信封（报价文件）进行远程开标。主持人按下列程序进行开标：</w:t>
      </w:r>
    </w:p>
    <w:p w14:paraId="23E5B8A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（1）宣布开标纪律；</w:t>
      </w:r>
    </w:p>
    <w:p w14:paraId="3E17EA8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（2）当众拆开投标文件第一个信封（商务及技术文件）评审结果的密封袋，宣布通过投标文件第一个信封（商务及技术文件）评审的投标人名单；</w:t>
      </w:r>
    </w:p>
    <w:p w14:paraId="1A21C13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（3）宣布开标人、唱标人、记录人等有关人员姓名；</w:t>
      </w:r>
    </w:p>
    <w:p w14:paraId="7042409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开标人将所有投标文件第二个信封（报价文件）的内容导入“驻马店市公共资源交易平台”的开标评标系统，未通过投标文件第一个信封（商务及技术文件）评审的投标人的第二个信封（报价文件）不予读取；</w:t>
      </w:r>
    </w:p>
    <w:p w14:paraId="2C0889C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（5）公布标段名称、投标人名称、投标报价及其他内容，并记录在案； </w:t>
      </w:r>
    </w:p>
    <w:p w14:paraId="2C8BCEF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（6）招标人代表、记录人等有关人员在开标记录上签字确认；</w:t>
      </w:r>
    </w:p>
    <w:p w14:paraId="7A5E47B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（7）开标结束。</w:t>
      </w:r>
    </w:p>
    <w:p w14:paraId="61EF79E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5.2.4 在投标文件第二个信封（报价文件）开标现场，</w:t>
      </w:r>
      <w:r>
        <w:rPr>
          <w:rFonts w:hint="eastAsia" w:ascii="宋体" w:hAnsi="宋体"/>
          <w:color w:val="000000" w:themeColor="text1"/>
          <w:sz w:val="24"/>
          <w:szCs w:val="24"/>
          <w:highlight w:val="none"/>
          <w14:textFill>
            <w14:solidFill>
              <w14:schemeClr w14:val="tx1"/>
            </w14:solidFill>
          </w14:textFill>
        </w:rPr>
        <w:t>招标人将按第三章“评标办法”规定的原则计算并宣布评标基准价。若</w:t>
      </w:r>
      <w:r>
        <w:rPr>
          <w:rFonts w:hint="eastAsia" w:ascii="宋体" w:hAnsi="宋体"/>
          <w:color w:val="auto"/>
          <w:sz w:val="24"/>
          <w:szCs w:val="24"/>
          <w:highlight w:val="none"/>
        </w:rPr>
        <w:t>招标人发现投标文件出现以下任一情况，其投标报价将不再参加评标基准价的计算：</w:t>
      </w:r>
    </w:p>
    <w:p w14:paraId="2266823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（1）未在投标函上填写投标总价；</w:t>
      </w:r>
    </w:p>
    <w:p w14:paraId="27EC74A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（2）投标报价超出招标人公布的最高投标限价（如有）；</w:t>
      </w:r>
    </w:p>
    <w:p w14:paraId="7D5C703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（3）投标报价的大写金额无法确定具体数值； </w:t>
      </w:r>
    </w:p>
    <w:p w14:paraId="7957FC5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（4）投标函上填写的标段号与</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标段号不一致。</w:t>
      </w:r>
    </w:p>
    <w:p w14:paraId="241DFEF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如果投标人认为某一标段的评标基准价计算有误，有权在远程开标大厅现场提出，经招标人当场核实确认之后，可重新宣布评标基准价。开标现场宣布的评标基准价除计算有误经评标委员会修正外，在整个评标期间保持不变，不随任何因素发生变化。</w:t>
      </w:r>
    </w:p>
    <w:p w14:paraId="028D21AA">
      <w:pPr>
        <w:spacing w:line="360" w:lineRule="auto"/>
        <w:ind w:firstLine="480" w:firstLineChars="200"/>
        <w:rPr>
          <w:rFonts w:hint="eastAsia"/>
          <w:color w:val="auto"/>
          <w:highlight w:val="none"/>
        </w:rPr>
      </w:pPr>
      <w:r>
        <w:rPr>
          <w:rFonts w:hint="eastAsia" w:ascii="宋体" w:hAnsi="宋体"/>
          <w:color w:val="auto"/>
          <w:sz w:val="24"/>
          <w:szCs w:val="24"/>
          <w:highlight w:val="none"/>
        </w:rPr>
        <w:t>5.2.5 在投标文件第一个信封（商务及技术文件）或第二个信封（报价文件）开标过程中，若招标人宣读的内容与投标文件不符，投标人有权在远程开标大厅现场提出疑问，经招标人当场核查确认之后，可重新宣读其投标文件。若投标人现场未提出疑问，则认为投标人已确认招标人宣读的内容。</w:t>
      </w:r>
    </w:p>
    <w:p w14:paraId="07E6C949">
      <w:pPr>
        <w:pStyle w:val="35"/>
        <w:spacing w:line="360" w:lineRule="auto"/>
        <w:rPr>
          <w:rFonts w:hint="eastAsia" w:ascii="宋体" w:hAnsi="宋体" w:eastAsia="宋体"/>
          <w:b/>
          <w:color w:val="auto"/>
          <w:highlight w:val="none"/>
        </w:rPr>
      </w:pPr>
      <w:bookmarkStart w:id="229" w:name="_Toc27249"/>
      <w:r>
        <w:rPr>
          <w:rFonts w:hint="eastAsia" w:ascii="宋体" w:hAnsi="宋体" w:eastAsia="宋体"/>
          <w:b/>
          <w:color w:val="auto"/>
          <w:highlight w:val="none"/>
        </w:rPr>
        <w:t>5.</w:t>
      </w:r>
      <w:r>
        <w:rPr>
          <w:rFonts w:hint="eastAsia" w:ascii="宋体" w:hAnsi="宋体" w:eastAsia="宋体"/>
          <w:b/>
          <w:color w:val="auto"/>
          <w:highlight w:val="none"/>
          <w:lang w:val="en-US" w:eastAsia="zh-CN"/>
        </w:rPr>
        <w:t>3</w:t>
      </w:r>
      <w:r>
        <w:rPr>
          <w:rFonts w:hint="eastAsia" w:ascii="宋体" w:hAnsi="宋体" w:eastAsia="宋体"/>
          <w:b/>
          <w:color w:val="auto"/>
          <w:highlight w:val="none"/>
        </w:rPr>
        <w:t xml:space="preserve"> 开标补救措施</w:t>
      </w:r>
      <w:bookmarkEnd w:id="229"/>
    </w:p>
    <w:p w14:paraId="3F0C41A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.1 开标过程中因本章第 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.2 项、第 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.3 项所列原因，导致系统无法正常运行，将按投标人须知前附表的规定采取补救措施。</w:t>
      </w:r>
    </w:p>
    <w:p w14:paraId="2110488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.2 因“驻马店市公共资源交易平台”系统故障导致投标人无法正常上传加密的投标文件，投标人应打印并递交驻马店市公共资源交易平台自动生成的上传失败的异常记录单。</w:t>
      </w:r>
    </w:p>
    <w:p w14:paraId="2287A9CE">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 xml:space="preserve">.3 当出现以下情况时，应对未开标的中止电子开标，并在恢复正常后及时安排时间开标： </w:t>
      </w:r>
    </w:p>
    <w:p w14:paraId="5CEDA2D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（1）系统服务器发生故障，无法访问或无法使用系统；</w:t>
      </w:r>
    </w:p>
    <w:p w14:paraId="7999286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（2）系统的软件或数据库出现错误，不能进行正常操作；</w:t>
      </w:r>
    </w:p>
    <w:p w14:paraId="7B4AEE3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（3）系统发现有安全漏洞，有潜在的泄密危险；</w:t>
      </w:r>
    </w:p>
    <w:p w14:paraId="70931B0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（4）出现断电事故且短时间内无法恢复供电；</w:t>
      </w:r>
    </w:p>
    <w:p w14:paraId="00F1BDD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（5）其他无法保证招投标过程正常进行的情形。</w:t>
      </w:r>
    </w:p>
    <w:p w14:paraId="0A98501B">
      <w:pPr>
        <w:pStyle w:val="12"/>
        <w:ind w:left="0" w:leftChars="0"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color w:val="auto"/>
          <w:sz w:val="24"/>
          <w:szCs w:val="24"/>
          <w:highlight w:val="none"/>
          <w:lang w:val="en-US" w:eastAsia="zh-CN"/>
        </w:rPr>
        <w:t>3</w:t>
      </w:r>
      <w:r>
        <w:rPr>
          <w:rFonts w:hint="eastAsia" w:ascii="宋体" w:hAnsi="宋体"/>
          <w:color w:val="auto"/>
          <w:sz w:val="24"/>
          <w:szCs w:val="24"/>
          <w:highlight w:val="none"/>
        </w:rPr>
        <w:t>.4 采取补救措施时，必须对原有资料及信息作出妥善保密处理。</w:t>
      </w:r>
    </w:p>
    <w:p w14:paraId="756B06AA">
      <w:pPr>
        <w:spacing w:line="360" w:lineRule="auto"/>
        <w:rPr>
          <w:rFonts w:ascii="宋体" w:hAnsi="宋体"/>
          <w:color w:val="auto"/>
          <w:sz w:val="24"/>
          <w:szCs w:val="24"/>
          <w:highlight w:val="none"/>
        </w:rPr>
      </w:pPr>
      <w:r>
        <w:rPr>
          <w:rFonts w:hint="eastAsia" w:ascii="宋体" w:hAnsi="宋体"/>
          <w:b/>
          <w:bCs/>
          <w:color w:val="auto"/>
          <w:sz w:val="24"/>
          <w:szCs w:val="24"/>
          <w:highlight w:val="none"/>
        </w:rPr>
        <w:t>5.</w:t>
      </w:r>
      <w:r>
        <w:rPr>
          <w:rFonts w:hint="eastAsia" w:ascii="宋体" w:hAnsi="宋体"/>
          <w:b/>
          <w:bCs/>
          <w:color w:val="auto"/>
          <w:sz w:val="24"/>
          <w:szCs w:val="24"/>
          <w:highlight w:val="none"/>
          <w:lang w:val="en-US" w:eastAsia="zh-CN"/>
        </w:rPr>
        <w:t>4</w:t>
      </w:r>
      <w:r>
        <w:rPr>
          <w:rFonts w:hint="eastAsia" w:ascii="宋体" w:hAnsi="宋体"/>
          <w:b/>
          <w:bCs/>
          <w:color w:val="auto"/>
          <w:sz w:val="24"/>
          <w:szCs w:val="24"/>
          <w:highlight w:val="none"/>
        </w:rPr>
        <w:t>开标异议</w:t>
      </w:r>
    </w:p>
    <w:p w14:paraId="4BD3CF1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投标人对开标有异议的，应当在开标大厅中使用异议功能提出，招标人当场作出答复，并制作记录。</w:t>
      </w:r>
    </w:p>
    <w:p w14:paraId="3F8C28DE">
      <w:pPr>
        <w:pStyle w:val="35"/>
        <w:spacing w:line="360" w:lineRule="auto"/>
        <w:rPr>
          <w:rFonts w:ascii="宋体" w:hAnsi="宋体" w:eastAsia="宋体"/>
          <w:b/>
          <w:color w:val="auto"/>
          <w:sz w:val="28"/>
          <w:szCs w:val="28"/>
          <w:highlight w:val="none"/>
        </w:rPr>
      </w:pPr>
      <w:bookmarkStart w:id="230" w:name="_Toc26177"/>
      <w:bookmarkEnd w:id="230"/>
      <w:bookmarkStart w:id="231" w:name="_Toc16778772"/>
      <w:bookmarkEnd w:id="231"/>
      <w:bookmarkStart w:id="232" w:name="_Toc179632580"/>
      <w:bookmarkEnd w:id="232"/>
      <w:bookmarkStart w:id="233" w:name="_Toc10061"/>
      <w:bookmarkEnd w:id="233"/>
      <w:bookmarkStart w:id="234" w:name="_Toc152042338"/>
      <w:bookmarkEnd w:id="234"/>
      <w:bookmarkStart w:id="235" w:name="_Toc15178"/>
      <w:bookmarkEnd w:id="235"/>
      <w:bookmarkStart w:id="236" w:name="_Toc32727"/>
      <w:bookmarkEnd w:id="236"/>
      <w:bookmarkStart w:id="237" w:name="_Toc144974530"/>
      <w:bookmarkEnd w:id="237"/>
      <w:bookmarkStart w:id="238" w:name="_Toc152045562"/>
      <w:r>
        <w:rPr>
          <w:rFonts w:hint="eastAsia" w:ascii="宋体" w:hAnsi="宋体" w:eastAsia="宋体"/>
          <w:b/>
          <w:color w:val="auto"/>
          <w:sz w:val="28"/>
          <w:szCs w:val="28"/>
          <w:highlight w:val="none"/>
        </w:rPr>
        <w:t>6. 评标</w:t>
      </w:r>
      <w:bookmarkEnd w:id="238"/>
    </w:p>
    <w:p w14:paraId="10A2649D">
      <w:pPr>
        <w:pStyle w:val="35"/>
        <w:spacing w:line="360" w:lineRule="auto"/>
        <w:rPr>
          <w:rFonts w:ascii="宋体" w:hAnsi="宋体" w:eastAsia="宋体"/>
          <w:b/>
          <w:color w:val="auto"/>
          <w:highlight w:val="none"/>
        </w:rPr>
      </w:pPr>
      <w:bookmarkStart w:id="239" w:name="_Toc144974531"/>
      <w:bookmarkEnd w:id="239"/>
      <w:bookmarkStart w:id="240" w:name="_Toc16778773"/>
      <w:bookmarkEnd w:id="240"/>
      <w:bookmarkStart w:id="241" w:name="_Toc179632581"/>
      <w:bookmarkEnd w:id="241"/>
      <w:bookmarkStart w:id="242" w:name="_Toc152042339"/>
      <w:bookmarkEnd w:id="242"/>
      <w:bookmarkStart w:id="243" w:name="_Toc152045563"/>
      <w:bookmarkEnd w:id="243"/>
      <w:bookmarkStart w:id="244" w:name="_Toc9830"/>
      <w:bookmarkEnd w:id="244"/>
      <w:bookmarkStart w:id="245" w:name="_Toc18555"/>
      <w:r>
        <w:rPr>
          <w:rFonts w:hint="eastAsia" w:ascii="宋体" w:hAnsi="宋体" w:eastAsia="宋体"/>
          <w:b/>
          <w:color w:val="auto"/>
          <w:highlight w:val="none"/>
        </w:rPr>
        <w:t>6.1 评标委员会</w:t>
      </w:r>
      <w:bookmarkEnd w:id="245"/>
    </w:p>
    <w:p w14:paraId="7C421A8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6.1.1 评标由评标委员会负责。评标委员会由有关技术、经济等方面的专家和招标人代表组成。评标委员会成员人数以及技术、经济等方面专家的确定方式见投标人须知前附表。</w:t>
      </w:r>
    </w:p>
    <w:p w14:paraId="1A1E911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6.1.2 评标委员会成员有下列情形之一的，应主动提出回避：</w:t>
      </w:r>
    </w:p>
    <w:p w14:paraId="202D4DD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（1）为负责招标项目监督管理的交通运输主管部门的工作人员；</w:t>
      </w:r>
    </w:p>
    <w:p w14:paraId="1B73871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（2）与投标人法定代表人或其委托代理人有近亲属关系；</w:t>
      </w:r>
    </w:p>
    <w:p w14:paraId="697FAA2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（3）为投标人的工作人员或退休人员；</w:t>
      </w:r>
    </w:p>
    <w:p w14:paraId="0F20645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（4）与投标人有其他利害关系，可能影响评标活动公正性；</w:t>
      </w:r>
    </w:p>
    <w:p w14:paraId="745CD02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（5）在与招标投标有关的活动中有过违法违规行为、曾受过行政处罚或刑事处罚。</w:t>
      </w:r>
    </w:p>
    <w:p w14:paraId="509AF1A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6.1.3 评标过程中，评标委员会成员有回避事由、擅离职守或因健康等原因不能继续评标的，招标人有权更换。被更换的评标委员会成员作出的评审结论无效，由更换后的评标委员会成员重新进行评审。</w:t>
      </w:r>
    </w:p>
    <w:p w14:paraId="04A4FF12">
      <w:pPr>
        <w:pStyle w:val="35"/>
        <w:spacing w:line="360" w:lineRule="auto"/>
        <w:rPr>
          <w:rFonts w:ascii="宋体" w:hAnsi="宋体" w:eastAsia="宋体"/>
          <w:b/>
          <w:color w:val="auto"/>
          <w:highlight w:val="none"/>
        </w:rPr>
      </w:pPr>
      <w:bookmarkStart w:id="246" w:name="_Toc26318"/>
      <w:bookmarkEnd w:id="246"/>
      <w:bookmarkStart w:id="247" w:name="_Toc179632582"/>
      <w:bookmarkEnd w:id="247"/>
      <w:bookmarkStart w:id="248" w:name="_Toc5949"/>
      <w:bookmarkEnd w:id="248"/>
      <w:bookmarkStart w:id="249" w:name="_Toc152045564"/>
      <w:bookmarkEnd w:id="249"/>
      <w:bookmarkStart w:id="250" w:name="_Toc16778774"/>
      <w:bookmarkEnd w:id="250"/>
      <w:bookmarkStart w:id="251" w:name="_Toc152042340"/>
      <w:bookmarkEnd w:id="251"/>
      <w:bookmarkStart w:id="252" w:name="_Toc144974532"/>
      <w:r>
        <w:rPr>
          <w:rFonts w:hint="eastAsia" w:ascii="宋体" w:hAnsi="宋体" w:eastAsia="宋体"/>
          <w:b/>
          <w:color w:val="auto"/>
          <w:highlight w:val="none"/>
        </w:rPr>
        <w:t>6.2 评标原则</w:t>
      </w:r>
      <w:bookmarkEnd w:id="252"/>
    </w:p>
    <w:p w14:paraId="5460169E">
      <w:pPr>
        <w:spacing w:line="360" w:lineRule="auto"/>
        <w:ind w:firstLine="410" w:firstLineChars="171"/>
        <w:rPr>
          <w:rFonts w:ascii="宋体" w:hAnsi="宋体"/>
          <w:color w:val="auto"/>
          <w:sz w:val="24"/>
          <w:szCs w:val="24"/>
          <w:highlight w:val="none"/>
        </w:rPr>
      </w:pPr>
      <w:r>
        <w:rPr>
          <w:rFonts w:hint="eastAsia" w:ascii="宋体" w:hAnsi="宋体"/>
          <w:color w:val="auto"/>
          <w:sz w:val="24"/>
          <w:szCs w:val="24"/>
          <w:highlight w:val="none"/>
        </w:rPr>
        <w:t>评标活动遵循公平、公正、科学和择优的原则。</w:t>
      </w:r>
    </w:p>
    <w:p w14:paraId="677FC1DA">
      <w:pPr>
        <w:pStyle w:val="35"/>
        <w:spacing w:line="360" w:lineRule="auto"/>
        <w:rPr>
          <w:rFonts w:ascii="宋体" w:hAnsi="宋体" w:eastAsia="宋体"/>
          <w:b/>
          <w:color w:val="auto"/>
          <w:highlight w:val="none"/>
        </w:rPr>
      </w:pPr>
      <w:bookmarkStart w:id="253" w:name="_Toc144974533"/>
      <w:bookmarkEnd w:id="253"/>
      <w:bookmarkStart w:id="254" w:name="_Toc152045565"/>
      <w:bookmarkEnd w:id="254"/>
      <w:bookmarkStart w:id="255" w:name="_Toc31631"/>
      <w:bookmarkEnd w:id="255"/>
      <w:bookmarkStart w:id="256" w:name="_Toc152042341"/>
      <w:bookmarkEnd w:id="256"/>
      <w:bookmarkStart w:id="257" w:name="_Toc10073"/>
      <w:bookmarkEnd w:id="257"/>
      <w:bookmarkStart w:id="258" w:name="_Toc16778775"/>
      <w:bookmarkEnd w:id="258"/>
      <w:bookmarkStart w:id="259" w:name="_Toc179632583"/>
      <w:r>
        <w:rPr>
          <w:rFonts w:hint="eastAsia" w:ascii="宋体" w:hAnsi="宋体" w:eastAsia="宋体"/>
          <w:b/>
          <w:color w:val="auto"/>
          <w:highlight w:val="none"/>
        </w:rPr>
        <w:t>6.3 评标</w:t>
      </w:r>
      <w:bookmarkEnd w:id="259"/>
    </w:p>
    <w:p w14:paraId="72763C4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6.3.1 评标委员会按照第三章“评标办法”规定的方法、评审因素、标准和程序对投标文件进行评审。第三章“评标办法”没有规定的方法、评审因素和标准，不作为评标依据。</w:t>
      </w:r>
    </w:p>
    <w:p w14:paraId="68589D0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6.3.2 评标完成后，评标委员会应向招标人提交书面评标报告和中标候选人名单。评标委员会推荐中标候选人的人数见投标人须知前附表。</w:t>
      </w:r>
    </w:p>
    <w:p w14:paraId="15CE1F97">
      <w:pPr>
        <w:pStyle w:val="35"/>
        <w:spacing w:line="360" w:lineRule="auto"/>
        <w:rPr>
          <w:rFonts w:ascii="宋体" w:hAnsi="宋体" w:eastAsia="宋体"/>
          <w:b/>
          <w:color w:val="auto"/>
          <w:sz w:val="28"/>
          <w:szCs w:val="28"/>
          <w:highlight w:val="none"/>
        </w:rPr>
      </w:pPr>
      <w:bookmarkStart w:id="260" w:name="_Toc144974534"/>
      <w:bookmarkEnd w:id="260"/>
      <w:bookmarkStart w:id="261" w:name="_Toc27090"/>
      <w:bookmarkEnd w:id="261"/>
      <w:bookmarkStart w:id="262" w:name="_Toc11215"/>
      <w:bookmarkEnd w:id="262"/>
      <w:bookmarkStart w:id="263" w:name="_Toc152042342"/>
      <w:bookmarkEnd w:id="263"/>
      <w:bookmarkStart w:id="264" w:name="_Toc152045566"/>
      <w:bookmarkEnd w:id="264"/>
      <w:bookmarkStart w:id="265" w:name="_Toc179632584"/>
      <w:bookmarkEnd w:id="265"/>
      <w:bookmarkStart w:id="266" w:name="_Toc16778776"/>
      <w:r>
        <w:rPr>
          <w:rFonts w:hint="eastAsia" w:ascii="宋体" w:hAnsi="宋体" w:eastAsia="宋体"/>
          <w:b/>
          <w:color w:val="auto"/>
          <w:sz w:val="28"/>
          <w:szCs w:val="28"/>
          <w:highlight w:val="none"/>
        </w:rPr>
        <w:t>7. 合同授予</w:t>
      </w:r>
      <w:bookmarkEnd w:id="266"/>
    </w:p>
    <w:p w14:paraId="21F54947">
      <w:pPr>
        <w:pStyle w:val="35"/>
        <w:spacing w:line="360" w:lineRule="auto"/>
        <w:rPr>
          <w:rFonts w:hint="eastAsia" w:ascii="宋体" w:hAnsi="宋体" w:eastAsia="宋体"/>
          <w:b/>
          <w:color w:val="auto"/>
          <w:highlight w:val="none"/>
          <w:lang w:eastAsia="zh-CN"/>
        </w:rPr>
      </w:pPr>
      <w:bookmarkStart w:id="267" w:name="_Toc16778777"/>
      <w:bookmarkEnd w:id="267"/>
      <w:bookmarkStart w:id="268" w:name="_Toc16956"/>
      <w:bookmarkEnd w:id="268"/>
      <w:bookmarkStart w:id="269" w:name="_Toc20008"/>
      <w:r>
        <w:rPr>
          <w:rFonts w:hint="eastAsia" w:ascii="宋体" w:hAnsi="宋体" w:eastAsia="宋体"/>
          <w:b/>
          <w:color w:val="auto"/>
          <w:highlight w:val="none"/>
        </w:rPr>
        <w:t xml:space="preserve">7.1 </w:t>
      </w:r>
      <w:r>
        <w:rPr>
          <w:rFonts w:hint="eastAsia" w:ascii="宋体" w:hAnsi="宋体" w:eastAsia="宋体"/>
          <w:b/>
          <w:color w:val="auto"/>
          <w:highlight w:val="none"/>
          <w:lang w:eastAsia="zh-CN"/>
        </w:rPr>
        <w:t>中</w:t>
      </w:r>
      <w:r>
        <w:rPr>
          <w:rFonts w:hint="eastAsia" w:ascii="宋体" w:hAnsi="宋体" w:eastAsia="宋体"/>
          <w:b/>
          <w:color w:val="auto"/>
          <w:highlight w:val="none"/>
        </w:rPr>
        <w:t>标候选人</w:t>
      </w:r>
      <w:bookmarkEnd w:id="269"/>
      <w:r>
        <w:rPr>
          <w:rFonts w:hint="eastAsia" w:ascii="宋体" w:hAnsi="宋体" w:eastAsia="宋体"/>
          <w:b/>
          <w:color w:val="auto"/>
          <w:highlight w:val="none"/>
          <w:lang w:eastAsia="zh-CN"/>
        </w:rPr>
        <w:t>公示</w:t>
      </w:r>
    </w:p>
    <w:p w14:paraId="493C9A8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招标人在收到评标报告之日起3日内，按照投标人须知前附表规定的公示媒介和期限公示定标候选人，公示期不得少于3日</w:t>
      </w:r>
      <w:r>
        <w:rPr>
          <w:rFonts w:hint="eastAsia" w:ascii="宋体" w:hAnsi="宋体"/>
          <w:color w:val="000000" w:themeColor="text1"/>
          <w:sz w:val="24"/>
          <w:szCs w:val="24"/>
          <w:highlight w:val="none"/>
          <w14:textFill>
            <w14:solidFill>
              <w14:schemeClr w14:val="tx1"/>
            </w14:solidFill>
          </w14:textFill>
        </w:rPr>
        <w:t>，公示</w:t>
      </w:r>
      <w:r>
        <w:rPr>
          <w:rFonts w:hint="eastAsia" w:ascii="宋体" w:hAnsi="宋体"/>
          <w:color w:val="000000" w:themeColor="text1"/>
          <w:sz w:val="24"/>
          <w:szCs w:val="24"/>
          <w:highlight w:val="none"/>
          <w:lang w:val="en-US" w:eastAsia="zh-CN"/>
          <w14:textFill>
            <w14:solidFill>
              <w14:schemeClr w14:val="tx1"/>
            </w14:solidFill>
          </w14:textFill>
        </w:rPr>
        <w:t>内</w:t>
      </w:r>
      <w:r>
        <w:rPr>
          <w:rFonts w:hint="eastAsia" w:ascii="宋体" w:hAnsi="宋体"/>
          <w:color w:val="000000" w:themeColor="text1"/>
          <w:sz w:val="24"/>
          <w:szCs w:val="24"/>
          <w:highlight w:val="none"/>
          <w14:textFill>
            <w14:solidFill>
              <w14:schemeClr w14:val="tx1"/>
            </w14:solidFill>
          </w14:textFill>
        </w:rPr>
        <w:t>容包括：</w:t>
      </w:r>
    </w:p>
    <w:p w14:paraId="4340D6B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（1）中标候选人名称、投标报价，对工程质量要求、安全目标和工期的响应情况；</w:t>
      </w:r>
    </w:p>
    <w:p w14:paraId="712A5FE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（2）中标候选人在投标文件中承诺的项目经理和项目总工姓名、个人业绩、相关证书名称和编号；</w:t>
      </w:r>
    </w:p>
    <w:p w14:paraId="2F4FECA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（3）中标候选人在投标文件中填报的项目业绩；</w:t>
      </w:r>
    </w:p>
    <w:p w14:paraId="0346436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（4）被否决投标的投标人名称、否决依据和原因；</w:t>
      </w:r>
    </w:p>
    <w:p w14:paraId="2A92DCE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（5）提出异议的渠道和方式；</w:t>
      </w:r>
    </w:p>
    <w:p w14:paraId="2370D85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（6）投标人须知前附表规定公示的其他内容。</w:t>
      </w:r>
    </w:p>
    <w:p w14:paraId="3B7F54F9">
      <w:pPr>
        <w:pStyle w:val="35"/>
        <w:spacing w:line="360" w:lineRule="auto"/>
        <w:rPr>
          <w:rFonts w:ascii="宋体" w:hAnsi="宋体" w:eastAsia="宋体"/>
          <w:b/>
          <w:color w:val="auto"/>
          <w:highlight w:val="none"/>
        </w:rPr>
      </w:pPr>
      <w:bookmarkStart w:id="270" w:name="_Toc16778778"/>
      <w:bookmarkEnd w:id="270"/>
      <w:bookmarkStart w:id="271" w:name="_Toc3318"/>
      <w:bookmarkEnd w:id="271"/>
      <w:bookmarkStart w:id="272" w:name="_Toc13752"/>
      <w:r>
        <w:rPr>
          <w:rFonts w:hint="eastAsia" w:ascii="宋体" w:hAnsi="宋体" w:eastAsia="宋体"/>
          <w:b/>
          <w:color w:val="auto"/>
          <w:highlight w:val="none"/>
        </w:rPr>
        <w:t>7.</w:t>
      </w:r>
      <w:r>
        <w:rPr>
          <w:rFonts w:hint="eastAsia" w:ascii="宋体" w:hAnsi="宋体" w:eastAsia="宋体"/>
          <w:b/>
          <w:color w:val="auto"/>
          <w:highlight w:val="none"/>
          <w:lang w:val="en-US" w:eastAsia="zh-CN"/>
        </w:rPr>
        <w:t>2</w:t>
      </w:r>
      <w:r>
        <w:rPr>
          <w:rFonts w:hint="eastAsia" w:ascii="宋体" w:hAnsi="宋体" w:eastAsia="宋体"/>
          <w:b/>
          <w:color w:val="auto"/>
          <w:highlight w:val="none"/>
        </w:rPr>
        <w:t>评标结果异议</w:t>
      </w:r>
      <w:bookmarkEnd w:id="272"/>
    </w:p>
    <w:p w14:paraId="3C847795">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投标人或其他利害关系人对依法必须进行招标的项目的评标结果有异议的，应在中标候选人公示期间提出。招标人将在收到异议之日起3日内作出答复；作出答复前，将暂停招标投标活动。提出异议与作出答复均应通过“驻马店市公共资源交易平台”以书面形式进行。</w:t>
      </w:r>
    </w:p>
    <w:p w14:paraId="692D7B3D">
      <w:pPr>
        <w:pStyle w:val="35"/>
        <w:pageBreakBefore w:val="0"/>
        <w:widowControl w:val="0"/>
        <w:kinsoku/>
        <w:wordWrap/>
        <w:overflowPunct/>
        <w:topLinePunct w:val="0"/>
        <w:autoSpaceDE/>
        <w:autoSpaceDN/>
        <w:bidi w:val="0"/>
        <w:adjustRightInd/>
        <w:snapToGrid/>
        <w:spacing w:line="360" w:lineRule="auto"/>
        <w:textAlignment w:val="auto"/>
        <w:rPr>
          <w:rFonts w:ascii="宋体" w:hAnsi="宋体" w:eastAsia="宋体"/>
          <w:b/>
          <w:color w:val="auto"/>
          <w:highlight w:val="none"/>
        </w:rPr>
      </w:pPr>
      <w:bookmarkStart w:id="273" w:name="_Toc22135"/>
      <w:bookmarkEnd w:id="273"/>
      <w:bookmarkStart w:id="274" w:name="_Toc16778779"/>
      <w:bookmarkEnd w:id="274"/>
      <w:bookmarkStart w:id="275" w:name="_Toc7044"/>
      <w:r>
        <w:rPr>
          <w:rFonts w:hint="eastAsia" w:ascii="宋体" w:hAnsi="宋体" w:eastAsia="宋体"/>
          <w:b/>
          <w:color w:val="auto"/>
          <w:highlight w:val="none"/>
        </w:rPr>
        <w:t>7.</w:t>
      </w:r>
      <w:r>
        <w:rPr>
          <w:rFonts w:hint="eastAsia" w:ascii="宋体" w:hAnsi="宋体" w:eastAsia="宋体"/>
          <w:b/>
          <w:color w:val="auto"/>
          <w:highlight w:val="none"/>
          <w:lang w:val="en-US" w:eastAsia="zh-CN"/>
        </w:rPr>
        <w:t>3</w:t>
      </w:r>
      <w:r>
        <w:rPr>
          <w:rFonts w:hint="eastAsia" w:ascii="宋体" w:hAnsi="宋体" w:eastAsia="宋体"/>
          <w:b/>
          <w:color w:val="auto"/>
          <w:highlight w:val="none"/>
        </w:rPr>
        <w:t>中标候选人履约能力审查</w:t>
      </w:r>
      <w:bookmarkEnd w:id="275"/>
    </w:p>
    <w:p w14:paraId="74A0DC8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6D92770B">
      <w:pPr>
        <w:pStyle w:val="35"/>
        <w:spacing w:line="360" w:lineRule="auto"/>
        <w:rPr>
          <w:rFonts w:hint="eastAsia" w:ascii="宋体" w:hAnsi="宋体" w:eastAsia="宋体" w:cs="宋体"/>
          <w:b/>
          <w:bCs/>
          <w:color w:val="auto"/>
          <w:sz w:val="24"/>
          <w:szCs w:val="32"/>
          <w:highlight w:val="none"/>
          <w:lang w:eastAsia="zh-CN"/>
        </w:rPr>
      </w:pPr>
      <w:r>
        <w:rPr>
          <w:rFonts w:hint="eastAsia" w:ascii="宋体" w:hAnsi="宋体" w:eastAsia="宋体"/>
          <w:b/>
          <w:color w:val="auto"/>
          <w:highlight w:val="none"/>
        </w:rPr>
        <w:t>7.</w:t>
      </w:r>
      <w:r>
        <w:rPr>
          <w:rFonts w:hint="eastAsia" w:ascii="宋体" w:hAnsi="宋体" w:eastAsia="宋体"/>
          <w:b/>
          <w:color w:val="auto"/>
          <w:highlight w:val="none"/>
          <w:lang w:val="en-US" w:eastAsia="zh-CN"/>
        </w:rPr>
        <w:t>4定</w:t>
      </w:r>
      <w:r>
        <w:rPr>
          <w:rFonts w:hint="eastAsia" w:ascii="宋体" w:hAnsi="宋体" w:eastAsia="宋体"/>
          <w:b/>
          <w:color w:val="auto"/>
          <w:highlight w:val="none"/>
        </w:rPr>
        <w:t>标</w:t>
      </w:r>
    </w:p>
    <w:p w14:paraId="56103D89">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7.4.1定标原则</w:t>
      </w:r>
    </w:p>
    <w:p w14:paraId="5984FD15">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遵循公开透明、择优竞价、科学规范、廉洁高效的原则。</w:t>
      </w:r>
    </w:p>
    <w:p w14:paraId="0E44EE99">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7.4.2定标方法</w:t>
      </w:r>
    </w:p>
    <w:p w14:paraId="115DD45D">
      <w:pPr>
        <w:keepNext w:val="0"/>
        <w:keepLines w:val="0"/>
        <w:pageBreakBefore w:val="0"/>
        <w:widowControl w:val="0"/>
        <w:kinsoku/>
        <w:wordWrap w:val="0"/>
        <w:overflowPunct/>
        <w:topLinePunct w:val="0"/>
        <w:bidi w:val="0"/>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采用核查随机法。具体要求按照本招标文件第四章定标办法要求定标办法定标。</w:t>
      </w:r>
    </w:p>
    <w:p w14:paraId="25BCB8A5">
      <w:pPr>
        <w:pStyle w:val="35"/>
        <w:spacing w:line="360" w:lineRule="auto"/>
        <w:rPr>
          <w:rFonts w:ascii="宋体" w:hAnsi="宋体" w:eastAsia="宋体"/>
          <w:b/>
          <w:color w:val="auto"/>
          <w:highlight w:val="none"/>
        </w:rPr>
      </w:pPr>
      <w:bookmarkStart w:id="276" w:name="_Toc16778780"/>
      <w:bookmarkEnd w:id="276"/>
      <w:bookmarkStart w:id="277" w:name="_Toc16862"/>
      <w:bookmarkEnd w:id="277"/>
      <w:bookmarkStart w:id="278" w:name="_Toc6424"/>
      <w:bookmarkEnd w:id="278"/>
      <w:bookmarkStart w:id="279" w:name="_Toc16778781"/>
      <w:bookmarkEnd w:id="279"/>
      <w:bookmarkStart w:id="280" w:name="_Toc24107"/>
      <w:r>
        <w:rPr>
          <w:rFonts w:hint="eastAsia" w:ascii="宋体" w:hAnsi="宋体" w:eastAsia="宋体"/>
          <w:b/>
          <w:color w:val="auto"/>
          <w:highlight w:val="none"/>
        </w:rPr>
        <w:t>7.5 中标通知</w:t>
      </w:r>
      <w:bookmarkEnd w:id="280"/>
    </w:p>
    <w:p w14:paraId="37D9C9B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在本章第3.3款规定的投标有效期内，招标人以投标人须知前附表规定的形式向中标人发出中标通知书，同时将中标结果通知未中标的投标人。</w:t>
      </w:r>
    </w:p>
    <w:p w14:paraId="122203D5">
      <w:pPr>
        <w:pStyle w:val="35"/>
        <w:spacing w:line="360" w:lineRule="auto"/>
        <w:rPr>
          <w:rFonts w:ascii="宋体" w:hAnsi="宋体" w:eastAsia="宋体"/>
          <w:b/>
          <w:color w:val="auto"/>
          <w:highlight w:val="none"/>
        </w:rPr>
      </w:pPr>
      <w:bookmarkStart w:id="281" w:name="_Toc2943"/>
      <w:bookmarkEnd w:id="281"/>
      <w:bookmarkStart w:id="282" w:name="_Toc16778782"/>
      <w:bookmarkEnd w:id="282"/>
      <w:bookmarkStart w:id="283" w:name="_Toc13193"/>
      <w:r>
        <w:rPr>
          <w:rFonts w:hint="eastAsia" w:ascii="宋体" w:hAnsi="宋体" w:eastAsia="宋体"/>
          <w:b/>
          <w:color w:val="auto"/>
          <w:highlight w:val="none"/>
        </w:rPr>
        <w:t>7.6 中标结果公告</w:t>
      </w:r>
      <w:bookmarkEnd w:id="283"/>
    </w:p>
    <w:p w14:paraId="12C5E4EE">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招标人在确定中标人之日起3日内，按照投标人须知前附表规定的公告媒介和期限公告中标结果，公告期不得少于3日。公告内容包括定标时间、定标地点、定标方法、中标人名称、中标价格、质量、工期、资质条件、项目负责人信息，中标候选人的核查、考察、比较优势；核查未通过的中标候选人名单和原因，以及异议和投诉渠道等内容。</w:t>
      </w:r>
      <w:r>
        <w:rPr>
          <w:rFonts w:hint="eastAsia" w:ascii="宋体" w:hAnsi="宋体"/>
          <w:color w:val="auto"/>
          <w:sz w:val="24"/>
          <w:szCs w:val="24"/>
          <w:highlight w:val="none"/>
          <w:lang w:eastAsia="zh-CN"/>
        </w:rPr>
        <w:t>对中标结果公示有异议的，应当在公示期内向招标人提出。</w:t>
      </w:r>
    </w:p>
    <w:p w14:paraId="14F28005">
      <w:pPr>
        <w:pStyle w:val="35"/>
        <w:spacing w:line="360" w:lineRule="auto"/>
        <w:rPr>
          <w:rFonts w:ascii="宋体" w:hAnsi="宋体" w:eastAsia="宋体"/>
          <w:b/>
          <w:color w:val="auto"/>
          <w:highlight w:val="none"/>
        </w:rPr>
      </w:pPr>
      <w:bookmarkStart w:id="284" w:name="_Toc32392"/>
      <w:bookmarkEnd w:id="284"/>
      <w:bookmarkStart w:id="285" w:name="_Toc16778783"/>
      <w:bookmarkEnd w:id="285"/>
      <w:bookmarkStart w:id="286" w:name="_Toc11265"/>
      <w:r>
        <w:rPr>
          <w:rFonts w:hint="eastAsia" w:ascii="宋体" w:hAnsi="宋体" w:eastAsia="宋体"/>
          <w:b/>
          <w:color w:val="auto"/>
          <w:highlight w:val="none"/>
        </w:rPr>
        <w:t>7.7 履约保证金</w:t>
      </w:r>
      <w:bookmarkEnd w:id="286"/>
    </w:p>
    <w:p w14:paraId="334E050A">
      <w:pPr>
        <w:spacing w:line="360" w:lineRule="auto"/>
        <w:ind w:firstLine="480" w:firstLineChars="200"/>
        <w:rPr>
          <w:rFonts w:ascii="宋体" w:hAnsi="宋体"/>
          <w:color w:val="0000FF"/>
          <w:sz w:val="24"/>
          <w:szCs w:val="24"/>
          <w:highlight w:val="none"/>
        </w:rPr>
      </w:pPr>
      <w:r>
        <w:rPr>
          <w:rFonts w:hint="eastAsia" w:ascii="宋体" w:hAnsi="宋体"/>
          <w:color w:val="auto"/>
          <w:sz w:val="24"/>
          <w:szCs w:val="24"/>
          <w:highlight w:val="none"/>
        </w:rPr>
        <w:t>7.7.1 在签订合同前，中标人应按投标人须知前附表规定的形式、金额和招标文件第四章“合同条款及格式”规定的或事先经过招标人书面认可的履约保证金格式向招标人提交履约保证金。除投标人须知前附表另有规定外，履约保证金为</w:t>
      </w:r>
      <w:r>
        <w:rPr>
          <w:rFonts w:hint="eastAsia" w:ascii="宋体" w:hAnsi="宋体"/>
          <w:color w:val="000000" w:themeColor="text1"/>
          <w:sz w:val="24"/>
          <w:szCs w:val="24"/>
          <w:highlight w:val="none"/>
          <w14:textFill>
            <w14:solidFill>
              <w14:schemeClr w14:val="tx1"/>
            </w14:solidFill>
          </w14:textFill>
        </w:rPr>
        <w:t>签约合同价</w:t>
      </w:r>
      <w:r>
        <w:rPr>
          <w:rFonts w:hint="eastAsia" w:ascii="宋体" w:hAnsi="宋体"/>
          <w:color w:val="000000" w:themeColor="text1"/>
          <w:sz w:val="24"/>
          <w:szCs w:val="24"/>
          <w:highlight w:val="none"/>
          <w:lang w:val="en-US" w:eastAsia="zh-CN"/>
          <w14:textFill>
            <w14:solidFill>
              <w14:schemeClr w14:val="tx1"/>
            </w14:solidFill>
          </w14:textFill>
        </w:rPr>
        <w:t>5</w:t>
      </w:r>
      <w:r>
        <w:rPr>
          <w:rFonts w:hint="eastAsia" w:ascii="宋体" w:hAnsi="宋体"/>
          <w:color w:val="000000" w:themeColor="text1"/>
          <w:sz w:val="24"/>
          <w:szCs w:val="24"/>
          <w:highlight w:val="none"/>
          <w14:textFill>
            <w14:solidFill>
              <w14:schemeClr w14:val="tx1"/>
            </w14:solidFill>
          </w14:textFill>
        </w:rPr>
        <w:t>%。</w:t>
      </w:r>
    </w:p>
    <w:p w14:paraId="5CB0DCD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采用银行保函时，应由符合投标人须知前附表规定级别的银行开具，所需的费用由中标人承担，中标人应保证银行保函有效。</w:t>
      </w:r>
    </w:p>
    <w:p w14:paraId="2236E12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7.7.2 中标人不能按本章第7.7.1项要求提交履约保证金的，视为放弃中标，其投标保证金不予退还，给招标人造成的损失超过投标保证金数额的，中标人还应对超过部分予以赔偿。</w:t>
      </w:r>
    </w:p>
    <w:p w14:paraId="036427F5">
      <w:pPr>
        <w:pStyle w:val="35"/>
        <w:spacing w:line="360" w:lineRule="auto"/>
        <w:rPr>
          <w:rFonts w:ascii="宋体" w:hAnsi="宋体" w:eastAsia="宋体"/>
          <w:b/>
          <w:color w:val="auto"/>
          <w:highlight w:val="none"/>
        </w:rPr>
      </w:pPr>
      <w:bookmarkStart w:id="287" w:name="_Toc7811"/>
      <w:bookmarkEnd w:id="287"/>
      <w:bookmarkStart w:id="288" w:name="_Toc16778784"/>
      <w:bookmarkEnd w:id="288"/>
      <w:bookmarkStart w:id="289" w:name="_Toc30062"/>
      <w:r>
        <w:rPr>
          <w:rFonts w:hint="eastAsia" w:ascii="宋体" w:hAnsi="宋体" w:eastAsia="宋体"/>
          <w:b/>
          <w:color w:val="auto"/>
          <w:highlight w:val="none"/>
        </w:rPr>
        <w:t>7.8 签订合同</w:t>
      </w:r>
      <w:bookmarkEnd w:id="289"/>
    </w:p>
    <w:p w14:paraId="1469BAD8">
      <w:pPr>
        <w:spacing w:line="360" w:lineRule="auto"/>
        <w:ind w:firstLine="720" w:firstLineChars="300"/>
        <w:rPr>
          <w:rFonts w:ascii="宋体" w:hAnsi="宋体"/>
          <w:color w:val="auto"/>
          <w:sz w:val="24"/>
          <w:szCs w:val="24"/>
          <w:highlight w:val="none"/>
        </w:rPr>
      </w:pPr>
      <w:r>
        <w:rPr>
          <w:rFonts w:hint="eastAsia" w:ascii="宋体" w:hAnsi="宋体"/>
          <w:color w:val="auto"/>
          <w:sz w:val="24"/>
          <w:szCs w:val="24"/>
          <w:highlight w:val="none"/>
        </w:rPr>
        <w:t>7.8.1 招标人和中标人应在中标通知书发出之日起30日内，根据招标文件和中标人的投标文件订立书面合同</w:t>
      </w:r>
      <w:r>
        <w:rPr>
          <w:rFonts w:hint="eastAsia" w:ascii="宋体" w:hAnsi="宋体"/>
          <w:color w:val="auto"/>
          <w:sz w:val="24"/>
          <w:szCs w:val="24"/>
          <w:highlight w:val="none"/>
          <w:lang w:eastAsia="zh-CN"/>
        </w:rPr>
        <w:t>，</w:t>
      </w:r>
      <w:r>
        <w:rPr>
          <w:rFonts w:hint="eastAsia" w:ascii="宋体" w:hAnsi="宋体" w:cs="宋体"/>
          <w:kern w:val="0"/>
          <w:sz w:val="24"/>
          <w:szCs w:val="24"/>
          <w:highlight w:val="none"/>
        </w:rPr>
        <w:t>投标人须在第一个信封投标函中针对上述要求做出书面响应</w:t>
      </w:r>
      <w:r>
        <w:rPr>
          <w:rFonts w:hint="eastAsia" w:ascii="宋体" w:hAnsi="宋体" w:cs="宋体"/>
          <w:kern w:val="0"/>
          <w:sz w:val="24"/>
          <w:szCs w:val="24"/>
          <w:highlight w:val="none"/>
          <w:lang w:eastAsia="zh-CN"/>
        </w:rPr>
        <w:t>。</w:t>
      </w:r>
      <w:r>
        <w:rPr>
          <w:rFonts w:hint="eastAsia" w:ascii="宋体" w:hAnsi="宋体"/>
          <w:color w:val="auto"/>
          <w:sz w:val="24"/>
          <w:szCs w:val="24"/>
          <w:highlight w:val="none"/>
        </w:rPr>
        <w:t>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1618A80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7.8.2 发出中标通知书后，招标人无正当理由拒签合同，或在签订合同时向中标人提出附加条件的，招标人向中标人退还投标保证金；给中标人造成损失的，还应赔偿损失。</w:t>
      </w:r>
    </w:p>
    <w:p w14:paraId="55B39E9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7.8.3 （不适用）</w:t>
      </w:r>
    </w:p>
    <w:p w14:paraId="1FFB593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7.8.4 （不适用）</w:t>
      </w:r>
    </w:p>
    <w:p w14:paraId="0B574AC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7.8.5 招标人和中标人在签订合同协议书的同时，</w:t>
      </w:r>
      <w:r>
        <w:rPr>
          <w:rFonts w:hint="eastAsia" w:ascii="宋体" w:hAnsi="宋体"/>
          <w:color w:val="auto"/>
          <w:sz w:val="24"/>
          <w:szCs w:val="24"/>
          <w:highlight w:val="none"/>
          <w:lang w:val="en-US" w:eastAsia="zh-CN"/>
        </w:rPr>
        <w:t>项目经理、总工、项目组其他成员应按招标人要求签订承诺书（承诺书包括但不限于：本工程工期、安全、质量、人员到岗时间等的保证），并</w:t>
      </w:r>
      <w:r>
        <w:rPr>
          <w:rFonts w:hint="eastAsia" w:ascii="宋体" w:hAnsi="宋体"/>
          <w:color w:val="auto"/>
          <w:sz w:val="24"/>
          <w:szCs w:val="24"/>
          <w:highlight w:val="none"/>
        </w:rPr>
        <w:t>按照本招标文件规定的格式和要求签订廉政合同及安全生产合同，明确双方在廉政建设和安全生产方面的权利和义务以及应</w:t>
      </w:r>
      <w:r>
        <w:rPr>
          <w:rFonts w:hint="eastAsia" w:ascii="宋体" w:hAnsi="宋体"/>
          <w:color w:val="auto"/>
          <w:sz w:val="24"/>
          <w:szCs w:val="24"/>
          <w:highlight w:val="none"/>
          <w:lang w:eastAsia="zh-CN"/>
        </w:rPr>
        <w:t>承担的</w:t>
      </w:r>
      <w:r>
        <w:rPr>
          <w:rFonts w:hint="eastAsia" w:ascii="宋体" w:hAnsi="宋体"/>
          <w:color w:val="000000" w:themeColor="text1"/>
          <w:sz w:val="24"/>
          <w:szCs w:val="24"/>
          <w:highlight w:val="none"/>
          <w:lang w:eastAsia="zh-CN"/>
          <w14:textFill>
            <w14:solidFill>
              <w14:schemeClr w14:val="tx1"/>
            </w14:solidFill>
          </w14:textFill>
        </w:rPr>
        <w:t>违约责任。</w:t>
      </w:r>
      <w:r>
        <w:rPr>
          <w:rFonts w:hint="eastAsia" w:ascii="宋体" w:hAnsi="宋体"/>
          <w:color w:val="000000" w:themeColor="text1"/>
          <w:sz w:val="24"/>
          <w:szCs w:val="24"/>
          <w:highlight w:val="none"/>
          <w:lang w:val="en-US" w:eastAsia="zh-CN"/>
          <w14:textFill>
            <w14:solidFill>
              <w14:schemeClr w14:val="tx1"/>
            </w14:solidFill>
          </w14:textFill>
        </w:rPr>
        <w:t>如中标人未能按照要求签署上述文件，招标人有权取消中标人中标资格。</w:t>
      </w:r>
      <w:r>
        <w:rPr>
          <w:rFonts w:hint="eastAsia" w:ascii="宋体" w:hAnsi="宋体"/>
          <w:color w:val="000000" w:themeColor="text1"/>
          <w:sz w:val="24"/>
          <w:szCs w:val="24"/>
          <w:highlight w:val="none"/>
          <w14:textFill>
            <w14:solidFill>
              <w14:schemeClr w14:val="tx1"/>
            </w14:solidFill>
          </w14:textFill>
        </w:rPr>
        <w:t xml:space="preserve"> </w:t>
      </w:r>
    </w:p>
    <w:p w14:paraId="58F0DEC4">
      <w:pPr>
        <w:pStyle w:val="35"/>
        <w:spacing w:line="360" w:lineRule="auto"/>
        <w:rPr>
          <w:rFonts w:ascii="宋体" w:hAnsi="宋体" w:eastAsia="宋体"/>
          <w:b/>
          <w:color w:val="auto"/>
          <w:sz w:val="28"/>
          <w:szCs w:val="28"/>
          <w:highlight w:val="none"/>
        </w:rPr>
      </w:pPr>
      <w:bookmarkStart w:id="290" w:name="_Toc3038"/>
      <w:bookmarkEnd w:id="290"/>
      <w:bookmarkStart w:id="291" w:name="_Toc152045574"/>
      <w:bookmarkEnd w:id="291"/>
      <w:bookmarkStart w:id="292" w:name="_Toc144974542"/>
      <w:bookmarkEnd w:id="292"/>
      <w:bookmarkStart w:id="293" w:name="_Toc179632592"/>
      <w:bookmarkEnd w:id="293"/>
      <w:bookmarkStart w:id="294" w:name="_Toc152042350"/>
      <w:bookmarkEnd w:id="294"/>
      <w:bookmarkStart w:id="295" w:name="_Toc16778785"/>
      <w:bookmarkEnd w:id="295"/>
      <w:bookmarkStart w:id="296" w:name="_Toc27383"/>
      <w:r>
        <w:rPr>
          <w:rFonts w:hint="eastAsia" w:ascii="宋体" w:hAnsi="宋体" w:eastAsia="宋体"/>
          <w:b/>
          <w:color w:val="auto"/>
          <w:sz w:val="28"/>
          <w:szCs w:val="28"/>
          <w:highlight w:val="none"/>
          <w:lang w:val="en-US" w:eastAsia="zh-CN"/>
        </w:rPr>
        <w:t>8</w:t>
      </w:r>
      <w:r>
        <w:rPr>
          <w:rFonts w:hint="eastAsia" w:ascii="宋体" w:hAnsi="宋体" w:eastAsia="宋体"/>
          <w:b/>
          <w:color w:val="auto"/>
          <w:sz w:val="28"/>
          <w:szCs w:val="28"/>
          <w:highlight w:val="none"/>
        </w:rPr>
        <w:t>. 纪律和监督</w:t>
      </w:r>
      <w:bookmarkEnd w:id="296"/>
    </w:p>
    <w:p w14:paraId="15AF9CAB">
      <w:pPr>
        <w:pStyle w:val="35"/>
        <w:spacing w:line="360" w:lineRule="auto"/>
        <w:rPr>
          <w:rFonts w:ascii="宋体" w:hAnsi="宋体" w:eastAsia="宋体"/>
          <w:b/>
          <w:color w:val="auto"/>
          <w:highlight w:val="none"/>
        </w:rPr>
      </w:pPr>
      <w:bookmarkStart w:id="297" w:name="_Toc16778786"/>
      <w:bookmarkEnd w:id="297"/>
      <w:bookmarkStart w:id="298" w:name="_Toc152042351"/>
      <w:bookmarkEnd w:id="298"/>
      <w:bookmarkStart w:id="299" w:name="_Toc23769"/>
      <w:bookmarkEnd w:id="299"/>
      <w:bookmarkStart w:id="300" w:name="_Toc152045575"/>
      <w:bookmarkEnd w:id="300"/>
      <w:bookmarkStart w:id="301" w:name="_Toc179632593"/>
      <w:bookmarkEnd w:id="301"/>
      <w:bookmarkStart w:id="302" w:name="_Toc144974543"/>
      <w:bookmarkEnd w:id="302"/>
      <w:bookmarkStart w:id="303" w:name="_Toc11094"/>
      <w:r>
        <w:rPr>
          <w:rFonts w:hint="eastAsia" w:ascii="宋体" w:hAnsi="宋体" w:eastAsia="宋体"/>
          <w:b/>
          <w:color w:val="auto"/>
          <w:highlight w:val="none"/>
          <w:lang w:val="en-US" w:eastAsia="zh-CN"/>
        </w:rPr>
        <w:t>8</w:t>
      </w:r>
      <w:r>
        <w:rPr>
          <w:rFonts w:hint="eastAsia" w:ascii="宋体" w:hAnsi="宋体" w:eastAsia="宋体"/>
          <w:b/>
          <w:color w:val="auto"/>
          <w:highlight w:val="none"/>
        </w:rPr>
        <w:t>.1 对招标人的纪律要求</w:t>
      </w:r>
      <w:bookmarkEnd w:id="303"/>
    </w:p>
    <w:p w14:paraId="0B47D0D2">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招标人不得泄漏招标投标活动中应当保密的情况和资料，不得与投标人串通损害国家利益、社会公共利益或者他人合法权益。</w:t>
      </w:r>
    </w:p>
    <w:p w14:paraId="6AF9E8A1">
      <w:pPr>
        <w:pStyle w:val="35"/>
        <w:spacing w:line="360" w:lineRule="auto"/>
        <w:rPr>
          <w:rFonts w:ascii="宋体" w:hAnsi="宋体" w:eastAsia="宋体"/>
          <w:b/>
          <w:color w:val="auto"/>
          <w:highlight w:val="none"/>
        </w:rPr>
      </w:pPr>
      <w:bookmarkStart w:id="304" w:name="_Toc26629"/>
      <w:bookmarkEnd w:id="304"/>
      <w:bookmarkStart w:id="305" w:name="_Toc30704"/>
      <w:bookmarkEnd w:id="305"/>
      <w:bookmarkStart w:id="306" w:name="_Toc152042352"/>
      <w:bookmarkEnd w:id="306"/>
      <w:bookmarkStart w:id="307" w:name="_Toc144974544"/>
      <w:bookmarkEnd w:id="307"/>
      <w:bookmarkStart w:id="308" w:name="_Toc179632594"/>
      <w:bookmarkEnd w:id="308"/>
      <w:bookmarkStart w:id="309" w:name="_Toc16778787"/>
      <w:bookmarkEnd w:id="309"/>
      <w:bookmarkStart w:id="310" w:name="_Toc152045576"/>
      <w:r>
        <w:rPr>
          <w:rFonts w:hint="eastAsia" w:ascii="宋体" w:hAnsi="宋体" w:eastAsia="宋体"/>
          <w:b/>
          <w:color w:val="auto"/>
          <w:highlight w:val="none"/>
          <w:lang w:val="en-US" w:eastAsia="zh-CN"/>
        </w:rPr>
        <w:t>8</w:t>
      </w:r>
      <w:r>
        <w:rPr>
          <w:rFonts w:hint="eastAsia" w:ascii="宋体" w:hAnsi="宋体" w:eastAsia="宋体"/>
          <w:b/>
          <w:color w:val="auto"/>
          <w:highlight w:val="none"/>
        </w:rPr>
        <w:t>.2 对投标人的纪律要求</w:t>
      </w:r>
      <w:bookmarkEnd w:id="310"/>
    </w:p>
    <w:p w14:paraId="0478922D">
      <w:pPr>
        <w:widowControl/>
        <w:shd w:val="clear" w:color="auto" w:fill="auto"/>
        <w:spacing w:line="360" w:lineRule="auto"/>
        <w:ind w:firstLine="360"/>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投标人不得相互串通投标或与招标人串通投标，不得向招标人或者评标委员会成员行贿谋取中标，不得以他人名义投标或以其他方式弄虚作假骗取中标；投标人不得以任何方式干扰、影响评标工作。</w:t>
      </w:r>
      <w:r>
        <w:rPr>
          <w:rFonts w:hint="eastAsia" w:ascii="宋体" w:hAnsi="宋体"/>
          <w:color w:val="auto"/>
          <w:sz w:val="24"/>
          <w:szCs w:val="24"/>
          <w:highlight w:val="none"/>
          <w:lang w:val="en-US" w:eastAsia="zh-CN"/>
        </w:rPr>
        <w:t>投标人须</w:t>
      </w:r>
      <w:r>
        <w:rPr>
          <w:rFonts w:hint="eastAsia" w:ascii="宋体" w:hAnsi="宋体" w:eastAsia="宋体" w:cs="Times New Roman"/>
          <w:color w:val="auto"/>
          <w:sz w:val="24"/>
          <w:szCs w:val="24"/>
          <w:highlight w:val="none"/>
        </w:rPr>
        <w:t>对上述做出保证并附在</w:t>
      </w:r>
      <w:r>
        <w:rPr>
          <w:rFonts w:hint="eastAsia" w:ascii="宋体" w:hAnsi="宋体" w:eastAsia="宋体" w:cs="Times New Roman"/>
          <w:color w:val="auto"/>
          <w:sz w:val="24"/>
          <w:szCs w:val="24"/>
          <w:highlight w:val="none"/>
          <w:lang w:val="en-US" w:eastAsia="zh-CN"/>
        </w:rPr>
        <w:t>投标</w:t>
      </w:r>
      <w:r>
        <w:rPr>
          <w:rFonts w:hint="eastAsia" w:ascii="宋体" w:hAnsi="宋体" w:eastAsia="宋体" w:cs="Times New Roman"/>
          <w:color w:val="auto"/>
          <w:sz w:val="24"/>
          <w:szCs w:val="24"/>
          <w:highlight w:val="none"/>
        </w:rPr>
        <w:t>文件中，</w:t>
      </w:r>
      <w:r>
        <w:rPr>
          <w:rFonts w:hint="eastAsia" w:ascii="宋体" w:hAnsi="宋体" w:eastAsia="宋体" w:cs="Times New Roman"/>
          <w:color w:val="auto"/>
          <w:sz w:val="24"/>
          <w:szCs w:val="24"/>
          <w:highlight w:val="none"/>
          <w:lang w:val="en-US" w:eastAsia="zh-CN"/>
        </w:rPr>
        <w:t>否则</w:t>
      </w:r>
      <w:r>
        <w:rPr>
          <w:rFonts w:hint="eastAsia" w:ascii="宋体" w:hAnsi="宋体" w:eastAsia="宋体" w:cs="Times New Roman"/>
          <w:color w:val="auto"/>
          <w:sz w:val="24"/>
          <w:szCs w:val="24"/>
          <w:highlight w:val="none"/>
        </w:rPr>
        <w:t>投标人的投标将被否决。</w:t>
      </w:r>
    </w:p>
    <w:p w14:paraId="50CA5F65">
      <w:pPr>
        <w:pStyle w:val="35"/>
        <w:keepNext w:val="0"/>
        <w:keepLines w:val="0"/>
        <w:pageBreakBefore w:val="0"/>
        <w:widowControl w:val="0"/>
        <w:kinsoku/>
        <w:overflowPunct w:val="0"/>
        <w:topLinePunct w:val="0"/>
        <w:autoSpaceDE/>
        <w:autoSpaceDN/>
        <w:bidi w:val="0"/>
        <w:adjustRightInd/>
        <w:snapToGrid/>
        <w:spacing w:line="360" w:lineRule="auto"/>
        <w:textAlignment w:val="auto"/>
        <w:rPr>
          <w:rFonts w:ascii="宋体" w:hAnsi="宋体" w:eastAsia="宋体"/>
          <w:b/>
          <w:color w:val="auto"/>
          <w:highlight w:val="none"/>
        </w:rPr>
      </w:pPr>
      <w:bookmarkStart w:id="311" w:name="_Toc11173"/>
      <w:bookmarkEnd w:id="311"/>
      <w:bookmarkStart w:id="312" w:name="_Toc23529"/>
      <w:bookmarkEnd w:id="312"/>
      <w:bookmarkStart w:id="313" w:name="_Toc152045577"/>
      <w:bookmarkEnd w:id="313"/>
      <w:bookmarkStart w:id="314" w:name="_Toc144974545"/>
      <w:bookmarkEnd w:id="314"/>
      <w:bookmarkStart w:id="315" w:name="_Toc16778788"/>
      <w:bookmarkEnd w:id="315"/>
      <w:bookmarkStart w:id="316" w:name="_Toc179632595"/>
      <w:bookmarkEnd w:id="316"/>
      <w:bookmarkStart w:id="317" w:name="_Toc152042353"/>
      <w:r>
        <w:rPr>
          <w:rFonts w:hint="eastAsia" w:ascii="宋体" w:hAnsi="宋体" w:eastAsia="宋体"/>
          <w:b/>
          <w:color w:val="auto"/>
          <w:highlight w:val="none"/>
          <w:lang w:val="en-US" w:eastAsia="zh-CN"/>
        </w:rPr>
        <w:t>8</w:t>
      </w:r>
      <w:r>
        <w:rPr>
          <w:rFonts w:hint="eastAsia" w:ascii="宋体" w:hAnsi="宋体" w:eastAsia="宋体"/>
          <w:b/>
          <w:color w:val="auto"/>
          <w:highlight w:val="none"/>
        </w:rPr>
        <w:t>.3 对评标委员会成员的纪律要求</w:t>
      </w:r>
      <w:bookmarkEnd w:id="317"/>
    </w:p>
    <w:p w14:paraId="15824384">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评标委员会成员不得收受他人的财物或其他好处</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1F01C63E">
      <w:pPr>
        <w:pStyle w:val="35"/>
        <w:keepNext w:val="0"/>
        <w:keepLines w:val="0"/>
        <w:pageBreakBefore w:val="0"/>
        <w:widowControl w:val="0"/>
        <w:kinsoku/>
        <w:overflowPunct w:val="0"/>
        <w:topLinePunct w:val="0"/>
        <w:autoSpaceDE/>
        <w:autoSpaceDN/>
        <w:bidi w:val="0"/>
        <w:adjustRightInd/>
        <w:snapToGrid/>
        <w:spacing w:line="360" w:lineRule="auto"/>
        <w:textAlignment w:val="auto"/>
        <w:rPr>
          <w:rFonts w:ascii="宋体" w:hAnsi="宋体" w:eastAsia="宋体"/>
          <w:b/>
          <w:color w:val="auto"/>
          <w:highlight w:val="none"/>
        </w:rPr>
      </w:pPr>
      <w:bookmarkStart w:id="318" w:name="_Toc152045578"/>
      <w:bookmarkEnd w:id="318"/>
      <w:bookmarkStart w:id="319" w:name="_Toc144974546"/>
      <w:bookmarkEnd w:id="319"/>
      <w:bookmarkStart w:id="320" w:name="_Toc14833"/>
      <w:bookmarkEnd w:id="320"/>
      <w:bookmarkStart w:id="321" w:name="_Toc179632596"/>
      <w:bookmarkEnd w:id="321"/>
      <w:bookmarkStart w:id="322" w:name="_Toc152042354"/>
      <w:bookmarkEnd w:id="322"/>
      <w:bookmarkStart w:id="323" w:name="_Toc21229"/>
      <w:bookmarkEnd w:id="323"/>
      <w:bookmarkStart w:id="324" w:name="_Toc16778789"/>
      <w:r>
        <w:rPr>
          <w:rFonts w:hint="eastAsia" w:ascii="宋体" w:hAnsi="宋体" w:eastAsia="宋体"/>
          <w:b/>
          <w:color w:val="auto"/>
          <w:highlight w:val="none"/>
          <w:lang w:val="en-US" w:eastAsia="zh-CN"/>
        </w:rPr>
        <w:t>8</w:t>
      </w:r>
      <w:r>
        <w:rPr>
          <w:rFonts w:hint="eastAsia" w:ascii="宋体" w:hAnsi="宋体" w:eastAsia="宋体"/>
          <w:b/>
          <w:color w:val="auto"/>
          <w:highlight w:val="none"/>
        </w:rPr>
        <w:t>.4 对与评标活动有关的工作人员的纪律要求</w:t>
      </w:r>
      <w:bookmarkEnd w:id="324"/>
    </w:p>
    <w:p w14:paraId="473B6835">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bookmarkStart w:id="325" w:name="_Toc152042355"/>
      <w:bookmarkEnd w:id="325"/>
      <w:r>
        <w:rPr>
          <w:rFonts w:hint="eastAsia" w:ascii="宋体" w:hAnsi="宋体"/>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6C165A6">
      <w:pPr>
        <w:pStyle w:val="35"/>
        <w:keepNext w:val="0"/>
        <w:keepLines w:val="0"/>
        <w:pageBreakBefore w:val="0"/>
        <w:widowControl w:val="0"/>
        <w:kinsoku/>
        <w:overflowPunct w:val="0"/>
        <w:topLinePunct w:val="0"/>
        <w:autoSpaceDE/>
        <w:autoSpaceDN/>
        <w:bidi w:val="0"/>
        <w:adjustRightInd/>
        <w:snapToGrid/>
        <w:spacing w:line="360" w:lineRule="auto"/>
        <w:textAlignment w:val="auto"/>
        <w:rPr>
          <w:rFonts w:ascii="宋体" w:hAnsi="宋体" w:eastAsia="宋体"/>
          <w:b/>
          <w:color w:val="auto"/>
          <w:highlight w:val="none"/>
        </w:rPr>
      </w:pPr>
      <w:bookmarkStart w:id="326" w:name="_Toc17647"/>
      <w:bookmarkEnd w:id="326"/>
      <w:bookmarkStart w:id="327" w:name="_Toc16778790"/>
      <w:bookmarkEnd w:id="327"/>
      <w:bookmarkStart w:id="328" w:name="_Toc10515"/>
      <w:bookmarkEnd w:id="328"/>
      <w:bookmarkStart w:id="329" w:name="_Toc152045579"/>
      <w:bookmarkEnd w:id="329"/>
      <w:bookmarkStart w:id="330" w:name="_Toc152042356"/>
      <w:bookmarkEnd w:id="330"/>
      <w:bookmarkStart w:id="331" w:name="_Toc179632597"/>
      <w:r>
        <w:rPr>
          <w:rFonts w:hint="eastAsia" w:ascii="宋体" w:hAnsi="宋体" w:eastAsia="宋体"/>
          <w:b/>
          <w:color w:val="auto"/>
          <w:highlight w:val="none"/>
          <w:lang w:val="en-US" w:eastAsia="zh-CN"/>
        </w:rPr>
        <w:t>8</w:t>
      </w:r>
      <w:r>
        <w:rPr>
          <w:rFonts w:hint="eastAsia" w:ascii="宋体" w:hAnsi="宋体" w:eastAsia="宋体"/>
          <w:b/>
          <w:color w:val="auto"/>
          <w:highlight w:val="none"/>
        </w:rPr>
        <w:t>.5 投诉</w:t>
      </w:r>
      <w:bookmarkEnd w:id="331"/>
    </w:p>
    <w:p w14:paraId="234342F1">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.5.1 投标人或其他利害关系人认为招标投标活动不符合法律、行政法规规定的，可以自知道或应当知道之日起10日内向有关行政监督部门投诉。投诉应有明确的请求和必要的证明材料。</w:t>
      </w:r>
    </w:p>
    <w:p w14:paraId="1EE977E1">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监督部门的联系方式见投标人须知前附表。</w:t>
      </w:r>
    </w:p>
    <w:p w14:paraId="5A901F62">
      <w:pPr>
        <w:keepNext w:val="0"/>
        <w:keepLines w:val="0"/>
        <w:pageBreakBefore w:val="0"/>
        <w:widowControl w:val="0"/>
        <w:kinsoku/>
        <w:wordWrap w:val="0"/>
        <w:overflowPunct w:val="0"/>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.5.2 投标人或其他利害关系人对招标文件、开标和评标结果提出投诉的，应按照本章第2.4款、第5.3款和第7.2款的规定先向招标人提出异议。异议答复期间不计算在第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.5.1项规定的期限内。</w:t>
      </w:r>
    </w:p>
    <w:p w14:paraId="7DA90815">
      <w:pPr>
        <w:pStyle w:val="12"/>
        <w:keepNext w:val="0"/>
        <w:keepLines w:val="0"/>
        <w:pageBreakBefore w:val="0"/>
        <w:widowControl w:val="0"/>
        <w:kinsoku/>
        <w:topLinePunct w:val="0"/>
        <w:autoSpaceDE/>
        <w:autoSpaceDN/>
        <w:bidi w:val="0"/>
        <w:adjustRightInd/>
        <w:snapToGrid/>
        <w:spacing w:line="360" w:lineRule="auto"/>
        <w:ind w:left="0" w:leftChars="0" w:firstLine="0" w:firstLineChars="0"/>
        <w:textAlignment w:val="auto"/>
        <w:rPr>
          <w:rFonts w:hint="eastAsia" w:ascii="宋体"/>
          <w:b/>
          <w:color w:val="auto"/>
          <w:sz w:val="28"/>
          <w:szCs w:val="28"/>
          <w:highlight w:val="none"/>
          <w:lang w:val="en-US" w:eastAsia="zh-CN"/>
        </w:rPr>
      </w:pPr>
      <w:r>
        <w:rPr>
          <w:rFonts w:hint="eastAsia" w:ascii="宋体"/>
          <w:b/>
          <w:color w:val="auto"/>
          <w:sz w:val="28"/>
          <w:szCs w:val="28"/>
          <w:highlight w:val="none"/>
          <w:lang w:val="en-US" w:eastAsia="zh-CN"/>
        </w:rPr>
        <w:t>9</w:t>
      </w:r>
      <w:r>
        <w:rPr>
          <w:rFonts w:hint="eastAsia" w:ascii="宋体" w:hAnsi="宋体" w:eastAsia="宋体"/>
          <w:b/>
          <w:color w:val="auto"/>
          <w:sz w:val="28"/>
          <w:szCs w:val="28"/>
          <w:highlight w:val="none"/>
        </w:rPr>
        <w:t>.</w:t>
      </w:r>
      <w:r>
        <w:rPr>
          <w:rFonts w:hint="eastAsia" w:ascii="宋体"/>
          <w:b/>
          <w:color w:val="auto"/>
          <w:sz w:val="28"/>
          <w:szCs w:val="28"/>
          <w:highlight w:val="none"/>
          <w:lang w:val="en-US" w:eastAsia="zh-CN"/>
        </w:rPr>
        <w:t xml:space="preserve"> 是否采用电子招标投标</w:t>
      </w:r>
    </w:p>
    <w:p w14:paraId="1EB93230">
      <w:pPr>
        <w:keepNext w:val="0"/>
        <w:keepLines w:val="0"/>
        <w:pageBreakBefore w:val="0"/>
        <w:widowControl w:val="0"/>
        <w:kinsoku/>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sz w:val="24"/>
          <w:szCs w:val="24"/>
          <w:highlight w:val="none"/>
          <w:lang w:val="en-US" w:eastAsia="zh-CN"/>
        </w:rPr>
        <w:t>本招标项目是否采用电子招标投标方式，见投标人须知前附表。</w:t>
      </w:r>
    </w:p>
    <w:p w14:paraId="2B043DEC">
      <w:pPr>
        <w:pStyle w:val="35"/>
        <w:keepNext w:val="0"/>
        <w:keepLines w:val="0"/>
        <w:pageBreakBefore w:val="0"/>
        <w:widowControl w:val="0"/>
        <w:numPr>
          <w:ilvl w:val="0"/>
          <w:numId w:val="2"/>
        </w:numPr>
        <w:kinsoku/>
        <w:wordWrap w:val="0"/>
        <w:overflowPunct w:val="0"/>
        <w:topLinePunct w:val="0"/>
        <w:autoSpaceDE/>
        <w:autoSpaceDN/>
        <w:bidi w:val="0"/>
        <w:adjustRightInd/>
        <w:snapToGrid/>
        <w:spacing w:line="360" w:lineRule="auto"/>
        <w:textAlignment w:val="auto"/>
        <w:rPr>
          <w:rFonts w:hint="eastAsia" w:ascii="宋体" w:hAnsi="宋体" w:eastAsia="宋体"/>
          <w:b/>
          <w:color w:val="auto"/>
          <w:sz w:val="28"/>
          <w:szCs w:val="28"/>
          <w:highlight w:val="none"/>
        </w:rPr>
      </w:pPr>
      <w:bookmarkStart w:id="332" w:name="_Toc152045580"/>
      <w:bookmarkEnd w:id="332"/>
      <w:bookmarkStart w:id="333" w:name="_Toc6998"/>
      <w:bookmarkEnd w:id="333"/>
      <w:bookmarkStart w:id="334" w:name="_Toc11240"/>
      <w:bookmarkEnd w:id="334"/>
      <w:bookmarkStart w:id="335" w:name="_Toc152042357"/>
      <w:bookmarkEnd w:id="335"/>
      <w:bookmarkStart w:id="336" w:name="_Toc7262"/>
      <w:bookmarkEnd w:id="336"/>
      <w:bookmarkStart w:id="337" w:name="_Toc144974547"/>
      <w:bookmarkEnd w:id="337"/>
      <w:bookmarkStart w:id="338" w:name="_Toc16778792"/>
      <w:bookmarkEnd w:id="338"/>
      <w:bookmarkStart w:id="339" w:name="_Toc179632598"/>
      <w:bookmarkEnd w:id="339"/>
      <w:bookmarkStart w:id="340" w:name="_Toc14738"/>
      <w:r>
        <w:rPr>
          <w:rFonts w:hint="eastAsia" w:ascii="宋体" w:hAnsi="宋体" w:eastAsia="宋体"/>
          <w:b/>
          <w:color w:val="auto"/>
          <w:sz w:val="28"/>
          <w:szCs w:val="28"/>
          <w:highlight w:val="none"/>
        </w:rPr>
        <w:t>需要补充的内容</w:t>
      </w:r>
      <w:bookmarkEnd w:id="340"/>
    </w:p>
    <w:p w14:paraId="2FDFCDA6">
      <w:pPr>
        <w:pStyle w:val="35"/>
        <w:keepNext w:val="0"/>
        <w:keepLines w:val="0"/>
        <w:pageBreakBefore w:val="0"/>
        <w:widowControl w:val="0"/>
        <w:numPr>
          <w:ilvl w:val="0"/>
          <w:numId w:val="0"/>
        </w:numPr>
        <w:kinsoku/>
        <w:wordWrap w:val="0"/>
        <w:overflowPunct w:val="0"/>
        <w:topLinePunct w:val="0"/>
        <w:autoSpaceDE/>
        <w:autoSpaceDN/>
        <w:bidi w:val="0"/>
        <w:adjustRightInd/>
        <w:snapToGrid/>
        <w:spacing w:line="360" w:lineRule="auto"/>
        <w:ind w:leftChars="0" w:firstLine="480" w:firstLineChars="200"/>
        <w:textAlignment w:val="auto"/>
        <w:rPr>
          <w:rFonts w:hint="eastAsia" w:ascii="宋体" w:hAnsi="宋体" w:eastAsia="宋体" w:cs="Times New Roman"/>
          <w:b w:val="0"/>
          <w:bCs w:val="0"/>
          <w:color w:val="auto"/>
          <w:kern w:val="2"/>
          <w:sz w:val="24"/>
          <w:szCs w:val="24"/>
          <w:highlight w:val="none"/>
          <w:lang w:val="en-US" w:eastAsia="zh-CN" w:bidi="ar-SA"/>
        </w:rPr>
      </w:pPr>
      <w:r>
        <w:rPr>
          <w:rFonts w:hint="eastAsia" w:ascii="宋体" w:hAnsi="宋体" w:eastAsia="宋体" w:cs="Times New Roman"/>
          <w:b w:val="0"/>
          <w:bCs w:val="0"/>
          <w:color w:val="auto"/>
          <w:kern w:val="2"/>
          <w:sz w:val="24"/>
          <w:szCs w:val="24"/>
          <w:highlight w:val="none"/>
          <w:lang w:val="en-US" w:eastAsia="zh-CN" w:bidi="ar-SA"/>
        </w:rPr>
        <w:t>10.1自购买招标文件之日起，投标人应保证其提供的联系方式（电话、传真、 电子邮件）一直有效，以便及时收到招标人发出的函件（招标文件的澄清、修改等)，并应及时向招标人反馈信息，否则招标人不承担由此引起的一切后果。</w:t>
      </w:r>
    </w:p>
    <w:p w14:paraId="7CD3BBB5">
      <w:pPr>
        <w:keepNext w:val="0"/>
        <w:keepLines w:val="0"/>
        <w:pageBreakBefore w:val="0"/>
        <w:widowControl w:val="0"/>
        <w:kinsoku/>
        <w:overflowPunct w:val="0"/>
        <w:topLinePunct w:val="0"/>
        <w:autoSpaceDE/>
        <w:autoSpaceDN/>
        <w:bidi w:val="0"/>
        <w:adjustRightInd/>
        <w:snapToGrid/>
        <w:spacing w:line="360" w:lineRule="auto"/>
        <w:ind w:firstLine="480" w:firstLineChars="200"/>
        <w:jc w:val="left"/>
        <w:textAlignment w:val="auto"/>
        <w:rPr>
          <w:rFonts w:hint="eastAsia" w:ascii="宋体" w:hAnsi="宋体" w:cs="Times New Roman"/>
          <w:color w:val="auto"/>
          <w:sz w:val="24"/>
          <w:szCs w:val="24"/>
          <w:highlight w:val="none"/>
        </w:rPr>
      </w:pPr>
      <w:bookmarkStart w:id="341" w:name="_Toc462165688"/>
      <w:bookmarkEnd w:id="341"/>
      <w:bookmarkStart w:id="342" w:name="_Toc179632599"/>
      <w:bookmarkEnd w:id="342"/>
      <w:bookmarkStart w:id="343" w:name="_Toc494383751"/>
      <w:bookmarkEnd w:id="343"/>
      <w:bookmarkStart w:id="344" w:name="_Toc503884973"/>
      <w:bookmarkEnd w:id="344"/>
      <w:bookmarkStart w:id="345" w:name="_Toc152045581"/>
      <w:bookmarkEnd w:id="345"/>
      <w:bookmarkStart w:id="346" w:name="_Toc351044531"/>
      <w:bookmarkEnd w:id="346"/>
      <w:bookmarkStart w:id="347" w:name="_Toc409717261"/>
      <w:bookmarkEnd w:id="347"/>
      <w:bookmarkStart w:id="348" w:name="_Toc503271363"/>
      <w:bookmarkEnd w:id="348"/>
      <w:bookmarkStart w:id="349" w:name="_Toc144974548"/>
      <w:bookmarkEnd w:id="349"/>
      <w:bookmarkStart w:id="350" w:name="_Toc409440057"/>
      <w:r>
        <w:rPr>
          <w:rFonts w:hint="eastAsia" w:ascii="宋体" w:hAnsi="宋体" w:cs="Times New Roman"/>
          <w:color w:val="auto"/>
          <w:sz w:val="24"/>
          <w:szCs w:val="24"/>
          <w:highlight w:val="none"/>
        </w:rPr>
        <w:t>需要补充的其他内容:见投标人须知前附表。</w:t>
      </w:r>
    </w:p>
    <w:bookmarkEnd w:id="350"/>
    <w:p w14:paraId="4BA3013F">
      <w:pPr>
        <w:pStyle w:val="35"/>
        <w:outlineLvl w:val="1"/>
        <w:rPr>
          <w:rFonts w:ascii="宋体" w:hAnsi="宋体" w:eastAsia="宋体"/>
          <w:b/>
          <w:color w:val="auto"/>
          <w:sz w:val="28"/>
          <w:szCs w:val="28"/>
          <w:highlight w:val="none"/>
        </w:rPr>
      </w:pPr>
      <w:r>
        <w:rPr>
          <w:rFonts w:hint="eastAsia" w:ascii="宋体" w:hAnsi="宋体" w:eastAsia="宋体"/>
          <w:b/>
          <w:color w:val="auto"/>
          <w:sz w:val="28"/>
          <w:szCs w:val="28"/>
          <w:highlight w:val="none"/>
        </w:rPr>
        <w:t>附件</w:t>
      </w:r>
      <w:r>
        <w:rPr>
          <w:rFonts w:hint="eastAsia" w:ascii="宋体" w:hAnsi="宋体" w:eastAsia="宋体"/>
          <w:b/>
          <w:color w:val="auto"/>
          <w:sz w:val="28"/>
          <w:szCs w:val="28"/>
          <w:highlight w:val="none"/>
          <w:lang w:eastAsia="zh-CN"/>
        </w:rPr>
        <w:t>一</w:t>
      </w:r>
      <w:r>
        <w:rPr>
          <w:rFonts w:hint="eastAsia" w:ascii="宋体" w:hAnsi="宋体" w:eastAsia="宋体"/>
          <w:b/>
          <w:color w:val="auto"/>
          <w:sz w:val="28"/>
          <w:szCs w:val="28"/>
          <w:highlight w:val="none"/>
        </w:rPr>
        <w:t xml:space="preserve"> 问题澄清通知</w:t>
      </w:r>
    </w:p>
    <w:p w14:paraId="101C568A">
      <w:pPr>
        <w:spacing w:line="440" w:lineRule="exact"/>
        <w:jc w:val="center"/>
        <w:rPr>
          <w:rFonts w:ascii="宋体" w:hAnsi="宋体"/>
          <w:color w:val="auto"/>
          <w:highlight w:val="none"/>
        </w:rPr>
      </w:pPr>
      <w:r>
        <w:rPr>
          <w:rFonts w:hint="eastAsia" w:ascii="宋体" w:hAnsi="宋体"/>
          <w:color w:val="auto"/>
          <w:highlight w:val="none"/>
        </w:rPr>
        <w:t xml:space="preserve"> </w:t>
      </w:r>
    </w:p>
    <w:p w14:paraId="44723720">
      <w:pPr>
        <w:spacing w:line="440" w:lineRule="exact"/>
        <w:jc w:val="center"/>
        <w:rPr>
          <w:rFonts w:ascii="宋体" w:hAnsi="宋体"/>
          <w:b/>
          <w:color w:val="auto"/>
          <w:sz w:val="32"/>
          <w:szCs w:val="32"/>
          <w:highlight w:val="none"/>
        </w:rPr>
      </w:pPr>
      <w:r>
        <w:rPr>
          <w:rFonts w:hint="eastAsia" w:ascii="宋体" w:hAnsi="宋体"/>
          <w:b/>
          <w:color w:val="auto"/>
          <w:sz w:val="32"/>
          <w:szCs w:val="32"/>
          <w:highlight w:val="none"/>
        </w:rPr>
        <w:t>问题澄清通知</w:t>
      </w:r>
    </w:p>
    <w:p w14:paraId="27D01E13">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705C34E5">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6D10E614">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w:t>
      </w:r>
    </w:p>
    <w:p w14:paraId="6E58D55C">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5794CA2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标段施工招标的评标委员会，对你方的投标文件进行了仔细的审查，现需你方对下列问题以书面形式予以澄清或说明：</w:t>
      </w:r>
    </w:p>
    <w:p w14:paraId="451527A1">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32B9BF9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p>
    <w:p w14:paraId="5A262DC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p>
    <w:p w14:paraId="661EC57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65271D4B">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1158C13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请将上述问题的澄清或说明于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时</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分前递交至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（详细地址）或传真至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（传真号码）。采用传真方式的，应在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时</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分前将原件递交至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（详细地址）。</w:t>
      </w:r>
    </w:p>
    <w:p w14:paraId="35018F2E">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3F2CB363">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3849AD80">
      <w:pPr>
        <w:spacing w:line="360" w:lineRule="auto"/>
        <w:ind w:firstLine="240" w:firstLineChars="100"/>
        <w:jc w:val="right"/>
        <w:rPr>
          <w:rFonts w:ascii="宋体" w:hAnsi="宋体"/>
          <w:color w:val="auto"/>
          <w:sz w:val="24"/>
          <w:szCs w:val="24"/>
          <w:highlight w:val="none"/>
        </w:rPr>
      </w:pPr>
      <w:r>
        <w:rPr>
          <w:rFonts w:hint="eastAsia" w:ascii="宋体" w:hAnsi="宋体"/>
          <w:color w:val="auto"/>
          <w:sz w:val="24"/>
          <w:szCs w:val="24"/>
          <w:highlight w:val="none"/>
        </w:rPr>
        <w:t>评标委员会授权的招标人或招标代理机构：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（签字或盖单位章）</w:t>
      </w:r>
    </w:p>
    <w:p w14:paraId="0B5B883C">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5DE9C44C">
      <w:pPr>
        <w:spacing w:line="360" w:lineRule="auto"/>
        <w:ind w:firstLine="4440" w:firstLineChars="1850"/>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875E4A1">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351" w:name="_Toc152045583"/>
      <w:bookmarkEnd w:id="351"/>
      <w:bookmarkStart w:id="352" w:name="_Toc179632601"/>
      <w:bookmarkEnd w:id="352"/>
      <w:bookmarkStart w:id="353" w:name="_Toc16778795"/>
      <w:bookmarkEnd w:id="353"/>
      <w:bookmarkStart w:id="354" w:name="_Toc11455"/>
      <w:bookmarkEnd w:id="354"/>
      <w:bookmarkStart w:id="355" w:name="_Toc144974550"/>
      <w:bookmarkEnd w:id="355"/>
      <w:bookmarkStart w:id="356" w:name="_Toc3907"/>
    </w:p>
    <w:p w14:paraId="267EB30C">
      <w:pPr>
        <w:rPr>
          <w:rFonts w:hint="eastAsia" w:ascii="宋体" w:hAnsi="宋体"/>
          <w:color w:val="auto"/>
          <w:sz w:val="24"/>
          <w:szCs w:val="24"/>
          <w:highlight w:val="none"/>
        </w:rPr>
      </w:pPr>
      <w:r>
        <w:rPr>
          <w:rFonts w:hint="eastAsia" w:ascii="宋体" w:hAnsi="宋体"/>
          <w:color w:val="auto"/>
          <w:sz w:val="24"/>
          <w:szCs w:val="24"/>
          <w:highlight w:val="none"/>
        </w:rPr>
        <w:br w:type="page"/>
      </w:r>
    </w:p>
    <w:p w14:paraId="730535DA">
      <w:pPr>
        <w:spacing w:line="400" w:lineRule="exact"/>
        <w:rPr>
          <w:rFonts w:ascii="宋体" w:hAnsi="宋体" w:eastAsia="宋体"/>
          <w:b/>
          <w:color w:val="auto"/>
          <w:sz w:val="28"/>
          <w:szCs w:val="28"/>
          <w:highlight w:val="none"/>
        </w:rPr>
      </w:pPr>
      <w:r>
        <w:rPr>
          <w:rFonts w:hint="eastAsia" w:ascii="宋体" w:hAnsi="宋体" w:eastAsia="宋体"/>
          <w:b/>
          <w:color w:val="auto"/>
          <w:sz w:val="28"/>
          <w:szCs w:val="28"/>
          <w:highlight w:val="none"/>
        </w:rPr>
        <w:t>附件</w:t>
      </w:r>
      <w:bookmarkEnd w:id="356"/>
      <w:r>
        <w:rPr>
          <w:rFonts w:hint="eastAsia" w:ascii="宋体" w:hAnsi="宋体" w:eastAsia="宋体"/>
          <w:b/>
          <w:color w:val="auto"/>
          <w:sz w:val="28"/>
          <w:szCs w:val="28"/>
          <w:highlight w:val="none"/>
          <w:lang w:eastAsia="zh-CN"/>
        </w:rPr>
        <w:t>二</w:t>
      </w:r>
      <w:r>
        <w:rPr>
          <w:rFonts w:hint="eastAsia" w:ascii="宋体" w:hAnsi="宋体" w:eastAsia="宋体"/>
          <w:b/>
          <w:color w:val="auto"/>
          <w:sz w:val="28"/>
          <w:szCs w:val="28"/>
          <w:highlight w:val="none"/>
        </w:rPr>
        <w:t xml:space="preserve">  问题的澄清</w:t>
      </w:r>
    </w:p>
    <w:p w14:paraId="288B7479">
      <w:pPr>
        <w:spacing w:line="400" w:lineRule="exact"/>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7E99B82E">
      <w:pPr>
        <w:spacing w:line="400" w:lineRule="exact"/>
        <w:jc w:val="center"/>
        <w:rPr>
          <w:rFonts w:ascii="宋体" w:hAnsi="宋体"/>
          <w:b/>
          <w:color w:val="auto"/>
          <w:sz w:val="32"/>
          <w:szCs w:val="32"/>
          <w:highlight w:val="none"/>
        </w:rPr>
      </w:pPr>
      <w:r>
        <w:rPr>
          <w:rFonts w:hint="eastAsia" w:ascii="宋体" w:hAnsi="宋体"/>
          <w:b/>
          <w:color w:val="auto"/>
          <w:sz w:val="32"/>
          <w:szCs w:val="32"/>
          <w:highlight w:val="none"/>
        </w:rPr>
        <w:t>问题的澄清</w:t>
      </w:r>
    </w:p>
    <w:p w14:paraId="054BAD0F">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64C7CC3E">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0D283BE1">
      <w:pPr>
        <w:spacing w:line="440" w:lineRule="exact"/>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标段施工招标评标委员会：</w:t>
      </w:r>
    </w:p>
    <w:p w14:paraId="6C667AED">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138A90F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问题澄清通知（编号：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）已收悉，现澄清、说明如下：</w:t>
      </w:r>
    </w:p>
    <w:p w14:paraId="6F8F3C2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p>
    <w:p w14:paraId="40027A9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p>
    <w:p w14:paraId="0EC4FA3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6509D8B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p>
    <w:p w14:paraId="67A1388E">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2DE71922">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上述问题澄清或说明，不改变我方投标文件的实质性内容，构成我方投标文件的组成部分。</w:t>
      </w:r>
    </w:p>
    <w:p w14:paraId="596660AD">
      <w:pPr>
        <w:spacing w:line="440" w:lineRule="exact"/>
        <w:ind w:firstLine="3720" w:firstLineChars="1550"/>
        <w:rPr>
          <w:rFonts w:ascii="宋体" w:hAnsi="宋体"/>
          <w:color w:val="auto"/>
          <w:sz w:val="24"/>
          <w:szCs w:val="24"/>
          <w:highlight w:val="none"/>
        </w:rPr>
      </w:pPr>
      <w:r>
        <w:rPr>
          <w:rFonts w:hint="eastAsia" w:ascii="宋体" w:hAnsi="宋体"/>
          <w:color w:val="auto"/>
          <w:sz w:val="24"/>
          <w:szCs w:val="24"/>
          <w:highlight w:val="none"/>
        </w:rPr>
        <w:t xml:space="preserve"> </w:t>
      </w:r>
    </w:p>
    <w:p w14:paraId="02CD06E6">
      <w:pPr>
        <w:spacing w:line="440" w:lineRule="exact"/>
        <w:ind w:firstLine="3720" w:firstLineChars="1550"/>
        <w:rPr>
          <w:rFonts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088A737E">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5D5F54BC">
      <w:pPr>
        <w:spacing w:line="440" w:lineRule="exact"/>
        <w:ind w:firstLine="3720" w:firstLineChars="1550"/>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60CB989E">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p>
    <w:p w14:paraId="23EF8AA2">
      <w:pPr>
        <w:spacing w:line="400" w:lineRule="exact"/>
        <w:jc w:val="righ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7D9AB918">
      <w:pPr>
        <w:spacing w:line="400" w:lineRule="exact"/>
        <w:rPr>
          <w:rFonts w:ascii="宋体" w:hAnsi="宋体"/>
          <w:color w:val="auto"/>
          <w:highlight w:val="none"/>
        </w:rPr>
      </w:pPr>
      <w:r>
        <w:rPr>
          <w:rFonts w:hint="eastAsia" w:ascii="宋体" w:hAnsi="宋体"/>
          <w:color w:val="auto"/>
          <w:highlight w:val="none"/>
        </w:rPr>
        <w:t xml:space="preserve"> </w:t>
      </w:r>
    </w:p>
    <w:p w14:paraId="7C2AE322">
      <w:pPr>
        <w:adjustRightInd w:val="0"/>
        <w:snapToGrid w:val="0"/>
        <w:spacing w:line="360" w:lineRule="auto"/>
        <w:ind w:firstLine="420" w:firstLineChars="200"/>
        <w:jc w:val="center"/>
        <w:rPr>
          <w:rFonts w:ascii="宋体" w:hAnsi="宋体"/>
          <w:color w:val="auto"/>
          <w:sz w:val="24"/>
          <w:szCs w:val="24"/>
          <w:highlight w:val="none"/>
        </w:rPr>
      </w:pPr>
      <w:bookmarkStart w:id="357" w:name="_Toc179632602"/>
      <w:bookmarkEnd w:id="357"/>
      <w:bookmarkStart w:id="358" w:name="_Toc152042361"/>
      <w:bookmarkEnd w:id="358"/>
      <w:bookmarkStart w:id="359" w:name="_Toc152045584"/>
      <w:bookmarkEnd w:id="359"/>
      <w:bookmarkStart w:id="360" w:name="_Toc144974551"/>
      <w:r>
        <w:rPr>
          <w:rFonts w:hint="eastAsia" w:ascii="宋体" w:hAnsi="宋体"/>
          <w:color w:val="auto"/>
          <w:highlight w:val="none"/>
        </w:rPr>
        <w:br w:type="page"/>
      </w:r>
      <w:bookmarkEnd w:id="360"/>
    </w:p>
    <w:p w14:paraId="10A8AF16">
      <w:pPr>
        <w:keepNext w:val="0"/>
        <w:keepLines w:val="0"/>
        <w:pageBreakBefore w:val="0"/>
        <w:widowControl w:val="0"/>
        <w:kinsoku/>
        <w:wordWrap/>
        <w:overflowPunct/>
        <w:topLinePunct w:val="0"/>
        <w:autoSpaceDE/>
        <w:autoSpaceDN/>
        <w:bidi w:val="0"/>
        <w:adjustRightInd w:val="0"/>
        <w:snapToGrid w:val="0"/>
        <w:spacing w:before="0" w:beforeLines="1800" w:line="240" w:lineRule="auto"/>
        <w:jc w:val="both"/>
        <w:textAlignment w:val="auto"/>
        <w:outlineLvl w:val="0"/>
        <w:rPr>
          <w:rFonts w:hint="eastAsia" w:ascii="宋体" w:hAnsi="宋体"/>
          <w:b/>
          <w:color w:val="auto"/>
          <w:kern w:val="44"/>
          <w:sz w:val="48"/>
          <w:szCs w:val="48"/>
          <w:highlight w:val="none"/>
        </w:rPr>
      </w:pPr>
    </w:p>
    <w:p w14:paraId="1FE52576">
      <w:pPr>
        <w:keepNext w:val="0"/>
        <w:keepLines w:val="0"/>
        <w:pageBreakBefore w:val="0"/>
        <w:widowControl w:val="0"/>
        <w:kinsoku/>
        <w:wordWrap/>
        <w:overflowPunct/>
        <w:topLinePunct w:val="0"/>
        <w:autoSpaceDE/>
        <w:autoSpaceDN/>
        <w:bidi w:val="0"/>
        <w:adjustRightInd w:val="0"/>
        <w:snapToGrid w:val="0"/>
        <w:spacing w:before="0" w:beforeLines="1800" w:line="240" w:lineRule="auto"/>
        <w:jc w:val="center"/>
        <w:textAlignment w:val="auto"/>
        <w:outlineLvl w:val="0"/>
        <w:rPr>
          <w:rFonts w:hint="eastAsia" w:ascii="宋体" w:hAnsi="宋体"/>
          <w:b/>
          <w:color w:val="auto"/>
          <w:kern w:val="44"/>
          <w:sz w:val="32"/>
          <w:szCs w:val="32"/>
          <w:highlight w:val="none"/>
          <w:u w:val="none"/>
          <w:lang w:val="en-US" w:eastAsia="zh-CN"/>
        </w:rPr>
      </w:pPr>
      <w:bookmarkStart w:id="361" w:name="_Toc32765"/>
      <w:r>
        <w:rPr>
          <w:rFonts w:hint="eastAsia" w:ascii="宋体" w:hAnsi="宋体"/>
          <w:b/>
          <w:color w:val="auto"/>
          <w:kern w:val="44"/>
          <w:sz w:val="48"/>
          <w:szCs w:val="48"/>
          <w:highlight w:val="none"/>
        </w:rPr>
        <w:t>第三章  评标办法</w:t>
      </w:r>
      <w:bookmarkEnd w:id="361"/>
    </w:p>
    <w:p w14:paraId="5758ED64">
      <w:pPr>
        <w:adjustRightInd w:val="0"/>
        <w:snapToGrid w:val="0"/>
        <w:spacing w:line="360" w:lineRule="auto"/>
        <w:ind w:firstLine="643" w:firstLineChars="200"/>
        <w:jc w:val="center"/>
        <w:outlineLvl w:val="0"/>
        <w:rPr>
          <w:rFonts w:hint="eastAsia" w:ascii="宋体" w:hAnsi="宋体"/>
          <w:b/>
          <w:color w:val="auto"/>
          <w:kern w:val="44"/>
          <w:sz w:val="32"/>
          <w:szCs w:val="32"/>
          <w:highlight w:val="none"/>
        </w:rPr>
      </w:pPr>
    </w:p>
    <w:p w14:paraId="1565AD99">
      <w:pPr>
        <w:adjustRightInd w:val="0"/>
        <w:snapToGrid w:val="0"/>
        <w:spacing w:line="360" w:lineRule="auto"/>
        <w:ind w:firstLine="964" w:firstLineChars="200"/>
        <w:jc w:val="center"/>
        <w:outlineLvl w:val="0"/>
        <w:rPr>
          <w:rFonts w:hint="eastAsia" w:ascii="宋体" w:hAnsi="宋体"/>
          <w:b/>
          <w:color w:val="auto"/>
          <w:kern w:val="44"/>
          <w:sz w:val="48"/>
          <w:szCs w:val="48"/>
          <w:highlight w:val="none"/>
        </w:rPr>
      </w:pPr>
    </w:p>
    <w:p w14:paraId="4677CB61">
      <w:pPr>
        <w:adjustRightInd w:val="0"/>
        <w:snapToGrid w:val="0"/>
        <w:spacing w:line="360" w:lineRule="auto"/>
        <w:ind w:firstLine="964" w:firstLineChars="200"/>
        <w:jc w:val="center"/>
        <w:outlineLvl w:val="0"/>
        <w:rPr>
          <w:rFonts w:hint="eastAsia" w:ascii="宋体" w:hAnsi="宋体"/>
          <w:b/>
          <w:color w:val="auto"/>
          <w:kern w:val="44"/>
          <w:sz w:val="48"/>
          <w:szCs w:val="48"/>
          <w:highlight w:val="none"/>
        </w:rPr>
      </w:pPr>
    </w:p>
    <w:p w14:paraId="36EE31B5">
      <w:pPr>
        <w:adjustRightInd w:val="0"/>
        <w:snapToGrid w:val="0"/>
        <w:spacing w:line="360" w:lineRule="auto"/>
        <w:ind w:firstLine="964" w:firstLineChars="200"/>
        <w:jc w:val="center"/>
        <w:outlineLvl w:val="0"/>
        <w:rPr>
          <w:rFonts w:hint="eastAsia" w:ascii="宋体" w:hAnsi="宋体"/>
          <w:b/>
          <w:color w:val="auto"/>
          <w:kern w:val="44"/>
          <w:sz w:val="48"/>
          <w:szCs w:val="48"/>
          <w:highlight w:val="none"/>
        </w:rPr>
      </w:pPr>
    </w:p>
    <w:p w14:paraId="304C3299">
      <w:pPr>
        <w:pStyle w:val="12"/>
        <w:rPr>
          <w:rFonts w:hint="eastAsia" w:ascii="宋体" w:hAnsi="宋体"/>
          <w:b/>
          <w:color w:val="auto"/>
          <w:kern w:val="44"/>
          <w:sz w:val="48"/>
          <w:szCs w:val="48"/>
          <w:highlight w:val="none"/>
        </w:rPr>
      </w:pPr>
    </w:p>
    <w:p w14:paraId="2E6719C5">
      <w:pPr>
        <w:rPr>
          <w:rFonts w:hint="eastAsia" w:ascii="宋体" w:hAnsi="宋体"/>
          <w:b/>
          <w:color w:val="auto"/>
          <w:kern w:val="44"/>
          <w:sz w:val="48"/>
          <w:szCs w:val="48"/>
          <w:highlight w:val="none"/>
        </w:rPr>
      </w:pPr>
    </w:p>
    <w:p w14:paraId="76CE8628">
      <w:pPr>
        <w:pStyle w:val="12"/>
        <w:rPr>
          <w:rFonts w:hint="eastAsia" w:ascii="宋体" w:hAnsi="宋体"/>
          <w:b/>
          <w:color w:val="auto"/>
          <w:kern w:val="44"/>
          <w:sz w:val="48"/>
          <w:szCs w:val="48"/>
          <w:highlight w:val="none"/>
        </w:rPr>
      </w:pPr>
    </w:p>
    <w:p w14:paraId="5D3D268F">
      <w:pPr>
        <w:rPr>
          <w:rFonts w:hint="eastAsia" w:ascii="宋体" w:hAnsi="宋体"/>
          <w:b/>
          <w:color w:val="auto"/>
          <w:kern w:val="44"/>
          <w:sz w:val="48"/>
          <w:szCs w:val="48"/>
          <w:highlight w:val="none"/>
        </w:rPr>
      </w:pPr>
    </w:p>
    <w:p w14:paraId="573E26FF">
      <w:pPr>
        <w:pStyle w:val="12"/>
        <w:ind w:left="0" w:leftChars="0" w:firstLine="0" w:firstLineChars="0"/>
        <w:rPr>
          <w:rFonts w:hint="eastAsia" w:ascii="宋体" w:hAnsi="宋体"/>
          <w:b/>
          <w:color w:val="auto"/>
          <w:kern w:val="44"/>
          <w:sz w:val="48"/>
          <w:szCs w:val="48"/>
          <w:highlight w:val="none"/>
        </w:rPr>
      </w:pPr>
    </w:p>
    <w:p w14:paraId="0648F295">
      <w:pPr>
        <w:rPr>
          <w:rFonts w:hint="eastAsia"/>
          <w:color w:val="auto"/>
          <w:highlight w:val="none"/>
        </w:rPr>
      </w:pPr>
    </w:p>
    <w:p w14:paraId="4229E532">
      <w:pPr>
        <w:jc w:val="center"/>
        <w:rPr>
          <w:rFonts w:hint="eastAsia"/>
          <w:color w:val="auto"/>
          <w:highlight w:val="none"/>
        </w:rPr>
      </w:pPr>
      <w:r>
        <w:rPr>
          <w:rFonts w:hint="eastAsia" w:ascii="宋体" w:hAnsi="宋体"/>
          <w:b/>
          <w:color w:val="auto"/>
          <w:kern w:val="44"/>
          <w:sz w:val="44"/>
          <w:szCs w:val="44"/>
          <w:highlight w:val="none"/>
        </w:rPr>
        <w:t>第三章  评标办法（</w:t>
      </w:r>
      <w:r>
        <w:rPr>
          <w:rFonts w:hint="eastAsia" w:ascii="宋体" w:hAnsi="宋体"/>
          <w:b/>
          <w:color w:val="auto"/>
          <w:kern w:val="44"/>
          <w:sz w:val="44"/>
          <w:szCs w:val="44"/>
          <w:highlight w:val="none"/>
          <w:lang w:eastAsia="zh-CN"/>
        </w:rPr>
        <w:t>综合评分</w:t>
      </w:r>
      <w:r>
        <w:rPr>
          <w:rFonts w:hint="eastAsia" w:ascii="宋体" w:hAnsi="宋体"/>
          <w:b/>
          <w:color w:val="auto"/>
          <w:kern w:val="44"/>
          <w:sz w:val="44"/>
          <w:szCs w:val="44"/>
          <w:highlight w:val="none"/>
        </w:rPr>
        <w:t>法）</w:t>
      </w:r>
    </w:p>
    <w:p w14:paraId="505E02DC">
      <w:pPr>
        <w:jc w:val="center"/>
        <w:rPr>
          <w:rFonts w:hint="eastAsia" w:ascii="宋体" w:hAnsi="宋体" w:cs="宋体"/>
          <w:b/>
          <w:bCs/>
          <w:color w:val="auto"/>
          <w:sz w:val="28"/>
          <w:szCs w:val="28"/>
          <w:highlight w:val="none"/>
        </w:rPr>
      </w:pPr>
      <w:bookmarkStart w:id="362" w:name="_Toc341721583"/>
      <w:bookmarkEnd w:id="362"/>
      <w:bookmarkStart w:id="363" w:name="_Toc272772605"/>
      <w:bookmarkEnd w:id="363"/>
      <w:bookmarkStart w:id="364" w:name="_Toc14911"/>
      <w:bookmarkEnd w:id="364"/>
      <w:bookmarkStart w:id="365" w:name="_Toc16778799"/>
      <w:bookmarkEnd w:id="365"/>
      <w:bookmarkStart w:id="366" w:name="_Toc608"/>
      <w:bookmarkEnd w:id="366"/>
      <w:bookmarkStart w:id="367" w:name="_Toc82772067"/>
    </w:p>
    <w:p w14:paraId="7B6DC66E">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评标办法前附表</w:t>
      </w:r>
      <w:bookmarkEnd w:id="367"/>
    </w:p>
    <w:p w14:paraId="6950745B">
      <w:pPr>
        <w:jc w:val="center"/>
        <w:rPr>
          <w:rFonts w:hint="eastAsia" w:ascii="宋体" w:hAnsi="宋体" w:cs="宋体"/>
          <w:b/>
          <w:bCs/>
          <w:color w:val="auto"/>
          <w:sz w:val="28"/>
          <w:szCs w:val="28"/>
          <w:highlight w:val="none"/>
        </w:rPr>
      </w:pPr>
    </w:p>
    <w:tbl>
      <w:tblPr>
        <w:tblStyle w:val="27"/>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46"/>
        <w:gridCol w:w="1022"/>
        <w:gridCol w:w="772"/>
        <w:gridCol w:w="662"/>
        <w:gridCol w:w="2018"/>
        <w:gridCol w:w="3530"/>
        <w:gridCol w:w="896"/>
      </w:tblGrid>
      <w:tr w14:paraId="47AA5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2770" w:type="dxa"/>
            <w:gridSpan w:val="4"/>
            <w:tcBorders>
              <w:top w:val="single" w:color="auto" w:sz="4" w:space="0"/>
              <w:left w:val="single" w:color="auto" w:sz="4" w:space="0"/>
              <w:bottom w:val="single" w:color="auto" w:sz="4" w:space="0"/>
              <w:right w:val="single" w:color="auto" w:sz="4" w:space="0"/>
            </w:tcBorders>
            <w:noWrap w:val="0"/>
            <w:vAlign w:val="center"/>
          </w:tcPr>
          <w:p w14:paraId="12738D19">
            <w:pPr>
              <w:pStyle w:val="32"/>
              <w:spacing w:line="3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7106" w:type="dxa"/>
            <w:gridSpan w:val="4"/>
            <w:tcBorders>
              <w:top w:val="single" w:color="auto" w:sz="4" w:space="0"/>
              <w:left w:val="single" w:color="auto" w:sz="4" w:space="0"/>
              <w:bottom w:val="single" w:color="auto" w:sz="4" w:space="0"/>
              <w:right w:val="single" w:color="auto" w:sz="4" w:space="0"/>
            </w:tcBorders>
            <w:noWrap w:val="0"/>
            <w:vAlign w:val="center"/>
          </w:tcPr>
          <w:p w14:paraId="1BB13CBD">
            <w:pPr>
              <w:pStyle w:val="32"/>
              <w:spacing w:line="3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评审因素与评审标准</w:t>
            </w:r>
          </w:p>
        </w:tc>
      </w:tr>
      <w:tr w14:paraId="35733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5" w:hRule="exact"/>
          <w:jc w:val="center"/>
        </w:trPr>
        <w:tc>
          <w:tcPr>
            <w:tcW w:w="976" w:type="dxa"/>
            <w:gridSpan w:val="2"/>
            <w:noWrap w:val="0"/>
            <w:vAlign w:val="center"/>
          </w:tcPr>
          <w:p w14:paraId="4DDFB654">
            <w:pPr>
              <w:pStyle w:val="32"/>
              <w:spacing w:line="380" w:lineRule="exact"/>
              <w:ind w:left="0" w:leftChars="0"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94" w:type="dxa"/>
            <w:gridSpan w:val="2"/>
            <w:noWrap w:val="0"/>
            <w:vAlign w:val="center"/>
          </w:tcPr>
          <w:p w14:paraId="151E32FE">
            <w:pPr>
              <w:pStyle w:val="32"/>
              <w:spacing w:line="380" w:lineRule="exact"/>
              <w:ind w:left="0" w:leftChars="0"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w:t>
            </w:r>
          </w:p>
        </w:tc>
        <w:tc>
          <w:tcPr>
            <w:tcW w:w="7106" w:type="dxa"/>
            <w:gridSpan w:val="4"/>
            <w:noWrap w:val="0"/>
            <w:vAlign w:val="top"/>
          </w:tcPr>
          <w:p w14:paraId="64CD6C7F">
            <w:pPr>
              <w:pStyle w:val="32"/>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综合评分相等时，评标委员会依次按照以下优先顺序推荐中标候选人： </w:t>
            </w:r>
          </w:p>
          <w:p w14:paraId="4B0D806A">
            <w:pPr>
              <w:pStyle w:val="32"/>
              <w:numPr>
                <w:ilvl w:val="0"/>
                <w:numId w:val="0"/>
              </w:numPr>
              <w:spacing w:line="360" w:lineRule="auto"/>
              <w:ind w:left="0" w:leftChars="0"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 xml:space="preserve">评标价低的投标人优先； </w:t>
            </w:r>
          </w:p>
          <w:p w14:paraId="23B8F320">
            <w:pPr>
              <w:pStyle w:val="32"/>
              <w:spacing w:line="360" w:lineRule="auto"/>
              <w:ind w:left="0" w:leftChars="0"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）商务和技术得分较高的投标人优先；</w:t>
            </w:r>
          </w:p>
          <w:p w14:paraId="625A74DF">
            <w:pPr>
              <w:pStyle w:val="32"/>
              <w:spacing w:line="360" w:lineRule="auto"/>
              <w:ind w:left="0" w:leftChars="0"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）招标人或招标人授权评标委员会现场随机确定。</w:t>
            </w:r>
          </w:p>
        </w:tc>
      </w:tr>
      <w:tr w14:paraId="52B37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976" w:type="dxa"/>
            <w:gridSpan w:val="2"/>
            <w:noWrap w:val="0"/>
            <w:vAlign w:val="center"/>
          </w:tcPr>
          <w:p w14:paraId="0BC907A7">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p>
          <w:p w14:paraId="018ABA5F">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p>
          <w:p w14:paraId="01048A3D">
            <w:pPr>
              <w:pStyle w:val="40"/>
              <w:spacing w:line="380" w:lineRule="exact"/>
              <w:jc w:val="center"/>
              <w:rPr>
                <w:rFonts w:hint="eastAsia" w:ascii="宋体" w:hAnsi="宋体" w:eastAsia="宋体" w:cs="宋体"/>
                <w:color w:val="auto"/>
                <w:sz w:val="24"/>
                <w:szCs w:val="24"/>
                <w:highlight w:val="none"/>
              </w:rPr>
            </w:pPr>
          </w:p>
        </w:tc>
        <w:tc>
          <w:tcPr>
            <w:tcW w:w="1794" w:type="dxa"/>
            <w:gridSpan w:val="2"/>
            <w:noWrap w:val="0"/>
            <w:vAlign w:val="center"/>
          </w:tcPr>
          <w:p w14:paraId="2F1E2079">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形式评审与响应性评审标准</w:t>
            </w:r>
          </w:p>
        </w:tc>
        <w:tc>
          <w:tcPr>
            <w:tcW w:w="7106" w:type="dxa"/>
            <w:gridSpan w:val="4"/>
            <w:noWrap w:val="0"/>
            <w:vAlign w:val="center"/>
          </w:tcPr>
          <w:p w14:paraId="73A29D99">
            <w:pPr>
              <w:pStyle w:val="32"/>
              <w:spacing w:line="360" w:lineRule="auto"/>
              <w:ind w:left="0" w:leftChars="0" w:firstLine="0" w:firstLine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第一个信封（商务及技术文件）评审标准：</w:t>
            </w:r>
          </w:p>
          <w:p w14:paraId="7ADE58E3">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（1）投标文件按照招标文件规定的格式、内容填写，字迹清晰可辨：</w:t>
            </w:r>
          </w:p>
          <w:p w14:paraId="62920A75">
            <w:pPr>
              <w:pStyle w:val="32"/>
              <w:spacing w:line="360" w:lineRule="auto"/>
              <w:ind w:left="0" w:leftChars="0" w:firstLine="0" w:firstLineChars="0"/>
              <w:rPr>
                <w:rFonts w:hint="eastAsia" w:ascii="宋体" w:hAnsi="宋体" w:eastAsia="宋体" w:cs="宋体"/>
                <w:color w:val="auto"/>
                <w:sz w:val="24"/>
                <w:szCs w:val="24"/>
                <w:highlight w:val="none"/>
              </w:rPr>
            </w:pPr>
            <w:bookmarkStart w:id="368" w:name="OLE_LINK21"/>
            <w:r>
              <w:rPr>
                <w:rFonts w:hint="eastAsia" w:ascii="宋体" w:hAnsi="宋体" w:eastAsia="宋体" w:cs="宋体"/>
                <w:color w:val="auto"/>
                <w:sz w:val="24"/>
                <w:szCs w:val="24"/>
                <w:highlight w:val="none"/>
              </w:rPr>
              <w:t>a.投标函按招标文件规定填报；</w:t>
            </w:r>
          </w:p>
          <w:p w14:paraId="6093A4FD">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b.投标函附录的所有数据均符合招标文件规定；</w:t>
            </w:r>
          </w:p>
          <w:p w14:paraId="4725CB90">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c.投标文件组成齐全完整，内容均按规定填写。</w:t>
            </w:r>
            <w:bookmarkEnd w:id="368"/>
          </w:p>
          <w:p w14:paraId="30630B29">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(2)投标文件上法定代表人或其委托代理人的签字、投标人的单位章盖章齐全，符合招标文件规定。</w:t>
            </w:r>
          </w:p>
          <w:p w14:paraId="6F3C8783">
            <w:pPr>
              <w:pStyle w:val="32"/>
              <w:spacing w:line="360" w:lineRule="auto"/>
              <w:ind w:left="0" w:lef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（3）投标人按照招标文件的规定提供了投标保证金</w:t>
            </w:r>
            <w:r>
              <w:rPr>
                <w:rFonts w:hint="eastAsia" w:ascii="宋体" w:hAnsi="宋体" w:eastAsia="宋体" w:cs="宋体"/>
                <w:color w:val="auto"/>
                <w:sz w:val="24"/>
                <w:szCs w:val="24"/>
                <w:highlight w:val="none"/>
                <w:lang w:eastAsia="zh-CN"/>
              </w:rPr>
              <w:t>。</w:t>
            </w:r>
          </w:p>
          <w:p w14:paraId="65AD6AAE">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（4）投标人法定代表人授权委托代理人签署投标文件的，须提交授权委托书，且授权人和被授权人均在授权委托书上签名。</w:t>
            </w:r>
          </w:p>
          <w:p w14:paraId="3942A5B3">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（5）投标人法定代表人亲自签署投标文件的，提供了法定代表人身份证明。 </w:t>
            </w:r>
          </w:p>
          <w:p w14:paraId="790FAD1A">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（6）同一投标人未提交两个以上不同的投标文件。 </w:t>
            </w:r>
          </w:p>
          <w:p w14:paraId="3205F4C4">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（7）投标文件中未出现有关投标报价的内容。 </w:t>
            </w:r>
          </w:p>
          <w:p w14:paraId="5DED24BF">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（8）投标文件载明的招标项目完成期限未超过招标文件规定的时限。 </w:t>
            </w:r>
          </w:p>
          <w:p w14:paraId="0E01562A">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（9）投标文件对招标文件的实质性要求和条件作出响应。 </w:t>
            </w:r>
          </w:p>
          <w:p w14:paraId="0AA7C81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）投标人在充分理解本项目建设内容、建设目标前提下编制施工组织设计</w:t>
            </w:r>
            <w:r>
              <w:rPr>
                <w:rFonts w:hint="eastAsia" w:ascii="宋体" w:hAnsi="宋体" w:eastAsia="宋体" w:cs="宋体"/>
                <w:color w:val="auto"/>
                <w:sz w:val="24"/>
                <w:szCs w:val="24"/>
                <w:highlight w:val="none"/>
                <w:lang w:eastAsia="zh-CN"/>
              </w:rPr>
              <w:t>（文字宜</w:t>
            </w:r>
            <w:r>
              <w:rPr>
                <w:rFonts w:hint="eastAsia" w:ascii="宋体" w:hAnsi="宋体" w:cs="宋体"/>
                <w:color w:val="auto"/>
                <w:sz w:val="24"/>
                <w:szCs w:val="24"/>
                <w:highlight w:val="none"/>
                <w:lang w:eastAsia="zh-CN"/>
              </w:rPr>
              <w:t>精练</w:t>
            </w:r>
            <w:r>
              <w:rPr>
                <w:rFonts w:hint="eastAsia" w:ascii="宋体" w:hAnsi="宋体" w:eastAsia="宋体" w:cs="宋体"/>
                <w:color w:val="auto"/>
                <w:sz w:val="24"/>
                <w:szCs w:val="24"/>
                <w:highlight w:val="none"/>
                <w:lang w:eastAsia="zh-CN"/>
              </w:rPr>
              <w:t>、内容具有针对性）</w:t>
            </w:r>
            <w:r>
              <w:rPr>
                <w:rFonts w:hint="eastAsia" w:ascii="宋体" w:hAnsi="宋体" w:eastAsia="宋体" w:cs="宋体"/>
                <w:color w:val="auto"/>
                <w:sz w:val="24"/>
                <w:szCs w:val="24"/>
                <w:highlight w:val="none"/>
              </w:rPr>
              <w:t>，主要包括：</w:t>
            </w:r>
          </w:p>
          <w:p w14:paraId="0D10DA7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1.总体施工组织布置及规划 </w:t>
            </w:r>
          </w:p>
          <w:p w14:paraId="2DC2DCA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2.主要工程项目的施工方案、方法与技术措施 </w:t>
            </w:r>
          </w:p>
          <w:p w14:paraId="28FBFFE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3.工期保证体系及保证措施 </w:t>
            </w:r>
          </w:p>
          <w:p w14:paraId="01B03A1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4.工程质量管理体系及保证措施 </w:t>
            </w:r>
          </w:p>
          <w:p w14:paraId="0241747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5.安全生产管理体系及保证措施 </w:t>
            </w:r>
          </w:p>
          <w:p w14:paraId="1430FAD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6.环境保护、水土保持保证体系及保证措施 </w:t>
            </w:r>
          </w:p>
          <w:p w14:paraId="1AA110D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7.文明施工、文物保护保证体系及保证措施</w:t>
            </w:r>
          </w:p>
          <w:p w14:paraId="33465FFF">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sz w:val="24"/>
                <w:szCs w:val="24"/>
                <w:highlight w:val="none"/>
              </w:rPr>
              <w:t>项目风险预测与防范，事故应急预案</w:t>
            </w:r>
          </w:p>
          <w:p w14:paraId="3196AF67">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.其他应说明的事项</w:t>
            </w:r>
          </w:p>
          <w:p w14:paraId="460323EF">
            <w:pPr>
              <w:pStyle w:val="32"/>
              <w:spacing w:line="360" w:lineRule="auto"/>
              <w:ind w:left="0" w:leftChars="0" w:firstLine="0" w:firstLine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第二个信封（报价文件）评审标准：</w:t>
            </w:r>
          </w:p>
          <w:p w14:paraId="67E1BDCC">
            <w:pPr>
              <w:pStyle w:val="32"/>
              <w:numPr>
                <w:ilvl w:val="0"/>
                <w:numId w:val="3"/>
              </w:numPr>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投标文件按照招标文件规定的格式、内容填写，字迹清晰可辨：</w:t>
            </w:r>
            <w:bookmarkStart w:id="369" w:name="OLE_LINK17"/>
          </w:p>
          <w:p w14:paraId="3191E7EB">
            <w:pPr>
              <w:pStyle w:val="32"/>
              <w:numPr>
                <w:ilvl w:val="0"/>
                <w:numId w:val="4"/>
              </w:numPr>
              <w:spacing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投标函按招标文件规定填报了项目名称、投标价（包括大写金额和小写金额）；</w:t>
            </w:r>
          </w:p>
          <w:p w14:paraId="52174434">
            <w:pPr>
              <w:pStyle w:val="32"/>
              <w:numPr>
                <w:ilvl w:val="0"/>
                <w:numId w:val="4"/>
              </w:numPr>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已标价工程量清单说明文字与招标文件规定一致，未进行实质性修改和删减；</w:t>
            </w:r>
          </w:p>
          <w:p w14:paraId="2200714D">
            <w:pPr>
              <w:pStyle w:val="32"/>
              <w:numPr>
                <w:ilvl w:val="0"/>
                <w:numId w:val="0"/>
              </w:numPr>
              <w:spacing w:line="360" w:lineRule="auto"/>
              <w:ind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rPr>
              <w:t>.投标文件组成齐全完整，内容均按规定填写。</w:t>
            </w:r>
          </w:p>
          <w:bookmarkEnd w:id="369"/>
          <w:p w14:paraId="530C2A95">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（2）投标文件上法定代表人或其委托代理人的签字、投标人的单位章盖章齐全，符合招标文件规定。</w:t>
            </w:r>
          </w:p>
          <w:p w14:paraId="7DD48820">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（3）投标报价未超过招标文件设定的最高投标限价。</w:t>
            </w:r>
          </w:p>
          <w:p w14:paraId="3D3D368E">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（4）投标报价的大写金额能够确定具体数值。</w:t>
            </w:r>
          </w:p>
          <w:p w14:paraId="09808C38">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（5）同一投标人未提交两个以上不同的投标报价。</w:t>
            </w:r>
          </w:p>
        </w:tc>
      </w:tr>
      <w:tr w14:paraId="7D16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8" w:hRule="atLeast"/>
          <w:jc w:val="center"/>
        </w:trPr>
        <w:tc>
          <w:tcPr>
            <w:tcW w:w="976" w:type="dxa"/>
            <w:gridSpan w:val="2"/>
            <w:noWrap w:val="0"/>
            <w:vAlign w:val="center"/>
          </w:tcPr>
          <w:p w14:paraId="2C1D1BF2">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p>
        </w:tc>
        <w:tc>
          <w:tcPr>
            <w:tcW w:w="1794" w:type="dxa"/>
            <w:gridSpan w:val="2"/>
            <w:noWrap w:val="0"/>
            <w:vAlign w:val="center"/>
          </w:tcPr>
          <w:p w14:paraId="6AA6F98C">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资格评审</w:t>
            </w:r>
          </w:p>
          <w:p w14:paraId="4C13AF5C">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w:t>
            </w:r>
          </w:p>
        </w:tc>
        <w:tc>
          <w:tcPr>
            <w:tcW w:w="7106" w:type="dxa"/>
            <w:gridSpan w:val="4"/>
            <w:noWrap w:val="0"/>
            <w:vAlign w:val="center"/>
          </w:tcPr>
          <w:p w14:paraId="517FD9E2">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（1）投标人具备有效的营业执照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资质证书、安全生产许可证。</w:t>
            </w:r>
          </w:p>
          <w:p w14:paraId="7F6E6E09">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（2）投标人的资质等级符合招标文件规定。</w:t>
            </w:r>
          </w:p>
          <w:p w14:paraId="49DD069F">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（3）投标人的财务状况符合招标文件规定。</w:t>
            </w:r>
          </w:p>
          <w:p w14:paraId="6BEB89E0">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（4）投标人的类似项目业绩符合招标文件规定。</w:t>
            </w:r>
          </w:p>
          <w:p w14:paraId="008E0455">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）投标人的信誉符合招标文件规定。</w:t>
            </w:r>
          </w:p>
          <w:p w14:paraId="65258936">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）投标人的项目经理资格、在岗情况符合招标文件规定。</w:t>
            </w:r>
          </w:p>
          <w:p w14:paraId="2FF9E150">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）投标人不存在第二章“投标人须知”第1.4.3项或第1.4.4项规定的任何一种情形。</w:t>
            </w:r>
          </w:p>
          <w:p w14:paraId="28606084">
            <w:pPr>
              <w:pStyle w:val="32"/>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）投标人的其他要求符合招标文件规定。</w:t>
            </w:r>
          </w:p>
        </w:tc>
      </w:tr>
      <w:tr w14:paraId="08073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76" w:type="dxa"/>
            <w:gridSpan w:val="2"/>
            <w:noWrap w:val="0"/>
            <w:vAlign w:val="center"/>
          </w:tcPr>
          <w:p w14:paraId="4FD4FADA">
            <w:pPr>
              <w:autoSpaceDE w:val="0"/>
              <w:autoSpaceDN w:val="0"/>
              <w:adjustRightInd w:val="0"/>
              <w:spacing w:line="340" w:lineRule="exact"/>
              <w:jc w:val="center"/>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val="en-US" w:eastAsia="zh-CN"/>
              </w:rPr>
              <w:t>条款</w:t>
            </w:r>
            <w:r>
              <w:rPr>
                <w:rFonts w:hint="eastAsia" w:ascii="宋体" w:hAnsi="宋体" w:eastAsia="宋体" w:cs="宋体"/>
                <w:b/>
                <w:color w:val="auto"/>
                <w:kern w:val="0"/>
                <w:sz w:val="24"/>
                <w:szCs w:val="24"/>
                <w:highlight w:val="none"/>
                <w:lang w:eastAsia="zh-CN"/>
              </w:rPr>
              <w:t>号</w:t>
            </w:r>
          </w:p>
        </w:tc>
        <w:tc>
          <w:tcPr>
            <w:tcW w:w="1794" w:type="dxa"/>
            <w:gridSpan w:val="2"/>
            <w:noWrap w:val="0"/>
            <w:vAlign w:val="center"/>
          </w:tcPr>
          <w:p w14:paraId="6C263871">
            <w:pPr>
              <w:autoSpaceDE w:val="0"/>
              <w:autoSpaceDN w:val="0"/>
              <w:adjustRightInd w:val="0"/>
              <w:spacing w:line="340" w:lineRule="exact"/>
              <w:jc w:val="center"/>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条款内容</w:t>
            </w:r>
          </w:p>
        </w:tc>
        <w:tc>
          <w:tcPr>
            <w:tcW w:w="7106" w:type="dxa"/>
            <w:gridSpan w:val="4"/>
            <w:noWrap w:val="0"/>
            <w:vAlign w:val="center"/>
          </w:tcPr>
          <w:p w14:paraId="6E02801C">
            <w:pPr>
              <w:autoSpaceDE w:val="0"/>
              <w:autoSpaceDN w:val="0"/>
              <w:adjustRightInd w:val="0"/>
              <w:spacing w:line="340" w:lineRule="exact"/>
              <w:jc w:val="center"/>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编列内容</w:t>
            </w:r>
          </w:p>
        </w:tc>
      </w:tr>
      <w:tr w14:paraId="4741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gridSpan w:val="2"/>
            <w:noWrap w:val="0"/>
            <w:vAlign w:val="center"/>
          </w:tcPr>
          <w:p w14:paraId="389A9A4F">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1794" w:type="dxa"/>
            <w:gridSpan w:val="2"/>
            <w:noWrap w:val="0"/>
            <w:vAlign w:val="center"/>
          </w:tcPr>
          <w:p w14:paraId="46B6CD64">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分值构成</w:t>
            </w:r>
          </w:p>
          <w:p w14:paraId="5BEB40C9">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（总分100分）</w:t>
            </w:r>
          </w:p>
        </w:tc>
        <w:tc>
          <w:tcPr>
            <w:tcW w:w="7106" w:type="dxa"/>
            <w:gridSpan w:val="4"/>
            <w:noWrap w:val="0"/>
            <w:vAlign w:val="center"/>
          </w:tcPr>
          <w:p w14:paraId="0BDBA08C">
            <w:pPr>
              <w:spacing w:line="4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第一个信封（商务及技术文件）评分分值构成： </w:t>
            </w:r>
          </w:p>
          <w:p w14:paraId="0662452C">
            <w:pPr>
              <w:spacing w:line="4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施工组织设计：20分</w:t>
            </w:r>
          </w:p>
          <w:p w14:paraId="2DB7E0FE">
            <w:pPr>
              <w:spacing w:line="4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主要人员：10分</w:t>
            </w:r>
          </w:p>
          <w:p w14:paraId="0C733901">
            <w:pPr>
              <w:spacing w:line="4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其他因素：20分</w:t>
            </w:r>
          </w:p>
          <w:p w14:paraId="6685E9FD">
            <w:pPr>
              <w:spacing w:line="4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第二个信封（报价文件）评分分值构成：</w:t>
            </w:r>
          </w:p>
          <w:p w14:paraId="2E7980C3">
            <w:pPr>
              <w:spacing w:line="4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评标价：50分</w:t>
            </w:r>
          </w:p>
        </w:tc>
      </w:tr>
      <w:tr w14:paraId="041C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9" w:hRule="atLeast"/>
          <w:jc w:val="center"/>
        </w:trPr>
        <w:tc>
          <w:tcPr>
            <w:tcW w:w="976" w:type="dxa"/>
            <w:gridSpan w:val="2"/>
            <w:noWrap w:val="0"/>
            <w:vAlign w:val="center"/>
          </w:tcPr>
          <w:p w14:paraId="59EC599B">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p>
        </w:tc>
        <w:tc>
          <w:tcPr>
            <w:tcW w:w="1794" w:type="dxa"/>
            <w:gridSpan w:val="2"/>
            <w:noWrap w:val="0"/>
            <w:vAlign w:val="center"/>
          </w:tcPr>
          <w:p w14:paraId="3CEA875B">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评标基准价</w:t>
            </w:r>
          </w:p>
          <w:p w14:paraId="6019BFF3">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计算方法</w:t>
            </w:r>
          </w:p>
        </w:tc>
        <w:tc>
          <w:tcPr>
            <w:tcW w:w="7106" w:type="dxa"/>
            <w:gridSpan w:val="4"/>
            <w:noWrap w:val="0"/>
            <w:vAlign w:val="center"/>
          </w:tcPr>
          <w:p w14:paraId="3F6F82CB">
            <w:pPr>
              <w:spacing w:line="400" w:lineRule="exact"/>
              <w:jc w:val="left"/>
              <w:rPr>
                <w:rFonts w:hint="eastAsia" w:ascii="宋体" w:hAnsi="宋体" w:eastAsia="宋体" w:cs="宋体"/>
                <w:kern w:val="0"/>
                <w:sz w:val="24"/>
                <w:szCs w:val="24"/>
                <w:highlight w:val="none"/>
              </w:rPr>
            </w:pPr>
            <w:r>
              <w:rPr>
                <w:rFonts w:hint="eastAsia" w:ascii="宋体" w:hAnsi="宋体" w:eastAsia="宋体" w:cs="宋体"/>
                <w:color w:val="auto"/>
                <w:kern w:val="0"/>
                <w:sz w:val="24"/>
                <w:szCs w:val="24"/>
                <w:highlight w:val="none"/>
              </w:rPr>
              <w:t>评</w:t>
            </w:r>
            <w:r>
              <w:rPr>
                <w:rFonts w:hint="eastAsia" w:ascii="宋体" w:hAnsi="宋体" w:eastAsia="宋体" w:cs="宋体"/>
                <w:kern w:val="0"/>
                <w:sz w:val="24"/>
                <w:szCs w:val="24"/>
                <w:highlight w:val="none"/>
              </w:rPr>
              <w:t>评标基准价的计算：</w:t>
            </w:r>
          </w:p>
          <w:p w14:paraId="20BD3805">
            <w:pPr>
              <w:spacing w:line="4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（1）评标价的确定：</w:t>
            </w:r>
          </w:p>
          <w:p w14:paraId="0A09F55D">
            <w:pPr>
              <w:spacing w:line="400" w:lineRule="exact"/>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评标价＝投标函文字报价</w:t>
            </w:r>
          </w:p>
          <w:p w14:paraId="643CED81">
            <w:pPr>
              <w:spacing w:line="4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（2）评标价平均值的计算：</w:t>
            </w:r>
          </w:p>
          <w:p w14:paraId="676A448E">
            <w:pPr>
              <w:spacing w:line="400" w:lineRule="exact"/>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除按第二章“投标人须知”第 5.2.2 项规定开标现场被宣布为不进入评标基准价计算的投标报价之外，所有投标人的评标价去掉一个最高值和一个最低值后的算术平均值即为评标价平均值（如果参与评标价平均值计算的有效投标人少于 5 家时（不含5家），则计算评标价平均值时不去掉最高值和最低值）。</w:t>
            </w:r>
          </w:p>
          <w:p w14:paraId="2083B354">
            <w:pPr>
              <w:spacing w:line="340" w:lineRule="exact"/>
              <w:ind w:firstLine="240" w:firstLineChars="100"/>
              <w:jc w:val="left"/>
              <w:rPr>
                <w:rFonts w:hint="eastAsia" w:ascii="宋体" w:hAnsi="宋体" w:eastAsia="宋体" w:cs="宋体"/>
                <w:sz w:val="24"/>
                <w:szCs w:val="24"/>
                <w:highlight w:val="none"/>
              </w:rPr>
            </w:pPr>
            <w:r>
              <w:rPr>
                <w:rFonts w:hint="eastAsia" w:ascii="宋体" w:hAnsi="宋体" w:eastAsia="宋体" w:cs="宋体"/>
                <w:kern w:val="0"/>
                <w:sz w:val="24"/>
                <w:szCs w:val="24"/>
                <w:highlight w:val="none"/>
              </w:rPr>
              <w:t>（3）评标基准价的确定：将评标价平均值直接作为评标基准价。</w:t>
            </w:r>
          </w:p>
          <w:p w14:paraId="4CDF8510">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kern w:val="0"/>
                <w:sz w:val="24"/>
                <w:szCs w:val="24"/>
                <w:highlight w:val="none"/>
              </w:rPr>
              <w:t>在评标过程中</w:t>
            </w:r>
            <w:r>
              <w:rPr>
                <w:rFonts w:hint="eastAsia" w:ascii="宋体" w:hAnsi="宋体" w:eastAsia="宋体" w:cs="宋体"/>
                <w:color w:val="auto"/>
                <w:kern w:val="0"/>
                <w:sz w:val="24"/>
                <w:szCs w:val="24"/>
                <w:highlight w:val="none"/>
              </w:rPr>
              <w:t>，评标委员会应对招标人计算的评标基准价进行复核，存在计算错误的</w:t>
            </w:r>
            <w:r>
              <w:rPr>
                <w:rFonts w:hint="eastAsia" w:ascii="宋体" w:hAnsi="宋体" w:eastAsia="宋体" w:cs="宋体"/>
                <w:kern w:val="0"/>
                <w:sz w:val="24"/>
                <w:szCs w:val="24"/>
                <w:highlight w:val="none"/>
              </w:rPr>
              <w:t>应予以修正并在评标报告中作出说明。除此之外，评标基准价在整个评标期间保持不变，不随任何因素发生变化。</w:t>
            </w:r>
          </w:p>
        </w:tc>
      </w:tr>
      <w:tr w14:paraId="2794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976" w:type="dxa"/>
            <w:gridSpan w:val="2"/>
            <w:noWrap w:val="0"/>
            <w:vAlign w:val="center"/>
          </w:tcPr>
          <w:p w14:paraId="4796BD89">
            <w:pPr>
              <w:pStyle w:val="4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p>
        </w:tc>
        <w:tc>
          <w:tcPr>
            <w:tcW w:w="1794" w:type="dxa"/>
            <w:gridSpan w:val="2"/>
            <w:noWrap w:val="0"/>
            <w:vAlign w:val="center"/>
          </w:tcPr>
          <w:p w14:paraId="1684A99A">
            <w:pPr>
              <w:pStyle w:val="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评标价的偏差率计算公式</w:t>
            </w:r>
          </w:p>
        </w:tc>
        <w:tc>
          <w:tcPr>
            <w:tcW w:w="7106" w:type="dxa"/>
            <w:gridSpan w:val="4"/>
            <w:noWrap w:val="0"/>
            <w:vAlign w:val="center"/>
          </w:tcPr>
          <w:p w14:paraId="15FBC96C">
            <w:pPr>
              <w:spacing w:line="4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偏差率=100%×（投标人评标价－评标基准价）/评标基准价</w:t>
            </w:r>
          </w:p>
          <w:p w14:paraId="7722A56F">
            <w:pPr>
              <w:spacing w:line="40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偏差率保留</w:t>
            </w:r>
            <w:r>
              <w:rPr>
                <w:rFonts w:hint="eastAsia" w:ascii="宋体" w:hAnsi="宋体" w:eastAsia="宋体" w:cs="宋体"/>
                <w:color w:val="auto"/>
                <w:kern w:val="0"/>
                <w:sz w:val="24"/>
                <w:szCs w:val="24"/>
                <w:highlight w:val="none"/>
                <w:u w:val="single"/>
              </w:rPr>
              <w:t>2</w:t>
            </w:r>
            <w:r>
              <w:rPr>
                <w:rFonts w:hint="eastAsia" w:ascii="宋体" w:hAnsi="宋体" w:eastAsia="宋体" w:cs="宋体"/>
                <w:color w:val="auto"/>
                <w:kern w:val="0"/>
                <w:sz w:val="24"/>
                <w:szCs w:val="24"/>
                <w:highlight w:val="none"/>
              </w:rPr>
              <w:t>位小数</w:t>
            </w:r>
          </w:p>
        </w:tc>
      </w:tr>
      <w:tr w14:paraId="58F14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76" w:type="dxa"/>
            <w:gridSpan w:val="8"/>
            <w:noWrap w:val="0"/>
            <w:vAlign w:val="center"/>
          </w:tcPr>
          <w:p w14:paraId="5E661098">
            <w:pPr>
              <w:spacing w:line="400" w:lineRule="exact"/>
              <w:jc w:val="center"/>
              <w:rPr>
                <w:rFonts w:hint="eastAsia" w:ascii="宋体" w:hAnsi="宋体" w:eastAsia="宋体" w:cs="宋体"/>
                <w:color w:val="auto"/>
                <w:kern w:val="0"/>
                <w:sz w:val="24"/>
                <w:szCs w:val="24"/>
                <w:highlight w:val="none"/>
              </w:rPr>
            </w:pPr>
            <w:r>
              <w:rPr>
                <w:rFonts w:hint="eastAsia" w:ascii="宋体" w:hAnsi="宋体" w:eastAsia="宋体" w:cs="宋体"/>
                <w:b/>
                <w:kern w:val="0"/>
                <w:sz w:val="24"/>
                <w:szCs w:val="24"/>
                <w:highlight w:val="none"/>
              </w:rPr>
              <w:t>评分因素与权重分值</w:t>
            </w:r>
          </w:p>
        </w:tc>
      </w:tr>
      <w:tr w14:paraId="3EF0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noWrap w:val="0"/>
            <w:vAlign w:val="center"/>
          </w:tcPr>
          <w:p w14:paraId="0BBADA9E">
            <w:pPr>
              <w:pStyle w:val="40"/>
              <w:spacing w:line="380" w:lineRule="exact"/>
              <w:jc w:val="center"/>
              <w:rPr>
                <w:rFonts w:hint="eastAsia" w:ascii="宋体" w:hAnsi="宋体" w:eastAsia="宋体" w:cs="宋体"/>
                <w:b/>
                <w:kern w:val="0"/>
                <w:sz w:val="24"/>
                <w:szCs w:val="24"/>
                <w:highlight w:val="none"/>
              </w:rPr>
            </w:pPr>
            <w:r>
              <w:rPr>
                <w:rFonts w:hint="eastAsia" w:ascii="宋体" w:hAnsi="宋体" w:eastAsia="宋体" w:cs="宋体"/>
                <w:b/>
                <w:bCs/>
                <w:sz w:val="24"/>
                <w:szCs w:val="24"/>
                <w:highlight w:val="none"/>
              </w:rPr>
              <w:t>条款号</w:t>
            </w:r>
          </w:p>
        </w:tc>
        <w:tc>
          <w:tcPr>
            <w:tcW w:w="1168" w:type="dxa"/>
            <w:gridSpan w:val="2"/>
            <w:noWrap w:val="0"/>
            <w:vAlign w:val="center"/>
          </w:tcPr>
          <w:p w14:paraId="137A892B">
            <w:pPr>
              <w:pStyle w:val="40"/>
              <w:spacing w:line="380" w:lineRule="exact"/>
              <w:jc w:val="center"/>
              <w:rPr>
                <w:rFonts w:hint="eastAsia" w:ascii="宋体" w:hAnsi="宋体" w:eastAsia="宋体" w:cs="宋体"/>
                <w:b/>
                <w:kern w:val="0"/>
                <w:sz w:val="24"/>
                <w:szCs w:val="24"/>
                <w:highlight w:val="none"/>
              </w:rPr>
            </w:pPr>
            <w:r>
              <w:rPr>
                <w:rFonts w:hint="eastAsia" w:ascii="宋体" w:hAnsi="宋体" w:eastAsia="宋体" w:cs="宋体"/>
                <w:b/>
                <w:bCs/>
                <w:sz w:val="24"/>
                <w:szCs w:val="24"/>
                <w:highlight w:val="none"/>
              </w:rPr>
              <w:t>评分因素</w:t>
            </w:r>
          </w:p>
        </w:tc>
        <w:tc>
          <w:tcPr>
            <w:tcW w:w="1434" w:type="dxa"/>
            <w:gridSpan w:val="2"/>
            <w:noWrap w:val="0"/>
            <w:vAlign w:val="center"/>
          </w:tcPr>
          <w:p w14:paraId="07C496A0">
            <w:pPr>
              <w:spacing w:line="400" w:lineRule="exact"/>
              <w:jc w:val="center"/>
              <w:rPr>
                <w:rFonts w:hint="eastAsia" w:ascii="宋体" w:hAnsi="宋体" w:eastAsia="宋体" w:cs="宋体"/>
                <w:b/>
                <w:kern w:val="0"/>
                <w:sz w:val="24"/>
                <w:szCs w:val="24"/>
                <w:highlight w:val="none"/>
              </w:rPr>
            </w:pPr>
            <w:r>
              <w:rPr>
                <w:rFonts w:hint="eastAsia" w:ascii="宋体" w:hAnsi="宋体" w:eastAsia="宋体" w:cs="宋体"/>
                <w:b/>
                <w:bCs/>
                <w:kern w:val="0"/>
                <w:sz w:val="24"/>
                <w:szCs w:val="24"/>
                <w:highlight w:val="none"/>
              </w:rPr>
              <w:t>评分因素权重分值</w:t>
            </w:r>
          </w:p>
        </w:tc>
        <w:tc>
          <w:tcPr>
            <w:tcW w:w="5548" w:type="dxa"/>
            <w:gridSpan w:val="2"/>
            <w:noWrap w:val="0"/>
            <w:vAlign w:val="center"/>
          </w:tcPr>
          <w:p w14:paraId="5CE3FBCF">
            <w:pPr>
              <w:spacing w:line="400" w:lineRule="exact"/>
              <w:jc w:val="center"/>
              <w:rPr>
                <w:rFonts w:hint="eastAsia" w:ascii="宋体" w:hAnsi="宋体" w:eastAsia="宋体" w:cs="宋体"/>
                <w:b/>
                <w:kern w:val="0"/>
                <w:sz w:val="24"/>
                <w:szCs w:val="24"/>
                <w:highlight w:val="none"/>
              </w:rPr>
            </w:pPr>
            <w:r>
              <w:rPr>
                <w:rFonts w:hint="eastAsia" w:ascii="宋体" w:hAnsi="宋体" w:eastAsia="宋体" w:cs="宋体"/>
                <w:b/>
                <w:bCs/>
                <w:kern w:val="0"/>
                <w:sz w:val="24"/>
                <w:szCs w:val="24"/>
                <w:highlight w:val="none"/>
              </w:rPr>
              <w:t>各评分因素细分项</w:t>
            </w:r>
          </w:p>
        </w:tc>
        <w:tc>
          <w:tcPr>
            <w:tcW w:w="896" w:type="dxa"/>
            <w:noWrap w:val="0"/>
            <w:vAlign w:val="center"/>
          </w:tcPr>
          <w:p w14:paraId="5CAED9CD">
            <w:pPr>
              <w:spacing w:line="400" w:lineRule="exact"/>
              <w:jc w:val="center"/>
              <w:rPr>
                <w:rFonts w:hint="eastAsia" w:ascii="宋体" w:hAnsi="宋体" w:eastAsia="宋体" w:cs="宋体"/>
                <w:b/>
                <w:kern w:val="0"/>
                <w:sz w:val="24"/>
                <w:szCs w:val="24"/>
                <w:highlight w:val="none"/>
                <w:lang w:eastAsia="zh-CN"/>
              </w:rPr>
            </w:pPr>
            <w:r>
              <w:rPr>
                <w:rFonts w:hint="eastAsia" w:ascii="宋体" w:hAnsi="宋体" w:eastAsia="宋体" w:cs="宋体"/>
                <w:b/>
                <w:kern w:val="0"/>
                <w:sz w:val="24"/>
                <w:szCs w:val="24"/>
                <w:highlight w:val="none"/>
                <w:lang w:eastAsia="zh-CN"/>
              </w:rPr>
              <w:t>分值</w:t>
            </w:r>
          </w:p>
        </w:tc>
      </w:tr>
      <w:tr w14:paraId="20846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restart"/>
            <w:noWrap w:val="0"/>
            <w:vAlign w:val="center"/>
          </w:tcPr>
          <w:p w14:paraId="77760ECC">
            <w:pPr>
              <w:pStyle w:val="40"/>
              <w:spacing w:line="380" w:lineRule="exact"/>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2.2.4（1）</w:t>
            </w:r>
          </w:p>
        </w:tc>
        <w:tc>
          <w:tcPr>
            <w:tcW w:w="1168" w:type="dxa"/>
            <w:gridSpan w:val="2"/>
            <w:vMerge w:val="restart"/>
            <w:noWrap w:val="0"/>
            <w:vAlign w:val="center"/>
          </w:tcPr>
          <w:p w14:paraId="0AA4A559">
            <w:pPr>
              <w:pStyle w:val="40"/>
              <w:spacing w:line="380" w:lineRule="exact"/>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施工组织设计</w:t>
            </w:r>
          </w:p>
        </w:tc>
        <w:tc>
          <w:tcPr>
            <w:tcW w:w="1434" w:type="dxa"/>
            <w:gridSpan w:val="2"/>
            <w:vMerge w:val="restart"/>
            <w:noWrap w:val="0"/>
            <w:vAlign w:val="center"/>
          </w:tcPr>
          <w:p w14:paraId="06BCD65F">
            <w:pPr>
              <w:spacing w:line="400" w:lineRule="exact"/>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20分</w:t>
            </w:r>
          </w:p>
        </w:tc>
        <w:tc>
          <w:tcPr>
            <w:tcW w:w="2018" w:type="dxa"/>
            <w:noWrap w:val="0"/>
            <w:vAlign w:val="center"/>
          </w:tcPr>
          <w:p w14:paraId="3A0C6F6E">
            <w:pPr>
              <w:pStyle w:val="37"/>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总体施工组织布置及规划</w:t>
            </w:r>
          </w:p>
        </w:tc>
        <w:tc>
          <w:tcPr>
            <w:tcW w:w="3530" w:type="dxa"/>
            <w:noWrap w:val="0"/>
            <w:vAlign w:val="center"/>
          </w:tcPr>
          <w:p w14:paraId="123A096B">
            <w:pPr>
              <w:pStyle w:val="37"/>
              <w:ind w:left="21" w:leftChars="10" w:right="57" w:rightChars="0"/>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根据编制内容的科学性、合理性、可行性进行打分。不提供不得分。</w:t>
            </w:r>
          </w:p>
        </w:tc>
        <w:tc>
          <w:tcPr>
            <w:tcW w:w="896" w:type="dxa"/>
            <w:noWrap w:val="0"/>
            <w:vAlign w:val="center"/>
          </w:tcPr>
          <w:p w14:paraId="5C2D6B34">
            <w:pPr>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0-2分</w:t>
            </w:r>
          </w:p>
        </w:tc>
      </w:tr>
      <w:tr w14:paraId="538F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155DCF9E">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35760CA3">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6203B7CE">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29DC4F6A">
            <w:pPr>
              <w:pStyle w:val="37"/>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主要工程项目的施工方案、方法与技术措施</w:t>
            </w:r>
          </w:p>
        </w:tc>
        <w:tc>
          <w:tcPr>
            <w:tcW w:w="3530" w:type="dxa"/>
            <w:noWrap w:val="0"/>
            <w:vAlign w:val="center"/>
          </w:tcPr>
          <w:p w14:paraId="3E85F00E">
            <w:pPr>
              <w:pStyle w:val="37"/>
              <w:spacing w:before="132"/>
              <w:ind w:right="57" w:rightChars="0"/>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根据编制内容的科学性、合理性、可行性进行打分。不提供不得分。</w:t>
            </w:r>
          </w:p>
        </w:tc>
        <w:tc>
          <w:tcPr>
            <w:tcW w:w="896" w:type="dxa"/>
            <w:noWrap w:val="0"/>
            <w:vAlign w:val="center"/>
          </w:tcPr>
          <w:p w14:paraId="11523B6D">
            <w:pPr>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0-3分</w:t>
            </w:r>
          </w:p>
        </w:tc>
      </w:tr>
      <w:tr w14:paraId="32FCD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12E36A9F">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618C81A0">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1A11B585">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50E9FC71">
            <w:pPr>
              <w:pStyle w:val="37"/>
              <w:ind w:left="21" w:leftChars="10" w:right="57"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工期保证体系及保证措施</w:t>
            </w:r>
          </w:p>
        </w:tc>
        <w:tc>
          <w:tcPr>
            <w:tcW w:w="3530" w:type="dxa"/>
            <w:noWrap w:val="0"/>
            <w:vAlign w:val="center"/>
          </w:tcPr>
          <w:p w14:paraId="14132A9A">
            <w:pPr>
              <w:pStyle w:val="37"/>
              <w:spacing w:before="132"/>
              <w:ind w:left="21" w:leftChars="10" w:right="57" w:rightChars="0"/>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根据编制内容的科学性、合理性、可行性进行打分。不提供不得分。</w:t>
            </w:r>
          </w:p>
        </w:tc>
        <w:tc>
          <w:tcPr>
            <w:tcW w:w="896" w:type="dxa"/>
            <w:noWrap w:val="0"/>
            <w:vAlign w:val="center"/>
          </w:tcPr>
          <w:p w14:paraId="685821A6">
            <w:pPr>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0-3分</w:t>
            </w:r>
          </w:p>
        </w:tc>
      </w:tr>
      <w:tr w14:paraId="0992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56617999">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09660A6B">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7105779D">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035990A6">
            <w:pPr>
              <w:pStyle w:val="37"/>
              <w:ind w:left="21" w:leftChars="10" w:right="57"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工程质量管理体系及保证措施</w:t>
            </w:r>
          </w:p>
        </w:tc>
        <w:tc>
          <w:tcPr>
            <w:tcW w:w="3530" w:type="dxa"/>
            <w:noWrap w:val="0"/>
            <w:vAlign w:val="center"/>
          </w:tcPr>
          <w:p w14:paraId="152E1207">
            <w:pPr>
              <w:pStyle w:val="37"/>
              <w:spacing w:before="132"/>
              <w:ind w:left="21" w:leftChars="10" w:right="57" w:rightChars="0"/>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根据编制内容的科学性、合理性、可行性进行打分。不提供不得分。</w:t>
            </w:r>
          </w:p>
        </w:tc>
        <w:tc>
          <w:tcPr>
            <w:tcW w:w="896" w:type="dxa"/>
            <w:noWrap w:val="0"/>
            <w:vAlign w:val="center"/>
          </w:tcPr>
          <w:p w14:paraId="27B31A96">
            <w:pPr>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0-3分</w:t>
            </w:r>
          </w:p>
        </w:tc>
      </w:tr>
      <w:tr w14:paraId="4CAF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3BA9E622">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56B4B610">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74FD60C6">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7EB099C2">
            <w:pPr>
              <w:pStyle w:val="37"/>
              <w:ind w:left="21" w:leftChars="10" w:right="57"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安全生产管理体系及保证措施</w:t>
            </w:r>
          </w:p>
        </w:tc>
        <w:tc>
          <w:tcPr>
            <w:tcW w:w="3530" w:type="dxa"/>
            <w:noWrap w:val="0"/>
            <w:vAlign w:val="center"/>
          </w:tcPr>
          <w:p w14:paraId="56C288E7">
            <w:pPr>
              <w:pStyle w:val="37"/>
              <w:spacing w:before="132"/>
              <w:ind w:left="21" w:leftChars="10" w:right="57" w:rightChars="0"/>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根据编制内容的科学性、合理性、可行性进行打分。不提供不得分。</w:t>
            </w:r>
          </w:p>
        </w:tc>
        <w:tc>
          <w:tcPr>
            <w:tcW w:w="896" w:type="dxa"/>
            <w:noWrap w:val="0"/>
            <w:vAlign w:val="center"/>
          </w:tcPr>
          <w:p w14:paraId="3978F0D8">
            <w:pPr>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0-3分</w:t>
            </w:r>
          </w:p>
        </w:tc>
      </w:tr>
      <w:tr w14:paraId="59F46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625CF17F">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6D83740D">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240B824E">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149A5F2F">
            <w:pPr>
              <w:pStyle w:val="37"/>
              <w:ind w:left="21" w:leftChars="10" w:right="57"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环境保护、水土保持保证体系及保证措施</w:t>
            </w:r>
          </w:p>
        </w:tc>
        <w:tc>
          <w:tcPr>
            <w:tcW w:w="3530" w:type="dxa"/>
            <w:noWrap w:val="0"/>
            <w:vAlign w:val="center"/>
          </w:tcPr>
          <w:p w14:paraId="5CC77912">
            <w:pPr>
              <w:pStyle w:val="37"/>
              <w:spacing w:before="132"/>
              <w:ind w:left="21" w:leftChars="10" w:right="57" w:rightChars="0"/>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根据编制内容的科学性、合理性、可行性进行打分。不提供不得分。</w:t>
            </w:r>
          </w:p>
        </w:tc>
        <w:tc>
          <w:tcPr>
            <w:tcW w:w="896" w:type="dxa"/>
            <w:noWrap w:val="0"/>
            <w:vAlign w:val="center"/>
          </w:tcPr>
          <w:p w14:paraId="0C40482A">
            <w:pPr>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0-2分</w:t>
            </w:r>
          </w:p>
        </w:tc>
      </w:tr>
      <w:tr w14:paraId="2966D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097D0B74">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486C078C">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1DF868E2">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541E5871">
            <w:pPr>
              <w:pStyle w:val="37"/>
              <w:ind w:left="21" w:leftChars="10" w:right="57"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文明施工、文物保护保证体系及保证措施</w:t>
            </w:r>
          </w:p>
        </w:tc>
        <w:tc>
          <w:tcPr>
            <w:tcW w:w="3530" w:type="dxa"/>
            <w:noWrap w:val="0"/>
            <w:vAlign w:val="center"/>
          </w:tcPr>
          <w:p w14:paraId="3A97A91B">
            <w:pPr>
              <w:pStyle w:val="37"/>
              <w:spacing w:before="132"/>
              <w:ind w:left="21" w:leftChars="10" w:right="57" w:rightChars="0"/>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根据编制内容的科学性、合理性、可行性进行打分。不提供不得分。</w:t>
            </w:r>
          </w:p>
        </w:tc>
        <w:tc>
          <w:tcPr>
            <w:tcW w:w="896" w:type="dxa"/>
            <w:noWrap w:val="0"/>
            <w:vAlign w:val="center"/>
          </w:tcPr>
          <w:p w14:paraId="4B765C34">
            <w:pPr>
              <w:pStyle w:val="37"/>
              <w:tabs>
                <w:tab w:val="left" w:pos="451"/>
              </w:tabs>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0-2分</w:t>
            </w:r>
          </w:p>
        </w:tc>
      </w:tr>
      <w:tr w14:paraId="0CE91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830" w:type="dxa"/>
            <w:vMerge w:val="continue"/>
            <w:noWrap w:val="0"/>
            <w:vAlign w:val="center"/>
          </w:tcPr>
          <w:p w14:paraId="2576AC8C">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40F6A2B6">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5AE87537">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373F09C3">
            <w:pPr>
              <w:pStyle w:val="37"/>
              <w:ind w:left="21" w:leftChars="10" w:right="57"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项目风险预测与防范，事故应急预案</w:t>
            </w:r>
          </w:p>
        </w:tc>
        <w:tc>
          <w:tcPr>
            <w:tcW w:w="3530" w:type="dxa"/>
            <w:noWrap w:val="0"/>
            <w:vAlign w:val="center"/>
          </w:tcPr>
          <w:p w14:paraId="434261AF">
            <w:pPr>
              <w:pStyle w:val="37"/>
              <w:spacing w:before="132"/>
              <w:ind w:left="21" w:leftChars="10" w:right="57" w:rightChars="0"/>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根据编制内容的科学性、合理性、可行性进行打分。不提供不得分。</w:t>
            </w:r>
          </w:p>
        </w:tc>
        <w:tc>
          <w:tcPr>
            <w:tcW w:w="896" w:type="dxa"/>
            <w:noWrap w:val="0"/>
            <w:vAlign w:val="center"/>
          </w:tcPr>
          <w:p w14:paraId="1706E0D4">
            <w:pPr>
              <w:ind w:left="21" w:leftChars="10" w:right="57" w:rightChars="0"/>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0-2分</w:t>
            </w:r>
          </w:p>
        </w:tc>
      </w:tr>
      <w:tr w14:paraId="29D98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4" w:hRule="atLeast"/>
          <w:jc w:val="center"/>
        </w:trPr>
        <w:tc>
          <w:tcPr>
            <w:tcW w:w="830" w:type="dxa"/>
            <w:noWrap w:val="0"/>
            <w:vAlign w:val="center"/>
          </w:tcPr>
          <w:p w14:paraId="36E2069A">
            <w:pPr>
              <w:pStyle w:val="40"/>
              <w:spacing w:line="380" w:lineRule="exact"/>
              <w:jc w:val="center"/>
              <w:rPr>
                <w:rFonts w:hint="eastAsia" w:ascii="宋体" w:hAnsi="宋体" w:eastAsia="宋体" w:cs="宋体"/>
                <w:b/>
                <w:color w:val="auto"/>
                <w:kern w:val="0"/>
                <w:sz w:val="24"/>
                <w:szCs w:val="24"/>
                <w:highlight w:val="none"/>
              </w:rPr>
            </w:pPr>
            <w:r>
              <w:rPr>
                <w:rFonts w:hint="eastAsia" w:ascii="宋体" w:hAnsi="宋体" w:eastAsia="宋体" w:cs="宋体"/>
                <w:color w:val="auto"/>
                <w:sz w:val="24"/>
                <w:szCs w:val="24"/>
                <w:highlight w:val="none"/>
              </w:rPr>
              <w:t>2.2.4（2）</w:t>
            </w:r>
          </w:p>
        </w:tc>
        <w:tc>
          <w:tcPr>
            <w:tcW w:w="1168" w:type="dxa"/>
            <w:gridSpan w:val="2"/>
            <w:noWrap w:val="0"/>
            <w:vAlign w:val="center"/>
          </w:tcPr>
          <w:p w14:paraId="3C0F346F">
            <w:pPr>
              <w:pStyle w:val="40"/>
              <w:spacing w:line="380" w:lineRule="exact"/>
              <w:jc w:val="center"/>
              <w:rPr>
                <w:rFonts w:hint="eastAsia" w:ascii="宋体" w:hAnsi="宋体" w:eastAsia="宋体" w:cs="宋体"/>
                <w:b/>
                <w:color w:val="auto"/>
                <w:kern w:val="0"/>
                <w:sz w:val="24"/>
                <w:szCs w:val="24"/>
                <w:highlight w:val="none"/>
              </w:rPr>
            </w:pPr>
            <w:r>
              <w:rPr>
                <w:rFonts w:hint="eastAsia" w:ascii="宋体" w:hAnsi="宋体" w:eastAsia="宋体" w:cs="宋体"/>
                <w:color w:val="auto"/>
                <w:sz w:val="24"/>
                <w:szCs w:val="24"/>
                <w:highlight w:val="none"/>
              </w:rPr>
              <w:t>主要人员</w:t>
            </w:r>
          </w:p>
        </w:tc>
        <w:tc>
          <w:tcPr>
            <w:tcW w:w="1434" w:type="dxa"/>
            <w:gridSpan w:val="2"/>
            <w:noWrap w:val="0"/>
            <w:vAlign w:val="center"/>
          </w:tcPr>
          <w:p w14:paraId="7E645EE5">
            <w:pPr>
              <w:spacing w:line="400" w:lineRule="exact"/>
              <w:jc w:val="center"/>
              <w:rPr>
                <w:rFonts w:hint="eastAsia" w:ascii="宋体" w:hAnsi="宋体" w:eastAsia="宋体" w:cs="宋体"/>
                <w:b/>
                <w:color w:val="auto"/>
                <w:kern w:val="0"/>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2018" w:type="dxa"/>
            <w:noWrap w:val="0"/>
            <w:vAlign w:val="center"/>
          </w:tcPr>
          <w:p w14:paraId="3DC5232B">
            <w:pPr>
              <w:pStyle w:val="37"/>
              <w:spacing w:before="132"/>
              <w:ind w:left="21" w:leftChars="10" w:right="57"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项目部人员配备</w:t>
            </w:r>
          </w:p>
        </w:tc>
        <w:tc>
          <w:tcPr>
            <w:tcW w:w="3530" w:type="dxa"/>
            <w:noWrap w:val="0"/>
            <w:vAlign w:val="center"/>
          </w:tcPr>
          <w:p w14:paraId="31A05C80">
            <w:pPr>
              <w:pStyle w:val="37"/>
              <w:spacing w:before="132"/>
              <w:ind w:left="21" w:leftChars="10" w:right="57" w:rightChars="0"/>
              <w:rPr>
                <w:rFonts w:hint="eastAsia" w:ascii="宋体" w:hAnsi="宋体" w:eastAsia="宋体" w:cs="宋体"/>
                <w:color w:val="000000" w:themeColor="text1"/>
                <w:sz w:val="24"/>
                <w:szCs w:val="24"/>
                <w:highlight w:val="none"/>
                <w:shd w:val="clear"/>
                <w:lang w:eastAsia="zh-CN"/>
                <w14:textFill>
                  <w14:solidFill>
                    <w14:schemeClr w14:val="tx1"/>
                  </w14:solidFill>
                </w14:textFill>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拟派项目</w:t>
            </w:r>
            <w:r>
              <w:rPr>
                <w:rFonts w:hint="eastAsia" w:ascii="宋体" w:hAnsi="宋体" w:eastAsia="宋体" w:cs="宋体"/>
                <w:color w:val="auto"/>
                <w:sz w:val="24"/>
                <w:szCs w:val="24"/>
                <w:highlight w:val="none"/>
                <w:lang w:val="en-US" w:eastAsia="zh-CN"/>
              </w:rPr>
              <w:t>组人</w:t>
            </w:r>
            <w:r>
              <w:rPr>
                <w:rFonts w:hint="eastAsia" w:ascii="宋体" w:hAnsi="宋体" w:eastAsia="宋体" w:cs="宋体"/>
                <w:color w:val="auto"/>
                <w:sz w:val="24"/>
                <w:szCs w:val="24"/>
                <w:highlight w:val="none"/>
                <w:lang w:eastAsia="zh-CN"/>
              </w:rPr>
              <w:t>员（</w:t>
            </w:r>
            <w:r>
              <w:rPr>
                <w:rFonts w:hint="eastAsia" w:ascii="宋体" w:hAnsi="宋体" w:eastAsia="宋体" w:cs="宋体"/>
                <w:color w:val="auto"/>
                <w:sz w:val="24"/>
                <w:szCs w:val="24"/>
                <w:highlight w:val="none"/>
              </w:rPr>
              <w:t>施工员、安全员、</w:t>
            </w:r>
            <w:r>
              <w:rPr>
                <w:rFonts w:hint="eastAsia" w:ascii="宋体" w:hAnsi="宋体" w:eastAsia="宋体" w:cs="宋体"/>
                <w:color w:val="auto"/>
                <w:sz w:val="24"/>
                <w:szCs w:val="24"/>
                <w:highlight w:val="none"/>
                <w:lang w:eastAsia="zh-CN"/>
              </w:rPr>
              <w:t>预算员</w:t>
            </w:r>
            <w:r>
              <w:rPr>
                <w:rFonts w:hint="eastAsia" w:ascii="宋体" w:hAnsi="宋体" w:eastAsia="宋体" w:cs="宋体"/>
                <w:color w:val="000000" w:themeColor="text1"/>
                <w:sz w:val="24"/>
                <w:szCs w:val="24"/>
                <w:highlight w:val="none"/>
                <w:shd w:val="clear"/>
                <w:lang w:eastAsia="zh-CN"/>
                <w14:textFill>
                  <w14:solidFill>
                    <w14:schemeClr w14:val="tx1"/>
                  </w14:solidFill>
                </w14:textFill>
              </w:rPr>
              <w:t>（或</w:t>
            </w:r>
            <w:r>
              <w:rPr>
                <w:rFonts w:hint="eastAsia" w:ascii="宋体" w:hAnsi="宋体" w:eastAsia="宋体" w:cs="宋体"/>
                <w:color w:val="000000" w:themeColor="text1"/>
                <w:sz w:val="24"/>
                <w:szCs w:val="24"/>
                <w:highlight w:val="none"/>
                <w:shd w:val="clear"/>
                <w14:textFill>
                  <w14:solidFill>
                    <w14:schemeClr w14:val="tx1"/>
                  </w14:solidFill>
                </w14:textFill>
              </w:rPr>
              <w:t>造价员</w:t>
            </w:r>
            <w:r>
              <w:rPr>
                <w:rFonts w:hint="eastAsia" w:ascii="宋体" w:hAnsi="宋体" w:eastAsia="宋体" w:cs="宋体"/>
                <w:color w:val="000000" w:themeColor="text1"/>
                <w:sz w:val="24"/>
                <w:szCs w:val="24"/>
                <w:highlight w:val="none"/>
                <w:shd w:val="clear"/>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14:textFill>
                  <w14:solidFill>
                    <w14:schemeClr w14:val="tx1"/>
                  </w14:solidFill>
                </w14:textFill>
              </w:rPr>
              <w:t>、</w:t>
            </w: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测量</w:t>
            </w:r>
            <w:r>
              <w:rPr>
                <w:rFonts w:hint="eastAsia" w:ascii="宋体" w:hAnsi="宋体" w:eastAsia="宋体" w:cs="宋体"/>
                <w:color w:val="000000" w:themeColor="text1"/>
                <w:sz w:val="24"/>
                <w:szCs w:val="24"/>
                <w:highlight w:val="none"/>
                <w:shd w:val="clear"/>
                <w14:textFill>
                  <w14:solidFill>
                    <w14:schemeClr w14:val="tx1"/>
                  </w14:solidFill>
                </w14:textFill>
              </w:rPr>
              <w:t>员、质量员、</w:t>
            </w:r>
            <w:r>
              <w:rPr>
                <w:rFonts w:hint="eastAsia" w:ascii="宋体" w:hAnsi="宋体" w:eastAsia="宋体" w:cs="宋体"/>
                <w:color w:val="000000" w:themeColor="text1"/>
                <w:sz w:val="24"/>
                <w:szCs w:val="24"/>
                <w:highlight w:val="none"/>
                <w:shd w:val="clear"/>
                <w:lang w:eastAsia="zh-CN"/>
                <w14:textFill>
                  <w14:solidFill>
                    <w14:schemeClr w14:val="tx1"/>
                  </w14:solidFill>
                </w14:textFill>
              </w:rPr>
              <w:t>材</w:t>
            </w:r>
            <w:r>
              <w:rPr>
                <w:rFonts w:hint="eastAsia" w:ascii="宋体" w:hAnsi="宋体" w:eastAsia="宋体" w:cs="宋体"/>
                <w:color w:val="000000" w:themeColor="text1"/>
                <w:sz w:val="24"/>
                <w:szCs w:val="24"/>
                <w:highlight w:val="none"/>
                <w:shd w:val="clear"/>
                <w14:textFill>
                  <w14:solidFill>
                    <w14:schemeClr w14:val="tx1"/>
                  </w14:solidFill>
                </w14:textFill>
              </w:rPr>
              <w:t>料员、</w:t>
            </w: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标准员</w:t>
            </w:r>
            <w:r>
              <w:rPr>
                <w:rFonts w:hint="eastAsia" w:ascii="宋体" w:hAnsi="宋体" w:eastAsia="宋体" w:cs="宋体"/>
                <w:color w:val="000000" w:themeColor="text1"/>
                <w:sz w:val="24"/>
                <w:szCs w:val="24"/>
                <w:highlight w:val="none"/>
                <w:shd w:val="clear"/>
                <w14:textFill>
                  <w14:solidFill>
                    <w14:schemeClr w14:val="tx1"/>
                  </w14:solidFill>
                </w14:textFill>
              </w:rPr>
              <w:t>、</w:t>
            </w: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资料员</w:t>
            </w:r>
            <w:r>
              <w:rPr>
                <w:rFonts w:hint="eastAsia" w:ascii="宋体" w:hAnsi="宋体" w:eastAsia="宋体" w:cs="宋体"/>
                <w:color w:val="000000" w:themeColor="text1"/>
                <w:sz w:val="24"/>
                <w:szCs w:val="24"/>
                <w:highlight w:val="none"/>
                <w:shd w:val="clear"/>
                <w:lang w:eastAsia="zh-CN"/>
                <w14:textFill>
                  <w14:solidFill>
                    <w14:schemeClr w14:val="tx1"/>
                  </w14:solidFill>
                </w14:textFill>
              </w:rPr>
              <w:t>）</w:t>
            </w:r>
            <w:r>
              <w:rPr>
                <w:rFonts w:hint="eastAsia" w:ascii="宋体" w:hAnsi="宋体" w:eastAsia="宋体" w:cs="宋体"/>
                <w:color w:val="000000" w:themeColor="text1"/>
                <w:sz w:val="24"/>
                <w:szCs w:val="24"/>
                <w:highlight w:val="none"/>
                <w:shd w:val="clear"/>
                <w14:textFill>
                  <w14:solidFill>
                    <w14:schemeClr w14:val="tx1"/>
                  </w14:solidFill>
                </w14:textFill>
              </w:rPr>
              <w:t>配备齐全且</w:t>
            </w: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证书</w:t>
            </w:r>
            <w:r>
              <w:rPr>
                <w:rFonts w:hint="eastAsia" w:ascii="宋体" w:hAnsi="宋体" w:eastAsia="宋体" w:cs="宋体"/>
                <w:color w:val="000000" w:themeColor="text1"/>
                <w:sz w:val="24"/>
                <w:szCs w:val="24"/>
                <w:highlight w:val="none"/>
                <w:shd w:val="clear"/>
                <w14:textFill>
                  <w14:solidFill>
                    <w14:schemeClr w14:val="tx1"/>
                  </w14:solidFill>
                </w14:textFill>
              </w:rPr>
              <w:t>有效者得</w:t>
            </w: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8</w:t>
            </w:r>
            <w:r>
              <w:rPr>
                <w:rFonts w:hint="eastAsia" w:ascii="宋体" w:hAnsi="宋体" w:eastAsia="宋体" w:cs="宋体"/>
                <w:color w:val="000000" w:themeColor="text1"/>
                <w:sz w:val="24"/>
                <w:szCs w:val="24"/>
                <w:highlight w:val="none"/>
                <w:shd w:val="clear"/>
                <w14:textFill>
                  <w14:solidFill>
                    <w14:schemeClr w14:val="tx1"/>
                  </w14:solidFill>
                </w14:textFill>
              </w:rPr>
              <w:t>分，每缺1人扣1分，扣完为止</w:t>
            </w:r>
            <w:r>
              <w:rPr>
                <w:rFonts w:hint="eastAsia" w:ascii="宋体" w:hAnsi="宋体" w:eastAsia="宋体" w:cs="宋体"/>
                <w:color w:val="000000" w:themeColor="text1"/>
                <w:sz w:val="24"/>
                <w:szCs w:val="24"/>
                <w:highlight w:val="none"/>
                <w:shd w:val="clear"/>
                <w:lang w:eastAsia="zh-CN"/>
                <w14:textFill>
                  <w14:solidFill>
                    <w14:schemeClr w14:val="tx1"/>
                  </w14:solidFill>
                </w14:textFill>
              </w:rPr>
              <w:t>。</w:t>
            </w:r>
          </w:p>
          <w:p w14:paraId="475F9ACC">
            <w:pPr>
              <w:pStyle w:val="37"/>
              <w:spacing w:before="132"/>
              <w:ind w:left="21" w:leftChars="10" w:right="57" w:rightChars="0"/>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pPr>
            <w:r>
              <w:rPr>
                <w:rFonts w:hint="eastAsia" w:ascii="宋体" w:hAnsi="宋体" w:cs="宋体"/>
                <w:color w:val="000000" w:themeColor="text1"/>
                <w:sz w:val="24"/>
                <w:szCs w:val="24"/>
                <w:highlight w:val="none"/>
                <w:shd w:val="clear"/>
                <w:lang w:val="en-US" w:eastAsia="zh-CN"/>
                <w14:textFill>
                  <w14:solidFill>
                    <w14:schemeClr w14:val="tx1"/>
                  </w14:solidFill>
                </w14:textFill>
              </w:rPr>
              <w:t>2.以上</w:t>
            </w:r>
            <w:r>
              <w:rPr>
                <w:rFonts w:hint="eastAsia" w:ascii="宋体" w:hAnsi="宋体" w:eastAsia="宋体" w:cs="宋体"/>
                <w:color w:val="000000" w:themeColor="text1"/>
                <w:sz w:val="24"/>
                <w:szCs w:val="24"/>
                <w:highlight w:val="none"/>
                <w:shd w:val="clear"/>
                <w:lang w:eastAsia="zh-CN"/>
                <w14:textFill>
                  <w14:solidFill>
                    <w14:schemeClr w14:val="tx1"/>
                  </w14:solidFill>
                </w14:textFill>
              </w:rPr>
              <w:t>项目</w:t>
            </w: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组人</w:t>
            </w:r>
            <w:r>
              <w:rPr>
                <w:rFonts w:hint="eastAsia" w:ascii="宋体" w:hAnsi="宋体" w:eastAsia="宋体" w:cs="宋体"/>
                <w:color w:val="000000" w:themeColor="text1"/>
                <w:sz w:val="24"/>
                <w:szCs w:val="24"/>
                <w:highlight w:val="none"/>
                <w:shd w:val="clear"/>
                <w:lang w:eastAsia="zh-CN"/>
                <w14:textFill>
                  <w14:solidFill>
                    <w14:schemeClr w14:val="tx1"/>
                  </w14:solidFill>
                </w14:textFill>
              </w:rPr>
              <w:t>员</w:t>
            </w: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具有相关专业中级及以上技术职称</w:t>
            </w:r>
            <w:r>
              <w:rPr>
                <w:rFonts w:hint="eastAsia" w:ascii="宋体" w:hAnsi="宋体" w:cs="宋体"/>
                <w:color w:val="000000" w:themeColor="text1"/>
                <w:sz w:val="24"/>
                <w:szCs w:val="24"/>
                <w:highlight w:val="none"/>
                <w:shd w:val="clear"/>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每有一</w:t>
            </w:r>
            <w:r>
              <w:rPr>
                <w:rFonts w:hint="eastAsia" w:ascii="宋体" w:hAnsi="宋体" w:cs="宋体"/>
                <w:color w:val="000000" w:themeColor="text1"/>
                <w:sz w:val="24"/>
                <w:szCs w:val="24"/>
                <w:highlight w:val="none"/>
                <w:shd w:val="clear"/>
                <w:lang w:val="en-US" w:eastAsia="zh-CN"/>
                <w14:textFill>
                  <w14:solidFill>
                    <w14:schemeClr w14:val="tx1"/>
                  </w14:solidFill>
                </w14:textFill>
              </w:rPr>
              <w:t>个</w:t>
            </w:r>
            <w:r>
              <w:rPr>
                <w:rFonts w:hint="eastAsia" w:ascii="宋体" w:hAnsi="宋体" w:eastAsia="宋体" w:cs="宋体"/>
                <w:color w:val="000000" w:themeColor="text1"/>
                <w:sz w:val="24"/>
                <w:szCs w:val="24"/>
                <w:highlight w:val="none"/>
                <w:shd w:val="clear"/>
                <w:lang w:val="en-US" w:eastAsia="zh-CN"/>
                <w14:textFill>
                  <w14:solidFill>
                    <w14:schemeClr w14:val="tx1"/>
                  </w14:solidFill>
                </w14:textFill>
              </w:rPr>
              <w:t>加1分，最多加2分。</w:t>
            </w:r>
          </w:p>
          <w:p w14:paraId="5295782E">
            <w:pPr>
              <w:pStyle w:val="37"/>
              <w:spacing w:before="132"/>
              <w:ind w:left="21" w:leftChars="10" w:right="57" w:rightChars="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以</w:t>
            </w:r>
            <w:r>
              <w:rPr>
                <w:rFonts w:hint="eastAsia" w:ascii="宋体" w:hAnsi="宋体" w:eastAsia="宋体" w:cs="宋体"/>
                <w:color w:val="auto"/>
                <w:sz w:val="24"/>
                <w:szCs w:val="24"/>
                <w:highlight w:val="none"/>
              </w:rPr>
              <w:t>职称证、</w:t>
            </w:r>
            <w:r>
              <w:rPr>
                <w:rFonts w:hint="eastAsia" w:ascii="宋体" w:hAnsi="宋体" w:eastAsia="宋体" w:cs="宋体"/>
                <w:color w:val="auto"/>
                <w:sz w:val="24"/>
                <w:szCs w:val="24"/>
                <w:highlight w:val="none"/>
                <w:lang w:val="en-US" w:eastAsia="zh-CN"/>
              </w:rPr>
              <w:t>岗位</w:t>
            </w:r>
            <w:r>
              <w:rPr>
                <w:rFonts w:hint="eastAsia" w:ascii="宋体" w:hAnsi="宋体" w:eastAsia="宋体" w:cs="宋体"/>
                <w:color w:val="auto"/>
                <w:sz w:val="24"/>
                <w:szCs w:val="24"/>
                <w:highlight w:val="none"/>
              </w:rPr>
              <w:t>证、</w:t>
            </w:r>
            <w:r>
              <w:rPr>
                <w:rFonts w:hint="eastAsia" w:ascii="宋体" w:hAnsi="宋体" w:eastAsia="宋体" w:cs="宋体"/>
                <w:color w:val="auto"/>
                <w:sz w:val="24"/>
                <w:szCs w:val="24"/>
                <w:highlight w:val="none"/>
                <w:lang w:val="en-US" w:eastAsia="zh-CN"/>
              </w:rPr>
              <w:t>社保证明原件扫描件</w:t>
            </w:r>
            <w:r>
              <w:rPr>
                <w:rFonts w:hint="eastAsia" w:ascii="宋体" w:hAnsi="宋体" w:cs="宋体"/>
                <w:color w:val="auto"/>
                <w:sz w:val="24"/>
                <w:szCs w:val="24"/>
                <w:highlight w:val="none"/>
                <w:lang w:val="en-US" w:eastAsia="zh-CN"/>
              </w:rPr>
              <w:t>为准</w:t>
            </w:r>
            <w:r>
              <w:rPr>
                <w:rFonts w:hint="eastAsia" w:ascii="宋体" w:hAnsi="宋体" w:eastAsia="宋体" w:cs="宋体"/>
                <w:color w:val="auto"/>
                <w:sz w:val="24"/>
                <w:szCs w:val="24"/>
                <w:highlight w:val="none"/>
                <w:lang w:val="en-US" w:eastAsia="zh-CN"/>
              </w:rPr>
              <w:t>。</w:t>
            </w:r>
          </w:p>
        </w:tc>
        <w:tc>
          <w:tcPr>
            <w:tcW w:w="896" w:type="dxa"/>
            <w:noWrap w:val="0"/>
            <w:vAlign w:val="center"/>
          </w:tcPr>
          <w:p w14:paraId="7D556B41">
            <w:pPr>
              <w:pStyle w:val="37"/>
              <w:spacing w:before="132"/>
              <w:ind w:left="21" w:leftChars="10" w:right="57" w:righ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0-10分</w:t>
            </w:r>
          </w:p>
        </w:tc>
      </w:tr>
      <w:tr w14:paraId="77E77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1" w:hRule="atLeast"/>
          <w:jc w:val="center"/>
        </w:trPr>
        <w:tc>
          <w:tcPr>
            <w:tcW w:w="830" w:type="dxa"/>
            <w:noWrap w:val="0"/>
            <w:vAlign w:val="center"/>
          </w:tcPr>
          <w:p w14:paraId="5F9F42EA">
            <w:pPr>
              <w:pStyle w:val="40"/>
              <w:spacing w:line="380" w:lineRule="exact"/>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2.2.4（3）</w:t>
            </w:r>
          </w:p>
        </w:tc>
        <w:tc>
          <w:tcPr>
            <w:tcW w:w="1168" w:type="dxa"/>
            <w:gridSpan w:val="2"/>
            <w:noWrap w:val="0"/>
            <w:vAlign w:val="center"/>
          </w:tcPr>
          <w:p w14:paraId="1A4452E2">
            <w:pPr>
              <w:pStyle w:val="40"/>
              <w:spacing w:line="380" w:lineRule="exact"/>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评标价</w:t>
            </w:r>
          </w:p>
        </w:tc>
        <w:tc>
          <w:tcPr>
            <w:tcW w:w="1434" w:type="dxa"/>
            <w:gridSpan w:val="2"/>
            <w:noWrap w:val="0"/>
            <w:vAlign w:val="center"/>
          </w:tcPr>
          <w:p w14:paraId="32F4E721">
            <w:pPr>
              <w:adjustRightInd w:val="0"/>
              <w:snapToGrid w:val="0"/>
              <w:spacing w:line="360" w:lineRule="auto"/>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50分</w:t>
            </w:r>
          </w:p>
        </w:tc>
        <w:tc>
          <w:tcPr>
            <w:tcW w:w="6444" w:type="dxa"/>
            <w:gridSpan w:val="3"/>
            <w:noWrap w:val="0"/>
            <w:vAlign w:val="center"/>
          </w:tcPr>
          <w:p w14:paraId="0967787A">
            <w:pPr>
              <w:pStyle w:val="40"/>
              <w:spacing w:line="38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评标价得分计算公式：</w:t>
            </w:r>
          </w:p>
          <w:p w14:paraId="4774F515">
            <w:pPr>
              <w:pStyle w:val="40"/>
              <w:spacing w:line="38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（1）如果投标人的评标价＞评标基准价，则评标价得分=50-偏差率×100×E1；</w:t>
            </w:r>
          </w:p>
          <w:p w14:paraId="6C87DA07">
            <w:pPr>
              <w:pStyle w:val="40"/>
              <w:spacing w:line="38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（2）如果投标人的评标价≤评标基准价，则评标价得分=50+偏差率×100×E2。</w:t>
            </w:r>
          </w:p>
          <w:p w14:paraId="1B929CD0">
            <w:pPr>
              <w:spacing w:line="400" w:lineRule="exact"/>
              <w:jc w:val="left"/>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其中：E1 是评标价每高于评标基准价一个百分点的扣分值(1分)；E2 是评标价每低于评标基准价一个百分点的扣分值（0.5 分）。</w:t>
            </w:r>
          </w:p>
        </w:tc>
      </w:tr>
      <w:tr w14:paraId="01E02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restart"/>
            <w:noWrap w:val="0"/>
            <w:vAlign w:val="center"/>
          </w:tcPr>
          <w:p w14:paraId="4D17C88E">
            <w:pPr>
              <w:pStyle w:val="40"/>
              <w:spacing w:line="380" w:lineRule="exact"/>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2.2.4（4）</w:t>
            </w:r>
          </w:p>
        </w:tc>
        <w:tc>
          <w:tcPr>
            <w:tcW w:w="1168" w:type="dxa"/>
            <w:gridSpan w:val="2"/>
            <w:vMerge w:val="restart"/>
            <w:noWrap w:val="0"/>
            <w:vAlign w:val="center"/>
          </w:tcPr>
          <w:p w14:paraId="50DCFCFF">
            <w:pPr>
              <w:pStyle w:val="40"/>
              <w:spacing w:line="380" w:lineRule="exact"/>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其他因素</w:t>
            </w:r>
          </w:p>
        </w:tc>
        <w:tc>
          <w:tcPr>
            <w:tcW w:w="1434" w:type="dxa"/>
            <w:gridSpan w:val="2"/>
            <w:vMerge w:val="restart"/>
            <w:noWrap w:val="0"/>
            <w:vAlign w:val="center"/>
          </w:tcPr>
          <w:p w14:paraId="283E2E80">
            <w:pPr>
              <w:spacing w:line="400" w:lineRule="exact"/>
              <w:jc w:val="center"/>
              <w:rPr>
                <w:rFonts w:hint="eastAsia" w:ascii="宋体" w:hAnsi="宋体" w:eastAsia="宋体" w:cs="宋体"/>
                <w:b/>
                <w:kern w:val="0"/>
                <w:sz w:val="24"/>
                <w:szCs w:val="24"/>
                <w:highlight w:val="none"/>
              </w:rPr>
            </w:pPr>
            <w:r>
              <w:rPr>
                <w:rFonts w:hint="eastAsia" w:ascii="宋体" w:hAnsi="宋体" w:eastAsia="宋体" w:cs="宋体"/>
                <w:sz w:val="24"/>
                <w:szCs w:val="24"/>
                <w:highlight w:val="none"/>
              </w:rPr>
              <w:t>20分</w:t>
            </w:r>
          </w:p>
        </w:tc>
        <w:tc>
          <w:tcPr>
            <w:tcW w:w="2018" w:type="dxa"/>
            <w:noWrap w:val="0"/>
            <w:vAlign w:val="center"/>
          </w:tcPr>
          <w:p w14:paraId="3669524B">
            <w:pPr>
              <w:spacing w:line="400" w:lineRule="exact"/>
              <w:jc w:val="center"/>
              <w:rPr>
                <w:rFonts w:hint="default" w:ascii="宋体" w:hAnsi="宋体" w:eastAsia="宋体" w:cs="宋体"/>
                <w:b w:val="0"/>
                <w:bCs w:val="0"/>
                <w:kern w:val="0"/>
                <w:sz w:val="24"/>
                <w:szCs w:val="24"/>
                <w:highlight w:val="none"/>
                <w:lang w:val="en-US" w:eastAsia="zh-CN"/>
              </w:rPr>
            </w:pPr>
            <w:r>
              <w:rPr>
                <w:rFonts w:hint="eastAsia" w:ascii="宋体" w:hAnsi="宋体" w:eastAsia="宋体" w:cs="宋体"/>
                <w:b w:val="0"/>
                <w:bCs w:val="0"/>
                <w:sz w:val="24"/>
                <w:szCs w:val="24"/>
                <w:highlight w:val="none"/>
              </w:rPr>
              <w:t>履约尽责</w:t>
            </w:r>
          </w:p>
        </w:tc>
        <w:tc>
          <w:tcPr>
            <w:tcW w:w="3530" w:type="dxa"/>
            <w:noWrap w:val="0"/>
            <w:vAlign w:val="center"/>
          </w:tcPr>
          <w:p w14:paraId="3C900B35">
            <w:pPr>
              <w:pStyle w:val="25"/>
              <w:spacing w:line="240" w:lineRule="auto"/>
              <w:ind w:firstLine="0" w:firstLineChars="0"/>
              <w:jc w:val="both"/>
              <w:rPr>
                <w:rFonts w:hint="eastAsia" w:ascii="宋体" w:hAnsi="宋体" w:eastAsia="宋体" w:cs="宋体"/>
                <w:b/>
                <w:kern w:val="0"/>
                <w:sz w:val="24"/>
                <w:szCs w:val="24"/>
                <w:highlight w:val="none"/>
              </w:rPr>
            </w:pPr>
            <w:r>
              <w:rPr>
                <w:rFonts w:hint="eastAsia" w:ascii="宋体" w:hAnsi="宋体" w:eastAsia="宋体" w:cs="宋体"/>
                <w:b w:val="0"/>
                <w:bCs/>
                <w:sz w:val="24"/>
                <w:szCs w:val="24"/>
                <w:highlight w:val="none"/>
              </w:rPr>
              <w:t>编制内容具有全面、详实、可行、合法有效的书面保证技术措施落实到位的承诺和落实不到位的处理承诺，其中包括各关键岗位人员的在岗、更换等履职尽责承诺，提供承包商履约保证。评标委员会根据投标文件表述的具体内容酌情打分。不提供不得分。</w:t>
            </w:r>
          </w:p>
        </w:tc>
        <w:tc>
          <w:tcPr>
            <w:tcW w:w="896" w:type="dxa"/>
            <w:noWrap w:val="0"/>
            <w:vAlign w:val="center"/>
          </w:tcPr>
          <w:p w14:paraId="4674865D">
            <w:pPr>
              <w:spacing w:line="400" w:lineRule="exact"/>
              <w:jc w:val="center"/>
              <w:rPr>
                <w:rFonts w:hint="eastAsia" w:ascii="宋体" w:hAnsi="宋体" w:eastAsia="宋体" w:cs="宋体"/>
                <w:b/>
                <w:kern w:val="0"/>
                <w:sz w:val="24"/>
                <w:szCs w:val="24"/>
                <w:highlight w:val="none"/>
              </w:rPr>
            </w:pPr>
            <w:r>
              <w:rPr>
                <w:rFonts w:hint="eastAsia" w:ascii="宋体" w:hAnsi="宋体" w:eastAsia="宋体" w:cs="宋体"/>
                <w:kern w:val="0"/>
                <w:sz w:val="24"/>
                <w:szCs w:val="24"/>
                <w:highlight w:val="none"/>
                <w:lang w:val="en-US" w:eastAsia="zh-CN"/>
              </w:rPr>
              <w:t>0</w:t>
            </w:r>
            <w:r>
              <w:rPr>
                <w:rFonts w:hint="eastAsia" w:ascii="宋体" w:hAnsi="宋体" w:eastAsia="宋体" w:cs="宋体"/>
                <w:kern w:val="0"/>
                <w:sz w:val="24"/>
                <w:szCs w:val="24"/>
                <w:highlight w:val="none"/>
              </w:rPr>
              <w:t>-</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rPr>
              <w:t>分</w:t>
            </w:r>
          </w:p>
        </w:tc>
      </w:tr>
      <w:tr w14:paraId="12B9F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302223D3">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4D4DA4AA">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28F9CD33">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4ED8F9A7">
            <w:pPr>
              <w:spacing w:line="400" w:lineRule="exact"/>
              <w:jc w:val="center"/>
              <w:rPr>
                <w:rFonts w:hint="eastAsia" w:ascii="宋体" w:hAnsi="宋体" w:eastAsia="宋体" w:cs="宋体"/>
                <w:b w:val="0"/>
                <w:bCs w:val="0"/>
                <w:kern w:val="0"/>
                <w:sz w:val="24"/>
                <w:szCs w:val="24"/>
                <w:highlight w:val="none"/>
              </w:rPr>
            </w:pPr>
            <w:r>
              <w:rPr>
                <w:rFonts w:hint="eastAsia" w:ascii="宋体" w:hAnsi="宋体" w:eastAsia="宋体" w:cs="宋体"/>
                <w:b w:val="0"/>
                <w:bCs w:val="0"/>
                <w:sz w:val="24"/>
                <w:szCs w:val="24"/>
                <w:highlight w:val="none"/>
              </w:rPr>
              <w:t>优惠承诺</w:t>
            </w:r>
          </w:p>
        </w:tc>
        <w:tc>
          <w:tcPr>
            <w:tcW w:w="3530" w:type="dxa"/>
            <w:noWrap w:val="0"/>
            <w:vAlign w:val="center"/>
          </w:tcPr>
          <w:p w14:paraId="7D9B2CFB">
            <w:pPr>
              <w:pStyle w:val="25"/>
              <w:spacing w:line="240" w:lineRule="auto"/>
              <w:ind w:firstLine="0" w:firstLineChars="0"/>
              <w:jc w:val="both"/>
              <w:rPr>
                <w:rFonts w:hint="eastAsia" w:ascii="宋体" w:hAnsi="宋体" w:eastAsia="宋体" w:cs="宋体"/>
                <w:b/>
                <w:kern w:val="0"/>
                <w:sz w:val="24"/>
                <w:szCs w:val="24"/>
                <w:highlight w:val="none"/>
              </w:rPr>
            </w:pPr>
            <w:r>
              <w:rPr>
                <w:rFonts w:hint="eastAsia" w:ascii="宋体" w:hAnsi="宋体" w:eastAsia="宋体" w:cs="宋体"/>
                <w:b w:val="0"/>
                <w:bCs/>
                <w:sz w:val="24"/>
                <w:szCs w:val="24"/>
                <w:highlight w:val="none"/>
              </w:rPr>
              <w:t>投标人针对招标项目的特点和要求，结合自身条件和潜力做出优惠和服务承诺。由评标委员会根据投标文件表述的具体内容酌情打分。不提供不得分。</w:t>
            </w:r>
          </w:p>
        </w:tc>
        <w:tc>
          <w:tcPr>
            <w:tcW w:w="896" w:type="dxa"/>
            <w:noWrap w:val="0"/>
            <w:vAlign w:val="center"/>
          </w:tcPr>
          <w:p w14:paraId="23EB120F">
            <w:pPr>
              <w:spacing w:line="400" w:lineRule="exact"/>
              <w:jc w:val="center"/>
              <w:rPr>
                <w:rFonts w:hint="eastAsia" w:ascii="宋体" w:hAnsi="宋体" w:eastAsia="宋体" w:cs="宋体"/>
                <w:b/>
                <w:kern w:val="0"/>
                <w:sz w:val="24"/>
                <w:szCs w:val="24"/>
                <w:highlight w:val="none"/>
              </w:rPr>
            </w:pPr>
            <w:r>
              <w:rPr>
                <w:rFonts w:hint="eastAsia" w:ascii="宋体" w:hAnsi="宋体" w:eastAsia="宋体" w:cs="宋体"/>
                <w:kern w:val="0"/>
                <w:sz w:val="24"/>
                <w:szCs w:val="24"/>
                <w:highlight w:val="none"/>
              </w:rPr>
              <w:t>0-</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rPr>
              <w:t>分</w:t>
            </w:r>
          </w:p>
        </w:tc>
      </w:tr>
      <w:tr w14:paraId="2554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47667CB0">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39366E67">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2D18064D">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3DB1FF24">
            <w:pPr>
              <w:spacing w:line="400" w:lineRule="exact"/>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技术服务能力</w:t>
            </w:r>
          </w:p>
        </w:tc>
        <w:tc>
          <w:tcPr>
            <w:tcW w:w="3530" w:type="dxa"/>
            <w:noWrap w:val="0"/>
            <w:vAlign w:val="center"/>
          </w:tcPr>
          <w:p w14:paraId="6305C21A">
            <w:pPr>
              <w:spacing w:line="400" w:lineRule="exact"/>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保证不拖欠工人工资，不造成上访事件。施工期间遇突发事件，能负责协调内部、外部关系并处置合理、妥善。投标人针对招标工程的特点和要求，结合自身的条件和潜力，为招标人排忧解难。缺陷责任期内按期履行缺陷修复义务的承诺</w:t>
            </w:r>
            <w:r>
              <w:rPr>
                <w:rFonts w:hint="eastAsia" w:ascii="宋体" w:hAnsi="宋体" w:eastAsia="宋体" w:cs="宋体"/>
                <w:b w:val="0"/>
                <w:bCs w:val="0"/>
                <w:sz w:val="24"/>
                <w:szCs w:val="24"/>
                <w:highlight w:val="none"/>
                <w:lang w:val="en-US" w:eastAsia="zh-CN"/>
              </w:rPr>
              <w:t>及方案。</w:t>
            </w:r>
            <w:r>
              <w:rPr>
                <w:rFonts w:hint="eastAsia" w:ascii="宋体" w:hAnsi="宋体" w:eastAsia="宋体" w:cs="宋体"/>
                <w:b w:val="0"/>
                <w:bCs w:val="0"/>
                <w:sz w:val="24"/>
                <w:szCs w:val="24"/>
                <w:highlight w:val="none"/>
              </w:rPr>
              <w:t>由评标委员会根据投标文件表述的具体内容酌情打分。不提供不得分。</w:t>
            </w:r>
          </w:p>
        </w:tc>
        <w:tc>
          <w:tcPr>
            <w:tcW w:w="896" w:type="dxa"/>
            <w:noWrap w:val="0"/>
            <w:vAlign w:val="center"/>
          </w:tcPr>
          <w:p w14:paraId="3C715D1E">
            <w:pPr>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0-</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rPr>
              <w:t>分</w:t>
            </w:r>
          </w:p>
        </w:tc>
      </w:tr>
      <w:tr w14:paraId="52C7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409AD6DF">
            <w:pPr>
              <w:spacing w:line="400" w:lineRule="exact"/>
              <w:jc w:val="center"/>
              <w:rPr>
                <w:rFonts w:hint="eastAsia" w:ascii="宋体" w:hAnsi="宋体" w:eastAsia="宋体" w:cs="宋体"/>
                <w:b/>
                <w:kern w:val="0"/>
                <w:sz w:val="24"/>
                <w:szCs w:val="24"/>
                <w:highlight w:val="none"/>
              </w:rPr>
            </w:pPr>
          </w:p>
        </w:tc>
        <w:tc>
          <w:tcPr>
            <w:tcW w:w="1168" w:type="dxa"/>
            <w:gridSpan w:val="2"/>
            <w:vMerge w:val="continue"/>
            <w:noWrap w:val="0"/>
            <w:vAlign w:val="center"/>
          </w:tcPr>
          <w:p w14:paraId="78D81D71">
            <w:pPr>
              <w:spacing w:line="400" w:lineRule="exact"/>
              <w:jc w:val="center"/>
              <w:rPr>
                <w:rFonts w:hint="eastAsia" w:ascii="宋体" w:hAnsi="宋体" w:eastAsia="宋体" w:cs="宋体"/>
                <w:b/>
                <w:kern w:val="0"/>
                <w:sz w:val="24"/>
                <w:szCs w:val="24"/>
                <w:highlight w:val="none"/>
              </w:rPr>
            </w:pPr>
          </w:p>
        </w:tc>
        <w:tc>
          <w:tcPr>
            <w:tcW w:w="1434" w:type="dxa"/>
            <w:gridSpan w:val="2"/>
            <w:vMerge w:val="continue"/>
            <w:noWrap w:val="0"/>
            <w:vAlign w:val="center"/>
          </w:tcPr>
          <w:p w14:paraId="4BCB1915">
            <w:pPr>
              <w:spacing w:line="400" w:lineRule="exact"/>
              <w:jc w:val="center"/>
              <w:rPr>
                <w:rFonts w:hint="eastAsia" w:ascii="宋体" w:hAnsi="宋体" w:eastAsia="宋体" w:cs="宋体"/>
                <w:b/>
                <w:kern w:val="0"/>
                <w:sz w:val="24"/>
                <w:szCs w:val="24"/>
                <w:highlight w:val="none"/>
              </w:rPr>
            </w:pPr>
          </w:p>
        </w:tc>
        <w:tc>
          <w:tcPr>
            <w:tcW w:w="2018" w:type="dxa"/>
            <w:noWrap w:val="0"/>
            <w:vAlign w:val="center"/>
          </w:tcPr>
          <w:p w14:paraId="517532E3">
            <w:pPr>
              <w:spacing w:line="40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sz w:val="24"/>
                <w:szCs w:val="24"/>
                <w:highlight w:val="none"/>
                <w:lang w:eastAsia="zh-CN"/>
              </w:rPr>
              <w:t>企业</w:t>
            </w:r>
            <w:r>
              <w:rPr>
                <w:rFonts w:hint="eastAsia" w:ascii="宋体" w:hAnsi="宋体" w:eastAsia="宋体" w:cs="宋体"/>
                <w:b w:val="0"/>
                <w:bCs w:val="0"/>
                <w:color w:val="auto"/>
                <w:sz w:val="24"/>
                <w:szCs w:val="24"/>
                <w:highlight w:val="none"/>
              </w:rPr>
              <w:t>业绩</w:t>
            </w:r>
          </w:p>
        </w:tc>
        <w:tc>
          <w:tcPr>
            <w:tcW w:w="3530" w:type="dxa"/>
            <w:noWrap w:val="0"/>
            <w:vAlign w:val="center"/>
          </w:tcPr>
          <w:p w14:paraId="66A7DAED">
            <w:pPr>
              <w:pStyle w:val="37"/>
              <w:spacing w:before="132"/>
              <w:ind w:left="21" w:leftChars="10" w:right="57" w:rightChars="0"/>
              <w:rPr>
                <w:rFonts w:hint="eastAsia" w:ascii="宋体" w:hAnsi="宋体" w:eastAsia="宋体" w:cs="宋体"/>
                <w:b/>
                <w:color w:val="auto"/>
                <w:kern w:val="0"/>
                <w:sz w:val="24"/>
                <w:szCs w:val="24"/>
                <w:highlight w:val="none"/>
              </w:rPr>
            </w:pPr>
            <w:r>
              <w:rPr>
                <w:rFonts w:hint="eastAsia" w:ascii="宋体" w:hAnsi="宋体" w:eastAsia="宋体" w:cs="宋体"/>
                <w:color w:val="auto"/>
                <w:sz w:val="24"/>
                <w:szCs w:val="24"/>
                <w:highlight w:val="none"/>
              </w:rPr>
              <w:t>投标人202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年1月1日以来承担过的类似业绩</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提供施工合同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中标通知书原件扫描件</w:t>
            </w:r>
            <w:r>
              <w:rPr>
                <w:rFonts w:hint="eastAsia" w:ascii="宋体" w:hAnsi="宋体"/>
                <w:color w:val="000000" w:themeColor="text1"/>
                <w:sz w:val="24"/>
                <w:szCs w:val="24"/>
                <w:highlight w:val="none"/>
                <w:lang w:eastAsia="zh-CN"/>
                <w14:textFill>
                  <w14:solidFill>
                    <w14:schemeClr w14:val="tx1"/>
                  </w14:solidFill>
                </w14:textFill>
              </w:rPr>
              <w:t>及中标公示网页截图、工程竣(交)工验收报告</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以合同签订时间为准，）；提供一项得</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分，没有不得分。</w:t>
            </w:r>
          </w:p>
        </w:tc>
        <w:tc>
          <w:tcPr>
            <w:tcW w:w="896" w:type="dxa"/>
            <w:noWrap w:val="0"/>
            <w:vAlign w:val="center"/>
          </w:tcPr>
          <w:p w14:paraId="5D1A38F3">
            <w:pPr>
              <w:spacing w:line="400" w:lineRule="exact"/>
              <w:jc w:val="center"/>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0-</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tc>
      </w:tr>
    </w:tbl>
    <w:p w14:paraId="6B2147F3">
      <w:pPr>
        <w:spacing w:line="40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1．评标方法</w:t>
      </w:r>
    </w:p>
    <w:p w14:paraId="2916B31D">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本次评标采用综合评分法。评标委员会对满足招标文件实质性要求的投标文件，按照本章第 2.2 款规定的评分标准进行打分，并按得分由高到低顺序推荐中标候选人（中标候选人不排序），但投标报价低于其成本的除外。推荐中标候选人的人数见投标人须知前附表。综合评分相等时，评标委员会应按照评标办法前附表规定的优先次序推荐中标候选人。</w:t>
      </w:r>
    </w:p>
    <w:p w14:paraId="28FC9E71">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2．评审标准</w:t>
      </w:r>
    </w:p>
    <w:p w14:paraId="2C1C3B6C">
      <w:pPr>
        <w:spacing w:line="400" w:lineRule="exact"/>
        <w:rPr>
          <w:rFonts w:hint="eastAsia" w:ascii="宋体" w:hAnsi="宋体" w:eastAsia="宋体" w:cs="宋体"/>
          <w:b/>
          <w:bCs/>
          <w:color w:val="auto"/>
          <w:sz w:val="24"/>
          <w:szCs w:val="24"/>
          <w:highlight w:val="none"/>
        </w:rPr>
      </w:pPr>
      <w:bookmarkStart w:id="370" w:name="_Toc3177"/>
      <w:bookmarkStart w:id="371" w:name="_Toc11113"/>
      <w:bookmarkStart w:id="372" w:name="_Toc16778800"/>
      <w:bookmarkStart w:id="373" w:name="_Toc82772068"/>
      <w:r>
        <w:rPr>
          <w:rFonts w:hint="eastAsia" w:ascii="宋体" w:hAnsi="宋体" w:eastAsia="宋体" w:cs="宋体"/>
          <w:b/>
          <w:bCs/>
          <w:color w:val="auto"/>
          <w:sz w:val="24"/>
          <w:szCs w:val="24"/>
          <w:highlight w:val="none"/>
        </w:rPr>
        <w:t>2.1 初步评审标准</w:t>
      </w:r>
      <w:bookmarkEnd w:id="370"/>
      <w:bookmarkEnd w:id="371"/>
      <w:bookmarkEnd w:id="372"/>
      <w:bookmarkEnd w:id="373"/>
    </w:p>
    <w:p w14:paraId="6EFBEF69">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2.1.1 形式评审标准：见评标办法前附表。</w:t>
      </w:r>
    </w:p>
    <w:p w14:paraId="54819C04">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2.1.2 资格评审标准：见评标办法前附表。</w:t>
      </w:r>
    </w:p>
    <w:p w14:paraId="10A9F6F8">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2.1.3响应性评审标准：见评标办法前附表。</w:t>
      </w:r>
    </w:p>
    <w:p w14:paraId="1417307F">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2.1.4技术评审标准：见评标办法前附表。</w:t>
      </w:r>
    </w:p>
    <w:p w14:paraId="283F35DA">
      <w:pPr>
        <w:spacing w:line="400" w:lineRule="exact"/>
        <w:rPr>
          <w:rFonts w:hint="eastAsia" w:ascii="宋体" w:hAnsi="宋体" w:eastAsia="宋体" w:cs="宋体"/>
          <w:b/>
          <w:bCs/>
          <w:color w:val="auto"/>
          <w:sz w:val="24"/>
          <w:szCs w:val="24"/>
          <w:highlight w:val="none"/>
        </w:rPr>
      </w:pPr>
      <w:bookmarkStart w:id="374" w:name="_Toc82772069"/>
      <w:bookmarkStart w:id="375" w:name="_Toc16778801"/>
      <w:r>
        <w:rPr>
          <w:rFonts w:hint="eastAsia" w:ascii="宋体" w:hAnsi="宋体" w:eastAsia="宋体" w:cs="宋体"/>
          <w:b/>
          <w:bCs/>
          <w:color w:val="auto"/>
          <w:sz w:val="24"/>
          <w:szCs w:val="24"/>
          <w:highlight w:val="none"/>
        </w:rPr>
        <w:t>2.2 分值构成与评分标准</w:t>
      </w:r>
      <w:bookmarkEnd w:id="374"/>
      <w:bookmarkEnd w:id="375"/>
    </w:p>
    <w:p w14:paraId="34BDF665">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2.2.1 分值构成</w:t>
      </w:r>
    </w:p>
    <w:p w14:paraId="7BE5D5C0">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（1）施工组织设计：见评标办法前附表；</w:t>
      </w:r>
    </w:p>
    <w:p w14:paraId="315EAFA6">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（2）主要人员：见评标办法前附表；</w:t>
      </w:r>
    </w:p>
    <w:p w14:paraId="77BCCDAF">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（3）评标价：见评标办法前附表；</w:t>
      </w:r>
    </w:p>
    <w:p w14:paraId="5B7F1DC6">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（4）其他因素：见评标办法前附表。</w:t>
      </w:r>
    </w:p>
    <w:p w14:paraId="22C1577B">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2.2.2 评标基准价计算</w:t>
      </w:r>
    </w:p>
    <w:p w14:paraId="7CA39CD0">
      <w:pPr>
        <w:pStyle w:val="9"/>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评标基准价计算方法：见评标办法前附表。</w:t>
      </w:r>
    </w:p>
    <w:p w14:paraId="6CC7EC17">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2.2.3 评标价的偏差率计算</w:t>
      </w:r>
    </w:p>
    <w:p w14:paraId="033234E0">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评标价的偏差率计算公式：见评标办法前附表。</w:t>
      </w:r>
    </w:p>
    <w:p w14:paraId="362C090F">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2.2.4 评分标准</w:t>
      </w:r>
    </w:p>
    <w:p w14:paraId="10492BEB">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（1）施工组织设计评分标准：见评标办法前附表；</w:t>
      </w:r>
    </w:p>
    <w:p w14:paraId="22E581D0">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（2）主要人员评分标准：见评标办法前附表；</w:t>
      </w:r>
    </w:p>
    <w:p w14:paraId="3B45669A">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（3）评标价评分标准：见评标办法前附表；</w:t>
      </w:r>
    </w:p>
    <w:p w14:paraId="7AF03F3C">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（4）其他因素评分标准：见评标办法前附表。</w:t>
      </w:r>
    </w:p>
    <w:p w14:paraId="032830CF">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3．评标程序</w:t>
      </w:r>
    </w:p>
    <w:p w14:paraId="15054860">
      <w:pPr>
        <w:spacing w:line="400" w:lineRule="exact"/>
        <w:ind w:firstLine="482" w:firstLineChars="200"/>
        <w:rPr>
          <w:rFonts w:hint="eastAsia" w:ascii="宋体" w:hAnsi="宋体" w:eastAsia="宋体" w:cs="宋体"/>
          <w:bCs/>
          <w:color w:val="auto"/>
          <w:sz w:val="24"/>
          <w:szCs w:val="24"/>
          <w:highlight w:val="none"/>
        </w:rPr>
      </w:pPr>
      <w:bookmarkStart w:id="376" w:name="_Toc16778803"/>
      <w:bookmarkStart w:id="377" w:name="_Toc82772071"/>
      <w:r>
        <w:rPr>
          <w:rFonts w:hint="eastAsia" w:ascii="宋体" w:hAnsi="宋体" w:eastAsia="宋体" w:cs="宋体"/>
          <w:b/>
          <w:bCs w:val="0"/>
          <w:color w:val="auto"/>
          <w:sz w:val="24"/>
          <w:szCs w:val="24"/>
          <w:highlight w:val="none"/>
          <w:lang w:val="en-US" w:eastAsia="zh-CN"/>
        </w:rPr>
        <w:t>3.1 第一个信封初步评审</w:t>
      </w:r>
      <w:r>
        <w:rPr>
          <w:rFonts w:hint="eastAsia" w:ascii="宋体" w:hAnsi="宋体" w:eastAsia="宋体" w:cs="宋体"/>
          <w:bCs/>
          <w:color w:val="auto"/>
          <w:sz w:val="24"/>
          <w:szCs w:val="24"/>
          <w:highlight w:val="none"/>
          <w:lang w:val="en-US" w:eastAsia="zh-CN"/>
        </w:rPr>
        <w:t xml:space="preserve"> </w:t>
      </w:r>
    </w:p>
    <w:p w14:paraId="1C01440D">
      <w:pPr>
        <w:spacing w:line="400" w:lineRule="exact"/>
        <w:ind w:firstLine="720" w:firstLineChars="3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3.1.1 评标委员会依据本章第 2.1 款规定的标准对投标文件第一个信封（商务及技术文件）进行初步评审。有一项不符合评审标准的，评标委员会应否决其投标。 </w:t>
      </w:r>
    </w:p>
    <w:p w14:paraId="059E389C">
      <w:pPr>
        <w:spacing w:line="400" w:lineRule="exact"/>
        <w:ind w:firstLine="482" w:firstLineChars="200"/>
        <w:rPr>
          <w:rFonts w:hint="eastAsia" w:ascii="宋体" w:hAnsi="宋体" w:eastAsia="宋体" w:cs="宋体"/>
          <w:b/>
          <w:bCs w:val="0"/>
          <w:color w:val="auto"/>
          <w:sz w:val="24"/>
          <w:szCs w:val="24"/>
          <w:highlight w:val="none"/>
          <w:lang w:val="en-US" w:eastAsia="zh-CN"/>
        </w:rPr>
      </w:pPr>
      <w:bookmarkStart w:id="378" w:name="_Toc14687"/>
      <w:bookmarkStart w:id="379" w:name="_Toc31366"/>
      <w:r>
        <w:rPr>
          <w:rFonts w:hint="eastAsia" w:ascii="宋体" w:hAnsi="宋体" w:eastAsia="宋体" w:cs="宋体"/>
          <w:b/>
          <w:bCs w:val="0"/>
          <w:color w:val="auto"/>
          <w:sz w:val="24"/>
          <w:szCs w:val="24"/>
          <w:highlight w:val="none"/>
          <w:lang w:val="en-US" w:eastAsia="zh-CN"/>
        </w:rPr>
        <w:t>3.2 第一个信封详细评审</w:t>
      </w:r>
      <w:bookmarkEnd w:id="378"/>
      <w:bookmarkEnd w:id="379"/>
      <w:r>
        <w:rPr>
          <w:rFonts w:hint="eastAsia" w:ascii="宋体" w:hAnsi="宋体" w:eastAsia="宋体" w:cs="宋体"/>
          <w:b/>
          <w:bCs w:val="0"/>
          <w:color w:val="auto"/>
          <w:sz w:val="24"/>
          <w:szCs w:val="24"/>
          <w:highlight w:val="none"/>
          <w:lang w:val="en-US" w:eastAsia="zh-CN"/>
        </w:rPr>
        <w:t xml:space="preserve"> </w:t>
      </w:r>
    </w:p>
    <w:p w14:paraId="4E2C5ACD">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3.2.1 评标委员会按本章第 2.2 款规定的量化因素和分值进行打分，并计算出各投标人的商务和技术得分。 </w:t>
      </w:r>
    </w:p>
    <w:p w14:paraId="59EB3037">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（1）按本章第2.2.4项（1）目规定的评审因素和分值对施工组织设计部分计算出得分A；</w:t>
      </w:r>
    </w:p>
    <w:p w14:paraId="6B112D92">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（2）按本章第2.2.4项（2）目规定的评审因素和分值对主要人员部分计算出得分B；</w:t>
      </w:r>
    </w:p>
    <w:p w14:paraId="67B9B3CB">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（3）按本章第2.2.4项（4）目规定的评审因素和分值对其他部分计算出得分D。</w:t>
      </w:r>
    </w:p>
    <w:p w14:paraId="6D1681B1">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3.2.2 投标人的商务和技术得分分值计算保留小数点后两位，小数点后第三位 “四舍五入” 。</w:t>
      </w:r>
    </w:p>
    <w:p w14:paraId="01FC0A3D">
      <w:pPr>
        <w:spacing w:line="400" w:lineRule="exact"/>
        <w:ind w:firstLine="720" w:firstLineChars="300"/>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3.2.3 投标人的商务和技术得分=A+B+D。</w:t>
      </w:r>
    </w:p>
    <w:p w14:paraId="4DBE7758">
      <w:pPr>
        <w:spacing w:line="40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3.3 第二个信封开标 </w:t>
      </w:r>
    </w:p>
    <w:p w14:paraId="4F0B5911">
      <w:pPr>
        <w:spacing w:line="400" w:lineRule="exact"/>
        <w:ind w:firstLine="720" w:firstLineChars="3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第一个信封（商务及技术文件）评审结束后，招标人将按照第二章“投标人须知”第 5.1 款规定的时间和地点对通过投标文件第一个信封（商务及技术文件）评审的投标文件第二个信封（报价文件）进行开标。 </w:t>
      </w:r>
    </w:p>
    <w:p w14:paraId="4DBC4027">
      <w:pPr>
        <w:spacing w:line="40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3.4第二个信封初步评审 </w:t>
      </w:r>
    </w:p>
    <w:p w14:paraId="746EA75C">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3.4.1 评标委员会依据本章第 2.1.1 项、第 2.1.3 项规定的评审标准对投标文件第二个信封 （报价文件）进行初步评审。有一项不符合评审标准的，评标委员会应否决其投标。 </w:t>
      </w:r>
    </w:p>
    <w:p w14:paraId="2BC36174">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3.4.2 投标报价有算术错误的，评标委员会按以下原则对投标报价进行修正，修正的价格经投标人确认后具有约束力。投标人不接受修正价格的，评标委员会应否决其投标。 </w:t>
      </w:r>
    </w:p>
    <w:p w14:paraId="50918591">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（1）投标文件中的大写金额与小写金额不一致的，以大写金额为准； </w:t>
      </w:r>
    </w:p>
    <w:p w14:paraId="5FF32696">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（2）总价金额与依据单价计算出的结果不一致的，以单价金额为准修正总价，但单价金额小数点有明显错误的除外; </w:t>
      </w:r>
    </w:p>
    <w:p w14:paraId="7ED9D13C">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（3）当单价与数量相乘不等于合价时，以单价计算为准，如果单价有明显的小数点位置差错，应以标出的合价为准，同时对单价予以修正； </w:t>
      </w:r>
    </w:p>
    <w:p w14:paraId="003BEF9A">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（4）当各子目的合价累计不等于总价时，应以各子目合价累计数为准，修正总价。 </w:t>
      </w:r>
    </w:p>
    <w:p w14:paraId="5B8928B9">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3.4.3 修正后的最终投标报价若超过最高投标限价（如有），评标委员会应否决其投标。 </w:t>
      </w:r>
    </w:p>
    <w:p w14:paraId="36B6D43C">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3.4.4 修正后的最终投标报价仅作为签订合同的一个依据，不参与评标价得分的计算。  </w:t>
      </w:r>
    </w:p>
    <w:p w14:paraId="4673F0FD">
      <w:pPr>
        <w:spacing w:line="40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3.5 第二个信封详细评审 </w:t>
      </w:r>
    </w:p>
    <w:p w14:paraId="4C2AF7BA">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3.5.1 评标委员会按本章第 2.2.4（3）目规定的评审因素和分值对评标价计算出得分C。评标价得分分值计算保留小数点后两位，小数点后第三位“四舍五入”。 </w:t>
      </w:r>
    </w:p>
    <w:p w14:paraId="5220482E">
      <w:pPr>
        <w:spacing w:line="400" w:lineRule="exact"/>
        <w:ind w:firstLine="720" w:firstLineChars="3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3.5.2 投标人综合得分=投标人的商务和技术得分+C。</w:t>
      </w:r>
    </w:p>
    <w:p w14:paraId="47691702">
      <w:pPr>
        <w:spacing w:line="400" w:lineRule="exact"/>
        <w:ind w:firstLine="720" w:firstLineChars="3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3.5.3 评标委员会发现投标人的报价明显低于其他投标报价，使得其投标报价可能低于其个别成本的，应要求该投标人作出说明并提供相应的证明材料。投标人不能合理说明或不能提供相应证明材料的，评标委员会应认定该投标人以低于成本报价竞标，并否决其投标。 </w:t>
      </w:r>
    </w:p>
    <w:p w14:paraId="5F1FF09C">
      <w:pPr>
        <w:spacing w:line="40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3.6 投标文件相关信息的核查 </w:t>
      </w:r>
    </w:p>
    <w:p w14:paraId="57FA4475">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3.6.1 评标委员会应对在评标过程中发现的投标人与投标人之间、投标人与招标人之间存在的串通投标的情形进行评审和认定。投标人存在串通投标、弄虚作假、行贿等违法行为的，评标委员会应否决其投标。 </w:t>
      </w:r>
    </w:p>
    <w:p w14:paraId="53E4635D">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（1）有下列情形之一的，属于投标人相互串通投标： </w:t>
      </w:r>
    </w:p>
    <w:p w14:paraId="51139B2A">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a.投标人之间协商投标报价等投标文件的实质性内容； </w:t>
      </w:r>
    </w:p>
    <w:p w14:paraId="309FAAB7">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b.投标人之间约定中标人； </w:t>
      </w:r>
    </w:p>
    <w:p w14:paraId="326BBE0C">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c.投标人之间约定部分投标人放弃投标或中标； </w:t>
      </w:r>
    </w:p>
    <w:p w14:paraId="1CA1375E">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d.属于同一集团、协会、商会等组织成员的投标人按照该组织要求协同投标； </w:t>
      </w:r>
    </w:p>
    <w:p w14:paraId="7316E12D">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e.投标人之间为谋取中标或排斥特定投标人而采取的其他联合行动。 </w:t>
      </w:r>
    </w:p>
    <w:p w14:paraId="64493FC7">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（2）有下列情形之一的，视为投标人相互串通投标：</w:t>
      </w:r>
    </w:p>
    <w:p w14:paraId="4E2BD28C">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a.不同投标人的投标文件由同一单位或个人编制； </w:t>
      </w:r>
    </w:p>
    <w:p w14:paraId="160F5A0A">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b.不同投标人委托同一单位或个人办理投标事宜； </w:t>
      </w:r>
    </w:p>
    <w:p w14:paraId="5613DD5D">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c.不同投标人的投标文件载明的项目管理成员为同一人； </w:t>
      </w:r>
    </w:p>
    <w:p w14:paraId="70D3B250">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d.不同投标人的投标文件异常一致或投标报价呈规律性差异； </w:t>
      </w:r>
    </w:p>
    <w:p w14:paraId="6B8B0055">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e.不同投标人的投标文件相互混装； </w:t>
      </w:r>
    </w:p>
    <w:p w14:paraId="5C57CC7C">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f.不同投标人的投标保证金从同一单位或个人的账户转出。 </w:t>
      </w:r>
    </w:p>
    <w:p w14:paraId="6265D1D0">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（3）有下列情形之一的，属于招标人与投标人串通投标： </w:t>
      </w:r>
    </w:p>
    <w:p w14:paraId="1C99BB91">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a.招标人在开标前开启投标文件并将有关信息泄露给其他投标人; </w:t>
      </w:r>
    </w:p>
    <w:p w14:paraId="3D8CE395">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b.招标人直接或间接向投标人泄露标底、评标委员会成员等信息； </w:t>
      </w:r>
    </w:p>
    <w:p w14:paraId="5DE7ECE7">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c.招标人明示或暗示投标人压低或抬高投标报价； </w:t>
      </w:r>
    </w:p>
    <w:p w14:paraId="03180BAD">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d.招标人授意投标人撤换、修改投标文件； </w:t>
      </w:r>
    </w:p>
    <w:p w14:paraId="05E3E899">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e.招标人明示或暗示投标人为特定投标人中标提供方便； </w:t>
      </w:r>
    </w:p>
    <w:p w14:paraId="552744CB">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f.招标人与投标人为谋求特定投标人中标而采取的其他串通行为。 </w:t>
      </w:r>
    </w:p>
    <w:p w14:paraId="0743EA37">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（4）投标人有下列情形之一的，属于弄虚作假的行为： </w:t>
      </w:r>
    </w:p>
    <w:p w14:paraId="3EBC1DA2">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a.使用通过受让或租借等方式获取的资格、资质证书投标； </w:t>
      </w:r>
    </w:p>
    <w:p w14:paraId="3D1E94B4">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b.使用伪造、变造的许可证件； </w:t>
      </w:r>
    </w:p>
    <w:p w14:paraId="12CE07AE">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c.提供虚假的财务状况或业绩； </w:t>
      </w:r>
    </w:p>
    <w:p w14:paraId="6E6DBB61">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d.提供虚假的项目负责人或主要技术人员简历、劳动关系证明； </w:t>
      </w:r>
    </w:p>
    <w:p w14:paraId="6B63A33D">
      <w:pPr>
        <w:spacing w:line="40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e.提供虚假的信用状况； </w:t>
      </w:r>
    </w:p>
    <w:p w14:paraId="1ACAE3AC">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f.其他弄虚作假的行为</w:t>
      </w:r>
      <w:bookmarkEnd w:id="376"/>
      <w:bookmarkEnd w:id="377"/>
      <w:r>
        <w:rPr>
          <w:rFonts w:hint="eastAsia" w:ascii="宋体" w:hAnsi="宋体" w:eastAsia="宋体" w:cs="宋体"/>
          <w:color w:val="auto"/>
          <w:sz w:val="24"/>
          <w:szCs w:val="24"/>
          <w:highlight w:val="none"/>
        </w:rPr>
        <w:t>。</w:t>
      </w:r>
      <w:bookmarkStart w:id="380" w:name="_Toc16778824"/>
      <w:bookmarkStart w:id="381" w:name="_Toc82772082"/>
    </w:p>
    <w:p w14:paraId="14FDA72F">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投标文件的澄清和说明</w:t>
      </w:r>
      <w:bookmarkEnd w:id="380"/>
      <w:bookmarkEnd w:id="381"/>
    </w:p>
    <w:p w14:paraId="731C608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3.7.1 在评标过程中，评标委员会可以书面形式要求投标人对投标文件中含义不明确的内容、 明显文字或计算错误进行书面澄清或说明。评标委员会不接受投标人主动提出的澄清、说明。投标人不按评标委员会要求澄清或说明的，评标委员会应否决其投标。 </w:t>
      </w:r>
    </w:p>
    <w:p w14:paraId="24EA09B1">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3.7.2 澄清和说明不得超出投标文件的范围或改变投标文件的实质性内容（算术性错误的修正除外）。投标人的书面澄清、说明属于投标文件的组成部分。 </w:t>
      </w:r>
    </w:p>
    <w:p w14:paraId="38E15A34">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3.7.3 评标委员会不得暗示或诱导投标人作出澄清、说明，对投标人提交的澄清、说明有疑问的，可以要求投标人进一步澄清或说明，直至满足评标委员会的要求。 </w:t>
      </w:r>
    </w:p>
    <w:p w14:paraId="1B06ACD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3.7.4 凡超出招标文件规定的或给发包人带来未曾要求的利益的变化、偏差或其他因素在评标时不予考虑。</w:t>
      </w:r>
    </w:p>
    <w:p w14:paraId="0BF74DFB">
      <w:pPr>
        <w:spacing w:line="400" w:lineRule="exact"/>
        <w:rPr>
          <w:rFonts w:hint="eastAsia" w:ascii="宋体" w:hAnsi="宋体" w:eastAsia="宋体" w:cs="宋体"/>
          <w:b/>
          <w:bCs/>
          <w:color w:val="auto"/>
          <w:sz w:val="24"/>
          <w:szCs w:val="24"/>
          <w:highlight w:val="none"/>
        </w:rPr>
      </w:pPr>
      <w:bookmarkStart w:id="382" w:name="_Toc82772083"/>
      <w:bookmarkStart w:id="383" w:name="_Toc16778825"/>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不得否决投标的情形</w:t>
      </w:r>
      <w:bookmarkEnd w:id="382"/>
      <w:bookmarkEnd w:id="383"/>
    </w:p>
    <w:p w14:paraId="7E94D73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投标文件存在第二章“投标人须知”第 1.12.3 项所列情形的，均视为细微偏差，评标委员会不得否决投标人的投标，应按照第二章“投标人须知”第 1.12.4 项规定的原则处理。</w:t>
      </w:r>
    </w:p>
    <w:p w14:paraId="02E12135">
      <w:pPr>
        <w:spacing w:line="400" w:lineRule="exact"/>
        <w:rPr>
          <w:rFonts w:hint="eastAsia" w:ascii="宋体" w:hAnsi="宋体" w:eastAsia="宋体" w:cs="宋体"/>
          <w:b/>
          <w:bCs/>
          <w:color w:val="auto"/>
          <w:sz w:val="24"/>
          <w:szCs w:val="24"/>
          <w:highlight w:val="none"/>
        </w:rPr>
      </w:pPr>
      <w:bookmarkStart w:id="384" w:name="_Toc82772084"/>
      <w:bookmarkStart w:id="385" w:name="_Toc16778826"/>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评标结果</w:t>
      </w:r>
      <w:bookmarkEnd w:id="384"/>
      <w:bookmarkEnd w:id="385"/>
    </w:p>
    <w:p w14:paraId="474F1177">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评标委员会完成评标后，应向招标人提交书面评标报告。评标报告应当由全体评标委员会成员签字。评标报告应当包括以下内容：</w:t>
      </w:r>
    </w:p>
    <w:p w14:paraId="71F49790">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（1）基本情况和数据表；</w:t>
      </w:r>
    </w:p>
    <w:p w14:paraId="06ED0540">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（2）评标委员会成员名单；</w:t>
      </w:r>
    </w:p>
    <w:p w14:paraId="196D4AA9">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（3）开标记录；</w:t>
      </w:r>
    </w:p>
    <w:p w14:paraId="41877332">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（4）符合要求的投标一览表；</w:t>
      </w:r>
    </w:p>
    <w:p w14:paraId="66E38A63">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（5）废标情况说明；</w:t>
      </w:r>
    </w:p>
    <w:p w14:paraId="4D460560">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（6）评标标准、评标方法或者评标因素一览表；</w:t>
      </w:r>
    </w:p>
    <w:p w14:paraId="570A4F3D">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（7）经评审的价格一览表（包括评标委员会在评标过程中所形成的所有记载评标结果、结论的表格、说明、记录等文件）；</w:t>
      </w:r>
    </w:p>
    <w:p w14:paraId="05855F7D">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（8）推荐的</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标候选人名单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评标报告应当载明每个中标候选人的特点、优势、缺点、风险等评审情况和推荐理由,并对技术、质量、安全、工期的控制能力等提供技术咨询建议,供定标委员会参考</w:t>
      </w:r>
      <w:r>
        <w:rPr>
          <w:rFonts w:hint="eastAsia" w:ascii="宋体" w:hAnsi="宋体" w:eastAsia="宋体" w:cs="宋体"/>
          <w:color w:val="auto"/>
          <w:sz w:val="24"/>
          <w:szCs w:val="24"/>
          <w:highlight w:val="none"/>
          <w:lang w:eastAsia="zh-CN"/>
        </w:rPr>
        <w:t>；</w:t>
      </w:r>
    </w:p>
    <w:p w14:paraId="48A292C9">
      <w:pPr>
        <w:keepNext w:val="0"/>
        <w:keepLines w:val="0"/>
        <w:pageBreakBefore w:val="0"/>
        <w:widowControl w:val="0"/>
        <w:kinsoku/>
        <w:wordWrap/>
        <w:overflowPunct/>
        <w:topLinePunct w:val="0"/>
        <w:autoSpaceDE/>
        <w:autoSpaceDN/>
        <w:bidi w:val="0"/>
        <w:adjustRightInd/>
        <w:snapToGrid/>
        <w:spacing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（9）澄清、说明或补正事项纪要。</w:t>
      </w:r>
    </w:p>
    <w:p w14:paraId="4C81AAFA">
      <w:pPr>
        <w:pStyle w:val="9"/>
        <w:rPr>
          <w:rFonts w:hint="default" w:ascii="宋体" w:hAns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cs="宋体"/>
          <w:color w:val="auto"/>
          <w:sz w:val="24"/>
          <w:szCs w:val="24"/>
          <w:highlight w:val="none"/>
          <w:lang w:val="en-US" w:eastAsia="zh-CN"/>
        </w:rPr>
        <w:t>10</w:t>
      </w:r>
      <w:r>
        <w:rPr>
          <w:rFonts w:hint="eastAsia" w:ascii="宋体" w:hAnsi="宋体" w:eastAsia="宋体" w:cs="宋体"/>
          <w:color w:val="auto"/>
          <w:sz w:val="24"/>
          <w:szCs w:val="24"/>
          <w:highlight w:val="none"/>
        </w:rPr>
        <w:t>）</w:t>
      </w:r>
      <w:r>
        <w:rPr>
          <w:rFonts w:hint="eastAsia" w:ascii="宋体" w:cs="宋体"/>
          <w:color w:val="auto"/>
          <w:sz w:val="24"/>
          <w:szCs w:val="24"/>
          <w:highlight w:val="none"/>
          <w:lang w:val="en-US" w:eastAsia="zh-CN"/>
        </w:rPr>
        <w:t>评标委员会需在评标报告中载明投标文件是否存在围标、串标的情况。</w:t>
      </w:r>
    </w:p>
    <w:p w14:paraId="251D896B">
      <w:pPr>
        <w:rPr>
          <w:rFonts w:hint="eastAsia" w:ascii="宋体" w:hAnsi="宋体" w:eastAsia="宋体" w:cs="宋体"/>
          <w:color w:val="auto"/>
          <w:sz w:val="24"/>
          <w:szCs w:val="24"/>
          <w:highlight w:val="none"/>
        </w:rPr>
      </w:pPr>
    </w:p>
    <w:p w14:paraId="6E2CD3BC">
      <w:pPr>
        <w:pStyle w:val="9"/>
        <w:rPr>
          <w:rFonts w:hint="eastAsia" w:ascii="宋体" w:hAnsi="宋体" w:eastAsia="宋体" w:cs="宋体"/>
          <w:color w:val="auto"/>
          <w:sz w:val="24"/>
          <w:szCs w:val="24"/>
          <w:highlight w:val="none"/>
        </w:rPr>
      </w:pPr>
    </w:p>
    <w:p w14:paraId="216D227C">
      <w:pPr>
        <w:rPr>
          <w:rFonts w:hint="eastAsia" w:ascii="宋体" w:hAnsi="宋体" w:eastAsia="宋体" w:cs="宋体"/>
          <w:color w:val="auto"/>
          <w:sz w:val="24"/>
          <w:szCs w:val="24"/>
          <w:highlight w:val="none"/>
        </w:rPr>
      </w:pPr>
    </w:p>
    <w:p w14:paraId="3E935DAA">
      <w:pPr>
        <w:pStyle w:val="9"/>
        <w:rPr>
          <w:rFonts w:hint="eastAsia" w:ascii="宋体" w:hAnsi="宋体" w:eastAsia="宋体" w:cs="宋体"/>
          <w:color w:val="auto"/>
          <w:sz w:val="24"/>
          <w:szCs w:val="24"/>
          <w:highlight w:val="none"/>
        </w:rPr>
      </w:pPr>
    </w:p>
    <w:p w14:paraId="44610287">
      <w:pPr>
        <w:rPr>
          <w:rFonts w:hint="eastAsia" w:ascii="宋体" w:hAnsi="宋体" w:eastAsia="宋体" w:cs="宋体"/>
          <w:color w:val="auto"/>
          <w:sz w:val="24"/>
          <w:szCs w:val="24"/>
          <w:highlight w:val="none"/>
        </w:rPr>
      </w:pPr>
    </w:p>
    <w:p w14:paraId="75447366">
      <w:pPr>
        <w:pStyle w:val="9"/>
        <w:rPr>
          <w:rFonts w:hint="eastAsia" w:ascii="宋体" w:hAnsi="宋体" w:eastAsia="宋体" w:cs="宋体"/>
          <w:color w:val="auto"/>
          <w:sz w:val="24"/>
          <w:szCs w:val="24"/>
          <w:highlight w:val="none"/>
        </w:rPr>
      </w:pPr>
    </w:p>
    <w:p w14:paraId="332E089B">
      <w:pPr>
        <w:rPr>
          <w:rFonts w:hint="eastAsia"/>
          <w:highlight w:val="none"/>
        </w:rPr>
      </w:pPr>
    </w:p>
    <w:p w14:paraId="507CF955">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 w:val="0"/>
          <w:bCs w:val="0"/>
          <w:color w:val="auto"/>
          <w:kern w:val="0"/>
          <w:sz w:val="24"/>
          <w:szCs w:val="24"/>
          <w:highlight w:val="none"/>
          <w:lang w:val="en-US" w:eastAsia="zh-CN"/>
        </w:rPr>
      </w:pPr>
    </w:p>
    <w:p w14:paraId="427B176F">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b w:val="0"/>
          <w:bCs w:val="0"/>
          <w:color w:val="auto"/>
          <w:kern w:val="0"/>
          <w:sz w:val="24"/>
          <w:szCs w:val="24"/>
          <w:highlight w:val="none"/>
          <w:lang w:val="en-US" w:eastAsia="zh-CN"/>
        </w:rPr>
      </w:pPr>
    </w:p>
    <w:p w14:paraId="013EFB2A">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24878678">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cs="Times New Roman"/>
          <w:b w:val="0"/>
          <w:bCs w:val="0"/>
          <w:color w:val="auto"/>
          <w:kern w:val="0"/>
          <w:sz w:val="24"/>
          <w:szCs w:val="24"/>
          <w:highlight w:val="none"/>
          <w:lang w:val="en-US" w:eastAsia="zh-CN"/>
        </w:rPr>
      </w:pPr>
    </w:p>
    <w:p w14:paraId="64D5FCC7">
      <w:pPr>
        <w:pStyle w:val="2"/>
        <w:keepNext/>
        <w:keepLines/>
        <w:pageBreakBefore w:val="0"/>
        <w:widowControl w:val="0"/>
        <w:numPr>
          <w:ilvl w:val="0"/>
          <w:numId w:val="0"/>
        </w:numPr>
        <w:kinsoku/>
        <w:wordWrap/>
        <w:overflowPunct/>
        <w:topLinePunct w:val="0"/>
        <w:autoSpaceDE/>
        <w:autoSpaceDN/>
        <w:bidi w:val="0"/>
        <w:adjustRightInd/>
        <w:snapToGrid/>
        <w:spacing w:before="0" w:beforeLines="1700"/>
        <w:jc w:val="center"/>
        <w:textAlignment w:val="auto"/>
        <w:outlineLvl w:val="0"/>
        <w:rPr>
          <w:rFonts w:hint="eastAsia" w:ascii="宋体" w:hAnsi="宋体" w:eastAsia="宋体" w:cs="Times New Roman"/>
          <w:b/>
          <w:color w:val="auto"/>
          <w:kern w:val="44"/>
          <w:sz w:val="48"/>
          <w:szCs w:val="48"/>
          <w:highlight w:val="none"/>
          <w:lang w:val="en-US" w:eastAsia="zh-CN" w:bidi="ar-SA"/>
        </w:rPr>
      </w:pPr>
      <w:bookmarkStart w:id="386" w:name="_Toc8343"/>
      <w:bookmarkStart w:id="387" w:name="_Toc323"/>
      <w:r>
        <w:rPr>
          <w:rFonts w:hint="eastAsia" w:ascii="宋体" w:hAnsi="宋体" w:eastAsia="宋体" w:cs="Times New Roman"/>
          <w:b/>
          <w:color w:val="auto"/>
          <w:kern w:val="44"/>
          <w:sz w:val="48"/>
          <w:szCs w:val="48"/>
          <w:highlight w:val="none"/>
          <w:lang w:val="en-US" w:eastAsia="zh-CN" w:bidi="ar-SA"/>
        </w:rPr>
        <w:t>第四章 定标办法（核查随机法）</w:t>
      </w:r>
      <w:bookmarkEnd w:id="386"/>
      <w:bookmarkEnd w:id="387"/>
    </w:p>
    <w:p w14:paraId="170EF4C2">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88" w:name="_Toc12050"/>
      <w:bookmarkStart w:id="389" w:name="_Toc4448"/>
      <w:r>
        <w:rPr>
          <w:rFonts w:hint="eastAsia" w:ascii="宋体" w:hAnsi="宋体" w:cs="宋体"/>
          <w:b/>
          <w:bCs/>
          <w:color w:val="auto"/>
          <w:sz w:val="24"/>
          <w:szCs w:val="32"/>
          <w:highlight w:val="none"/>
        </w:rPr>
        <w:t>一、定标依据</w:t>
      </w:r>
      <w:bookmarkEnd w:id="388"/>
      <w:bookmarkEnd w:id="389"/>
    </w:p>
    <w:p w14:paraId="6E86742A">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bookmarkStart w:id="390" w:name="OLE_LINK41"/>
      <w:r>
        <w:rPr>
          <w:rFonts w:hint="eastAsia" w:ascii="宋体" w:hAnsi="宋体" w:cs="宋体"/>
          <w:color w:val="auto"/>
          <w:sz w:val="24"/>
          <w:szCs w:val="24"/>
          <w:highlight w:val="none"/>
        </w:rPr>
        <w:t>本次定标办法的制定依据下列文件进行：</w:t>
      </w:r>
    </w:p>
    <w:p w14:paraId="28C24825">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1、《中华人民共和国招标投标法》；</w:t>
      </w:r>
    </w:p>
    <w:p w14:paraId="1070B611">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2、《国务院办公厅关于创新完善体制机制推动招标投标市场规范健康发展的意见》(国办发(2024) 21号)</w:t>
      </w:r>
    </w:p>
    <w:p w14:paraId="15300154">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3、《关于持续推进建筑业发展的十二条意见》(建市(2021)23号)；</w:t>
      </w:r>
    </w:p>
    <w:p w14:paraId="6AD8AEDA">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4、驻马店市发展和改革委员会关于贯彻落实《河南省发展和改革委员会关于印发&lt;河南省政府投资工程建设项目招标投标“评定分离”管理办法(试行)&gt;的通知》的通知；</w:t>
      </w:r>
    </w:p>
    <w:p w14:paraId="2E08E76E">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5、本项目招标文件；</w:t>
      </w:r>
    </w:p>
    <w:p w14:paraId="1938169D">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6、评标委员会推荐的中标候选人名单；</w:t>
      </w:r>
    </w:p>
    <w:p w14:paraId="13FB2E85">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7、招标投标全过程资料；</w:t>
      </w:r>
    </w:p>
    <w:p w14:paraId="4826CE83">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8、其他有关法律法规和相关制度。</w:t>
      </w:r>
    </w:p>
    <w:bookmarkEnd w:id="390"/>
    <w:p w14:paraId="4D25BF6B">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91" w:name="_Toc28603"/>
      <w:bookmarkStart w:id="392" w:name="_Toc22184"/>
      <w:r>
        <w:rPr>
          <w:rFonts w:hint="eastAsia" w:ascii="宋体" w:hAnsi="宋体" w:cs="宋体"/>
          <w:b/>
          <w:bCs/>
          <w:color w:val="auto"/>
          <w:sz w:val="24"/>
          <w:szCs w:val="32"/>
          <w:highlight w:val="none"/>
        </w:rPr>
        <w:t>二、定标原则</w:t>
      </w:r>
      <w:bookmarkEnd w:id="391"/>
      <w:bookmarkEnd w:id="392"/>
    </w:p>
    <w:p w14:paraId="2683C7D5">
      <w:pPr>
        <w:wordWrap w:val="0"/>
        <w:autoSpaceDE w:val="0"/>
        <w:autoSpaceDN w:val="0"/>
        <w:adjustRightInd w:val="0"/>
        <w:spacing w:line="420" w:lineRule="exact"/>
        <w:ind w:firstLine="480" w:firstLineChars="200"/>
        <w:rPr>
          <w:rFonts w:hint="eastAsia" w:ascii="宋体" w:hAnsi="宋体" w:cs="宋体"/>
          <w:color w:val="auto"/>
          <w:szCs w:val="21"/>
          <w:highlight w:val="none"/>
        </w:rPr>
      </w:pPr>
      <w:bookmarkStart w:id="393" w:name="OLE_LINK42"/>
      <w:r>
        <w:rPr>
          <w:rFonts w:hint="eastAsia" w:ascii="宋体" w:hAnsi="宋体" w:cs="宋体"/>
          <w:color w:val="auto"/>
          <w:sz w:val="24"/>
          <w:szCs w:val="24"/>
          <w:highlight w:val="none"/>
        </w:rPr>
        <w:t>遵循公开透明、竞争择优、科学规范、廉洁高效的原则</w:t>
      </w:r>
      <w:r>
        <w:rPr>
          <w:rFonts w:hint="eastAsia" w:ascii="宋体" w:hAnsi="宋体" w:cs="宋体"/>
          <w:color w:val="auto"/>
          <w:szCs w:val="21"/>
          <w:highlight w:val="none"/>
        </w:rPr>
        <w:t>。</w:t>
      </w:r>
      <w:bookmarkEnd w:id="393"/>
      <w:bookmarkStart w:id="394" w:name="_Toc31048"/>
    </w:p>
    <w:p w14:paraId="351188F2">
      <w:pPr>
        <w:wordWrap w:val="0"/>
        <w:spacing w:before="156" w:beforeLines="50" w:after="156" w:afterLines="50" w:line="420" w:lineRule="exact"/>
        <w:outlineLvl w:val="1"/>
        <w:rPr>
          <w:rFonts w:hint="default" w:ascii="宋体" w:hAnsi="宋体" w:eastAsia="宋体" w:cs="宋体"/>
          <w:b/>
          <w:bCs/>
          <w:color w:val="auto"/>
          <w:sz w:val="24"/>
          <w:szCs w:val="32"/>
          <w:highlight w:val="none"/>
          <w:lang w:val="en-US" w:eastAsia="zh-CN"/>
        </w:rPr>
      </w:pPr>
      <w:bookmarkStart w:id="395" w:name="_Toc16772"/>
      <w:r>
        <w:rPr>
          <w:rFonts w:hint="eastAsia" w:ascii="宋体" w:hAnsi="宋体" w:cs="宋体"/>
          <w:b/>
          <w:bCs/>
          <w:color w:val="auto"/>
          <w:sz w:val="24"/>
          <w:szCs w:val="32"/>
          <w:highlight w:val="none"/>
        </w:rPr>
        <w:t>三、定标方法</w:t>
      </w:r>
      <w:bookmarkEnd w:id="394"/>
      <w:bookmarkEnd w:id="395"/>
    </w:p>
    <w:p w14:paraId="155522CF">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bookmarkStart w:id="396" w:name="OLE_LINK43"/>
      <w:r>
        <w:rPr>
          <w:rFonts w:hint="eastAsia" w:ascii="宋体" w:hAnsi="宋体" w:cs="宋体"/>
          <w:color w:val="auto"/>
          <w:sz w:val="24"/>
          <w:szCs w:val="24"/>
          <w:highlight w:val="none"/>
        </w:rPr>
        <w:t>本项目定标方法采用核查随机法确定中标人。</w:t>
      </w:r>
    </w:p>
    <w:p w14:paraId="2D56BD3E">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eq \o\ac(</w:instrText>
      </w:r>
      <w:r>
        <w:rPr>
          <w:rFonts w:hint="eastAsia" w:ascii="宋体" w:hAnsi="宋体" w:cs="宋体"/>
          <w:color w:val="auto"/>
          <w:position w:val="-4"/>
          <w:sz w:val="36"/>
          <w:szCs w:val="24"/>
          <w:highlight w:val="none"/>
        </w:rPr>
        <w:instrText xml:space="preserve">□</w:instrText>
      </w:r>
      <w:r>
        <w:rPr>
          <w:rFonts w:hint="eastAsia" w:ascii="宋体" w:hAnsi="宋体" w:cs="宋体"/>
          <w:color w:val="auto"/>
          <w:position w:val="0"/>
          <w:sz w:val="24"/>
          <w:szCs w:val="24"/>
          <w:highlight w:val="none"/>
        </w:rPr>
        <w:instrText xml:space="preserve">,√)</w:instrTex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核查随机法:定标委员会在通过核查的中标候选人中按照随机选取方式确定中标人。</w:t>
      </w:r>
    </w:p>
    <w:bookmarkEnd w:id="396"/>
    <w:p w14:paraId="1C472424">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97" w:name="_Toc31431"/>
      <w:bookmarkStart w:id="398" w:name="_Toc18476"/>
      <w:r>
        <w:rPr>
          <w:rFonts w:hint="eastAsia" w:ascii="宋体" w:hAnsi="宋体" w:cs="宋体"/>
          <w:b/>
          <w:bCs/>
          <w:color w:val="auto"/>
          <w:sz w:val="24"/>
          <w:szCs w:val="32"/>
          <w:highlight w:val="none"/>
        </w:rPr>
        <w:t>四、定标委员会的组建</w:t>
      </w:r>
      <w:bookmarkEnd w:id="397"/>
      <w:bookmarkEnd w:id="398"/>
    </w:p>
    <w:p w14:paraId="6028CF9D">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定标委员会成员数量为5人及以上单数，招标人单位成员不得低于成员总数的三分之二。定标委员会组长由招标人确定，原则上由招标人的法定代表人、主要负责人或分管负责人担任，其他成员可由招标人自行选定定标委员会成员与中标候选人有利害关系的，应当主动申请回避。定标委员会名单在中标结果确定前应当保密。</w:t>
      </w:r>
    </w:p>
    <w:p w14:paraId="593790EC">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定标委员会成员应当对定标过程保密，对所提出的定标意见承担个人责任，不得私下与投标人或者其他利害关系人接触。</w:t>
      </w:r>
    </w:p>
    <w:p w14:paraId="48AA0E3D">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有下列情况之一的，不得担任定标委员会成员：</w:t>
      </w:r>
    </w:p>
    <w:p w14:paraId="0F7457B5">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1.与中标候选人或中标候选人主要负责人有近亲属关系或有经济利益关系的，可能影响定标公正的；</w:t>
      </w:r>
    </w:p>
    <w:p w14:paraId="6128ED0C">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2.曾因在招标投标有关活动中从事违法行为而受过行政处罚或刑事处罚的；</w:t>
      </w:r>
    </w:p>
    <w:p w14:paraId="56EEE196">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3.中标候选人的在职人员或招标项目代理机构的在职人员。</w:t>
      </w:r>
    </w:p>
    <w:p w14:paraId="5FDFB619">
      <w:pPr>
        <w:wordWrap w:val="0"/>
        <w:spacing w:before="156" w:beforeLines="50" w:after="156" w:afterLines="50" w:line="420" w:lineRule="exact"/>
        <w:outlineLvl w:val="1"/>
        <w:rPr>
          <w:rFonts w:hint="eastAsia" w:ascii="宋体" w:hAnsi="宋体" w:cs="宋体"/>
          <w:b/>
          <w:bCs/>
          <w:color w:val="auto"/>
          <w:sz w:val="24"/>
          <w:szCs w:val="32"/>
          <w:highlight w:val="none"/>
        </w:rPr>
      </w:pPr>
      <w:bookmarkStart w:id="399" w:name="_Toc9111"/>
      <w:bookmarkStart w:id="400" w:name="_Toc28259"/>
      <w:r>
        <w:rPr>
          <w:rFonts w:hint="eastAsia" w:ascii="宋体" w:hAnsi="宋体" w:cs="宋体"/>
          <w:b/>
          <w:bCs/>
          <w:color w:val="auto"/>
          <w:sz w:val="24"/>
          <w:szCs w:val="32"/>
          <w:highlight w:val="none"/>
        </w:rPr>
        <w:t>五、定标核查</w:t>
      </w:r>
      <w:bookmarkEnd w:id="399"/>
      <w:bookmarkEnd w:id="400"/>
    </w:p>
    <w:p w14:paraId="41CDF692">
      <w:pPr>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5.1定标委员会将对中标候选人进行定标核查。</w:t>
      </w:r>
    </w:p>
    <w:p w14:paraId="3C7C952C">
      <w:pPr>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核查内容包括：</w:t>
      </w:r>
    </w:p>
    <w:p w14:paraId="1884165C">
      <w:pPr>
        <w:spacing w:line="420" w:lineRule="exact"/>
        <w:ind w:firstLine="480" w:firstLineChars="200"/>
        <w:rPr>
          <w:rFonts w:hint="eastAsia" w:ascii="宋体" w:hAnsi="宋体" w:eastAsia="宋体" w:cs="宋体"/>
          <w:color w:val="auto"/>
          <w:sz w:val="24"/>
          <w:szCs w:val="24"/>
          <w:highlight w:val="none"/>
          <w:lang w:eastAsia="zh-CN"/>
        </w:rPr>
      </w:pPr>
      <w:r>
        <w:rPr>
          <w:rFonts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1</w:t>
      </w:r>
      <w:r>
        <w:rPr>
          <w:rFonts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企业</w:t>
      </w:r>
      <w:r>
        <w:rPr>
          <w:rFonts w:hint="eastAsia" w:ascii="宋体" w:hAnsi="宋体" w:eastAsia="宋体" w:cs="宋体"/>
          <w:color w:val="auto"/>
          <w:sz w:val="24"/>
          <w:szCs w:val="24"/>
          <w:highlight w:val="none"/>
          <w:lang w:val="en-US" w:eastAsia="zh-CN"/>
        </w:rPr>
        <w:t>信用</w:t>
      </w:r>
    </w:p>
    <w:p w14:paraId="4B40A028">
      <w:pPr>
        <w:numPr>
          <w:ilvl w:val="0"/>
          <w:numId w:val="0"/>
        </w:numPr>
        <w:spacing w:line="42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对属于失信被执行人、被列入严重违法失信企业名单的投标人将被拒绝参与投标。通过“信用中国”跳转至“中国执行信息公开网”（http://zxgk.court.gov.cn/shixin/）查询投标人、法定代表人、项目经理是否为失信被执行人，在国家企业信用信息公示系统（http://www.gsxt.gov.cn/）中查询投标人是否被列入严重违法失信企业名单。</w:t>
      </w:r>
    </w:p>
    <w:p w14:paraId="47EC2DC1">
      <w:pPr>
        <w:numPr>
          <w:ilvl w:val="0"/>
          <w:numId w:val="0"/>
        </w:numPr>
        <w:spacing w:line="42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2）凡是被列入全国或省级建筑市场监管公共服务平台“黑名单”的，依法拒绝其参与本次投标。</w:t>
      </w:r>
    </w:p>
    <w:p w14:paraId="16BDF2C5">
      <w:pPr>
        <w:numPr>
          <w:ilvl w:val="0"/>
          <w:numId w:val="0"/>
        </w:numPr>
        <w:spacing w:line="42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3）投标所用资质项在全国或省级建筑市场监管公共服务平台资质状况被标注资质异常状态的（投标人），拒绝参与本项目招投标活动。</w:t>
      </w:r>
    </w:p>
    <w:p w14:paraId="08AA51FE">
      <w:pPr>
        <w:numPr>
          <w:ilvl w:val="0"/>
          <w:numId w:val="0"/>
        </w:numPr>
        <w:spacing w:line="420" w:lineRule="exact"/>
        <w:ind w:firstLine="480" w:firstLineChars="200"/>
        <w:rPr>
          <w:rFonts w:ascii="宋体" w:hAnsi="宋体" w:cs="宋体"/>
          <w:color w:val="auto"/>
          <w:kern w:val="0"/>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单位负责人</w:t>
      </w:r>
      <w:r>
        <w:rPr>
          <w:rFonts w:hint="eastAsia" w:ascii="宋体" w:hAnsi="宋体" w:cs="宋体"/>
          <w:color w:val="auto"/>
          <w:kern w:val="0"/>
          <w:sz w:val="24"/>
          <w:szCs w:val="24"/>
          <w:highlight w:val="none"/>
        </w:rPr>
        <w:t>为同一人或者存在控股、管理关系的不同单位，不得同时参加本项目投标</w:t>
      </w:r>
      <w:r>
        <w:rPr>
          <w:rFonts w:hint="eastAsia" w:ascii="宋体" w:hAnsi="宋体" w:cs="宋体"/>
          <w:color w:val="auto"/>
          <w:sz w:val="24"/>
          <w:szCs w:val="24"/>
          <w:highlight w:val="none"/>
        </w:rPr>
        <w:t>（提供加盖投标人公章的“国家企业信用信息公示系统”中公示的公司信息、股东或投资人相关信息）</w:t>
      </w:r>
      <w:r>
        <w:rPr>
          <w:rFonts w:hint="eastAsia" w:ascii="宋体" w:hAnsi="宋体" w:cs="宋体"/>
          <w:color w:val="auto"/>
          <w:kern w:val="0"/>
          <w:sz w:val="24"/>
          <w:szCs w:val="24"/>
          <w:highlight w:val="none"/>
        </w:rPr>
        <w:t>。</w:t>
      </w:r>
    </w:p>
    <w:p w14:paraId="26307EA6">
      <w:pPr>
        <w:numPr>
          <w:ilvl w:val="0"/>
          <w:numId w:val="0"/>
        </w:numPr>
        <w:spacing w:line="360" w:lineRule="auto"/>
        <w:ind w:firstLine="480" w:firstLineChars="200"/>
        <w:rPr>
          <w:rFonts w:hint="eastAsia" w:ascii="宋体" w:hAnsi="宋体" w:eastAsia="宋体" w:cs="宋体"/>
          <w:color w:val="auto"/>
          <w:sz w:val="24"/>
          <w:szCs w:val="24"/>
          <w:highlight w:val="none"/>
          <w:lang w:eastAsia="zh-CN"/>
        </w:rPr>
      </w:pPr>
      <w:r>
        <w:rPr>
          <w:rFonts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2</w:t>
      </w:r>
      <w:r>
        <w:rPr>
          <w:rFonts w:ascii="宋体" w:hAnsi="宋体" w:eastAsia="宋体" w:cs="宋体"/>
          <w:color w:val="auto"/>
          <w:kern w:val="2"/>
          <w:sz w:val="24"/>
          <w:szCs w:val="24"/>
          <w:highlight w:val="none"/>
          <w:lang w:val="en-US" w:eastAsia="zh-CN" w:bidi="ar-SA"/>
        </w:rPr>
        <w:t>）</w:t>
      </w:r>
      <w:r>
        <w:rPr>
          <w:rFonts w:hint="eastAsia" w:ascii="宋体" w:hAnsi="宋体" w:cs="宋体"/>
          <w:color w:val="auto"/>
          <w:sz w:val="24"/>
          <w:szCs w:val="24"/>
          <w:highlight w:val="none"/>
        </w:rPr>
        <w:t>营业执照、资质证书；</w:t>
      </w:r>
      <w:r>
        <w:rPr>
          <w:rFonts w:hint="eastAsia" w:ascii="宋体" w:hAnsi="宋体" w:eastAsia="宋体" w:cs="宋体"/>
          <w:color w:val="auto"/>
          <w:sz w:val="24"/>
          <w:szCs w:val="24"/>
          <w:highlight w:val="none"/>
        </w:rPr>
        <w:t>安全生产许可证</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w:t>
      </w:r>
    </w:p>
    <w:p w14:paraId="6F61922A">
      <w:pPr>
        <w:wordWrap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（3）项目负责人</w:t>
      </w:r>
      <w:r>
        <w:rPr>
          <w:rFonts w:hint="eastAsia" w:ascii="宋体" w:hAnsi="宋体" w:cs="宋体"/>
          <w:color w:val="auto"/>
          <w:sz w:val="24"/>
          <w:szCs w:val="24"/>
          <w:highlight w:val="none"/>
          <w:lang w:val="en-US" w:eastAsia="zh-CN"/>
        </w:rPr>
        <w:t>注册证书</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职称证</w:t>
      </w:r>
      <w:r>
        <w:rPr>
          <w:rFonts w:hint="eastAsia" w:ascii="宋体" w:hAnsi="宋体" w:cs="宋体"/>
          <w:color w:val="000000" w:themeColor="text1"/>
          <w:sz w:val="24"/>
          <w:szCs w:val="24"/>
          <w:highlight w:val="none"/>
          <w:lang w:val="en-US" w:eastAsia="zh-CN"/>
          <w14:textFill>
            <w14:solidFill>
              <w14:schemeClr w14:val="tx1"/>
            </w14:solidFill>
          </w14:textFill>
        </w:rPr>
        <w:t>及安全</w:t>
      </w:r>
      <w:r>
        <w:rPr>
          <w:rFonts w:hint="eastAsia" w:ascii="宋体" w:hAnsi="宋体" w:cs="宋体"/>
          <w:color w:val="auto"/>
          <w:sz w:val="24"/>
          <w:szCs w:val="24"/>
          <w:highlight w:val="none"/>
          <w:lang w:val="en-US" w:eastAsia="zh-CN"/>
        </w:rPr>
        <w:t>生产考核合格证，</w:t>
      </w:r>
      <w:r>
        <w:rPr>
          <w:rFonts w:hint="eastAsia" w:ascii="宋体" w:hAnsi="宋体" w:eastAsia="宋体" w:cs="宋体"/>
          <w:color w:val="auto"/>
          <w:kern w:val="2"/>
          <w:sz w:val="24"/>
          <w:szCs w:val="24"/>
          <w:highlight w:val="none"/>
          <w:lang w:val="en-US" w:eastAsia="zh-CN" w:bidi="ar-SA"/>
        </w:rPr>
        <w:t>项目总工职称证</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rPr>
        <w:t>项目组人员相关</w:t>
      </w:r>
      <w:r>
        <w:rPr>
          <w:rFonts w:hint="eastAsia" w:ascii="宋体" w:hAnsi="宋体" w:eastAsia="宋体" w:cs="宋体"/>
          <w:color w:val="auto"/>
          <w:sz w:val="24"/>
          <w:szCs w:val="24"/>
          <w:highlight w:val="none"/>
          <w:lang w:eastAsia="zh-CN"/>
        </w:rPr>
        <w:t>从业</w:t>
      </w:r>
      <w:r>
        <w:rPr>
          <w:rFonts w:hint="eastAsia" w:ascii="宋体" w:hAnsi="宋体" w:eastAsia="宋体" w:cs="宋体"/>
          <w:color w:val="auto"/>
          <w:sz w:val="24"/>
          <w:szCs w:val="24"/>
          <w:highlight w:val="none"/>
        </w:rPr>
        <w:t>资格证书</w:t>
      </w:r>
      <w:r>
        <w:rPr>
          <w:rFonts w:hint="eastAsia" w:ascii="宋体" w:hAnsi="宋体" w:cs="宋体"/>
          <w:color w:val="auto"/>
          <w:sz w:val="24"/>
          <w:szCs w:val="24"/>
          <w:highlight w:val="none"/>
        </w:rPr>
        <w:t>。</w:t>
      </w:r>
    </w:p>
    <w:p w14:paraId="2562853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（4）社保证明：项目负责人、</w:t>
      </w:r>
      <w:r>
        <w:rPr>
          <w:rFonts w:hint="eastAsia" w:ascii="宋体" w:hAnsi="宋体" w:eastAsia="宋体" w:cs="宋体"/>
          <w:color w:val="auto"/>
          <w:kern w:val="2"/>
          <w:sz w:val="24"/>
          <w:szCs w:val="24"/>
          <w:highlight w:val="none"/>
          <w:lang w:val="en-US" w:eastAsia="zh-CN" w:bidi="ar-SA"/>
        </w:rPr>
        <w:t>项目总工、</w:t>
      </w:r>
      <w:r>
        <w:rPr>
          <w:rFonts w:hint="eastAsia" w:ascii="宋体" w:hAnsi="宋体" w:cs="宋体"/>
          <w:color w:val="auto"/>
          <w:sz w:val="24"/>
          <w:szCs w:val="24"/>
          <w:highlight w:val="none"/>
        </w:rPr>
        <w:t>项目组成人员</w:t>
      </w:r>
      <w:r>
        <w:rPr>
          <w:rFonts w:hint="eastAsia" w:ascii="宋体" w:hAnsi="宋体" w:cs="宋体"/>
          <w:color w:val="auto"/>
          <w:sz w:val="24"/>
          <w:szCs w:val="24"/>
          <w:highlight w:val="none"/>
          <w:lang w:eastAsia="zh-CN"/>
        </w:rPr>
        <w:t>。</w:t>
      </w:r>
    </w:p>
    <w:p w14:paraId="6E356384">
      <w:pPr>
        <w:pStyle w:val="32"/>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（5）施工方案:重点、关键和难点工程的施工方案、工期保证措施、关键工程质量保证措施、安全保证措施、环境保护、水土保持、文明施工、文物保护保证措施等</w:t>
      </w:r>
      <w:r>
        <w:rPr>
          <w:rFonts w:hint="eastAsia" w:hAnsi="宋体" w:cs="宋体"/>
          <w:color w:val="auto"/>
          <w:kern w:val="2"/>
          <w:sz w:val="24"/>
          <w:szCs w:val="24"/>
          <w:highlight w:val="none"/>
          <w:lang w:val="en-US" w:eastAsia="zh-CN" w:bidi="ar-SA"/>
        </w:rPr>
        <w:t>。</w:t>
      </w:r>
    </w:p>
    <w:p w14:paraId="27838B0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）财务状况；</w:t>
      </w:r>
    </w:p>
    <w:p w14:paraId="500E99B5">
      <w:pPr>
        <w:pStyle w:val="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 xml:space="preserve">）企业业绩； </w:t>
      </w:r>
    </w:p>
    <w:p w14:paraId="4C2BFB86">
      <w:pPr>
        <w:keepNext w:val="0"/>
        <w:keepLines w:val="0"/>
        <w:pageBreakBefore w:val="0"/>
        <w:widowControl w:val="0"/>
        <w:kinsoku/>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）招标人认为需考量的其他要素。</w:t>
      </w:r>
    </w:p>
    <w:p w14:paraId="0ED4BA1C">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5.2 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w:t>
      </w:r>
    </w:p>
    <w:p w14:paraId="541E003F">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5.3 核查内容不得设置不合理限制和隐性壁垒。</w:t>
      </w:r>
    </w:p>
    <w:p w14:paraId="05EA613D">
      <w:pPr>
        <w:wordWrap w:val="0"/>
        <w:autoSpaceDE w:val="0"/>
        <w:autoSpaceDN w:val="0"/>
        <w:adjustRightInd w:val="0"/>
        <w:spacing w:line="42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sz w:val="24"/>
          <w:szCs w:val="24"/>
          <w:highlight w:val="none"/>
        </w:rPr>
        <w:t>5.4 定标委员会经核查发现中标候选人确有弄虚作假、串通投标等情形的，应当否决相应中标候选人的中标资格，并及</w:t>
      </w:r>
      <w:r>
        <w:rPr>
          <w:rFonts w:hint="eastAsia" w:ascii="宋体" w:hAnsi="宋体" w:cs="宋体"/>
          <w:color w:val="000000" w:themeColor="text1"/>
          <w:sz w:val="24"/>
          <w:szCs w:val="24"/>
          <w:highlight w:val="none"/>
          <w14:textFill>
            <w14:solidFill>
              <w14:schemeClr w14:val="tx1"/>
            </w14:solidFill>
          </w14:textFill>
        </w:rPr>
        <w:t>时向行政监督部门报告</w:t>
      </w:r>
      <w:r>
        <w:rPr>
          <w:rFonts w:hint="eastAsia" w:ascii="宋体" w:hAnsi="宋体" w:cs="宋体"/>
          <w:color w:val="000000" w:themeColor="text1"/>
          <w:sz w:val="24"/>
          <w:szCs w:val="24"/>
          <w:highlight w:val="none"/>
          <w:lang w:eastAsia="zh-CN"/>
          <w14:textFill>
            <w14:solidFill>
              <w14:schemeClr w14:val="tx1"/>
            </w14:solidFill>
          </w14:textFill>
        </w:rPr>
        <w:t>，并</w:t>
      </w:r>
      <w:r>
        <w:rPr>
          <w:rFonts w:hint="eastAsia" w:ascii="宋体" w:hAnsi="宋体" w:cs="宋体"/>
          <w:color w:val="auto"/>
          <w:sz w:val="24"/>
          <w:szCs w:val="24"/>
          <w:highlight w:val="none"/>
          <w:lang w:eastAsia="zh-CN"/>
        </w:rPr>
        <w:t>依规否决相应中标候选人资格，同时向该候选人书面说明。</w:t>
      </w:r>
    </w:p>
    <w:p w14:paraId="741C947D">
      <w:pPr>
        <w:wordWrap w:val="0"/>
        <w:spacing w:before="156" w:beforeLines="50" w:after="156" w:afterLines="50" w:line="420" w:lineRule="exact"/>
        <w:outlineLvl w:val="1"/>
        <w:rPr>
          <w:rFonts w:hint="eastAsia" w:ascii="宋体" w:hAnsi="宋体" w:eastAsia="宋体" w:cs="宋体"/>
          <w:b/>
          <w:bCs/>
          <w:color w:val="auto"/>
          <w:sz w:val="24"/>
          <w:szCs w:val="32"/>
          <w:highlight w:val="none"/>
          <w:lang w:eastAsia="zh-CN"/>
        </w:rPr>
      </w:pPr>
      <w:bookmarkStart w:id="401" w:name="_Toc11203"/>
      <w:bookmarkStart w:id="402" w:name="_Toc23939"/>
      <w:bookmarkStart w:id="403" w:name="_Toc18959"/>
      <w:r>
        <w:rPr>
          <w:rFonts w:hint="eastAsia" w:ascii="宋体" w:hAnsi="宋体" w:cs="宋体"/>
          <w:b/>
          <w:bCs/>
          <w:color w:val="auto"/>
          <w:sz w:val="24"/>
          <w:szCs w:val="32"/>
          <w:highlight w:val="none"/>
        </w:rPr>
        <w:t>六、定标</w:t>
      </w:r>
      <w:r>
        <w:rPr>
          <w:rFonts w:hint="eastAsia" w:ascii="宋体" w:hAnsi="宋体" w:cs="宋体"/>
          <w:b/>
          <w:bCs/>
          <w:color w:val="auto"/>
          <w:sz w:val="24"/>
          <w:szCs w:val="32"/>
          <w:highlight w:val="none"/>
          <w:lang w:val="en-US" w:eastAsia="zh-CN"/>
        </w:rPr>
        <w:t>会议</w:t>
      </w:r>
      <w:r>
        <w:rPr>
          <w:rFonts w:hint="eastAsia" w:ascii="宋体" w:hAnsi="宋体" w:cs="宋体"/>
          <w:b/>
          <w:bCs/>
          <w:color w:val="auto"/>
          <w:sz w:val="24"/>
          <w:szCs w:val="32"/>
          <w:highlight w:val="none"/>
        </w:rPr>
        <w:t>程序</w:t>
      </w:r>
      <w:bookmarkEnd w:id="401"/>
      <w:bookmarkEnd w:id="402"/>
      <w:bookmarkEnd w:id="403"/>
    </w:p>
    <w:p w14:paraId="718F791F">
      <w:pPr>
        <w:pStyle w:val="32"/>
        <w:wordWrap w:val="0"/>
        <w:spacing w:line="4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 xml:space="preserve">定标委员会将通过核查随机法进行定标。 </w:t>
      </w:r>
    </w:p>
    <w:p w14:paraId="76713E6E">
      <w:pPr>
        <w:pStyle w:val="32"/>
        <w:wordWrap w:val="0"/>
        <w:spacing w:line="4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定标地点为</w:t>
      </w:r>
      <w:r>
        <w:rPr>
          <w:rFonts w:hint="eastAsia" w:hAnsi="宋体" w:cs="宋体"/>
          <w:color w:val="auto"/>
          <w:sz w:val="24"/>
          <w:szCs w:val="24"/>
          <w:highlight w:val="none"/>
          <w:lang w:val="en-US" w:eastAsia="zh-CN"/>
        </w:rPr>
        <w:t>新蔡县</w:t>
      </w:r>
      <w:r>
        <w:rPr>
          <w:rFonts w:hint="eastAsia" w:hAnsi="宋体" w:cs="宋体"/>
          <w:color w:val="auto"/>
          <w:sz w:val="24"/>
          <w:szCs w:val="24"/>
          <w:highlight w:val="none"/>
        </w:rPr>
        <w:t>公共资源交易中心，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06D6AB9D">
      <w:pPr>
        <w:pStyle w:val="32"/>
        <w:wordWrap w:val="0"/>
        <w:spacing w:line="4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1、在定标现场放置标注为“1”、“2”的2组自然数代码球.</w:t>
      </w:r>
    </w:p>
    <w:p w14:paraId="404A27E7">
      <w:pPr>
        <w:pStyle w:val="32"/>
        <w:wordWrap w:val="0"/>
        <w:spacing w:line="4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2、第一轮随机确定选用的代码球组号：在</w:t>
      </w:r>
      <w:r>
        <w:rPr>
          <w:rFonts w:hint="eastAsia" w:hAnsi="宋体" w:cs="宋体"/>
          <w:color w:val="auto"/>
          <w:sz w:val="24"/>
          <w:szCs w:val="24"/>
          <w:highlight w:val="none"/>
          <w:lang w:val="en-US" w:eastAsia="zh-CN"/>
        </w:rPr>
        <w:t>摇号机</w:t>
      </w:r>
      <w:r>
        <w:rPr>
          <w:rFonts w:hint="eastAsia" w:hAnsi="宋体" w:cs="宋体"/>
          <w:color w:val="auto"/>
          <w:sz w:val="24"/>
          <w:szCs w:val="24"/>
          <w:highlight w:val="none"/>
        </w:rPr>
        <w:t>内放入2个标注为“1”、“2”的代码球，从中随机选取1个代码球，选取代码球数字即为本次定标选用的代码球组号。</w:t>
      </w:r>
    </w:p>
    <w:p w14:paraId="43D75F91">
      <w:pPr>
        <w:pStyle w:val="32"/>
        <w:wordWrap w:val="0"/>
        <w:spacing w:line="4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3、第二轮随机确定抽取顺序：在抽取箱放入标有从1到N自然数的乒乓球（N为经评审合格的中标候选人数），由中标候选人抽取代码球，代码球上的数字对应为相应中标候选人。</w:t>
      </w:r>
    </w:p>
    <w:p w14:paraId="240AD39F">
      <w:pPr>
        <w:pStyle w:val="32"/>
        <w:wordWrap w:val="0"/>
        <w:spacing w:line="4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4、第三轮随机选取中标人：在</w:t>
      </w:r>
      <w:r>
        <w:rPr>
          <w:rFonts w:hint="eastAsia" w:hAnsi="宋体" w:cs="宋体"/>
          <w:color w:val="auto"/>
          <w:sz w:val="24"/>
          <w:szCs w:val="24"/>
          <w:highlight w:val="none"/>
          <w:lang w:val="en-US" w:eastAsia="zh-CN"/>
        </w:rPr>
        <w:t>摇号机</w:t>
      </w:r>
      <w:r>
        <w:rPr>
          <w:rFonts w:hint="eastAsia" w:hAnsi="宋体" w:cs="宋体"/>
          <w:color w:val="auto"/>
          <w:sz w:val="24"/>
          <w:szCs w:val="24"/>
          <w:highlight w:val="none"/>
        </w:rPr>
        <w:t>内放入N 个代码球，定标委员会组长从中随机抽取1个代码球，抽中代码球对应的中标候选人即为中标人。</w:t>
      </w:r>
    </w:p>
    <w:p w14:paraId="66141307">
      <w:pPr>
        <w:pStyle w:val="32"/>
        <w:wordWrap w:val="0"/>
        <w:spacing w:line="4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5、招标人授权的定标委员会代表将中标候选人对应的代码球和抽取结果进行记录，并由招标人授权的定标委员会和监督部门、公证部门（如邀请）进行签字确认。</w:t>
      </w:r>
    </w:p>
    <w:p w14:paraId="12A5FFA0">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7000931D">
      <w:pPr>
        <w:wordWrap w:val="0"/>
        <w:autoSpaceDE w:val="0"/>
        <w:autoSpaceDN w:val="0"/>
        <w:adjustRightInd w:val="0"/>
        <w:spacing w:line="420" w:lineRule="exact"/>
        <w:outlineLvl w:val="1"/>
        <w:rPr>
          <w:rFonts w:hint="eastAsia" w:ascii="宋体" w:hAnsi="宋体" w:eastAsia="宋体" w:cs="宋体"/>
          <w:b/>
          <w:bCs/>
          <w:color w:val="auto"/>
          <w:sz w:val="24"/>
          <w:szCs w:val="24"/>
          <w:highlight w:val="none"/>
        </w:rPr>
      </w:pPr>
      <w:bookmarkStart w:id="404" w:name="_Toc16119"/>
      <w:bookmarkStart w:id="405" w:name="_Toc21472"/>
      <w:bookmarkStart w:id="406" w:name="_Toc27971"/>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定标报告</w:t>
      </w:r>
    </w:p>
    <w:p w14:paraId="25205265">
      <w:pPr>
        <w:wordWrap w:val="0"/>
        <w:autoSpaceDE w:val="0"/>
        <w:autoSpaceDN w:val="0"/>
        <w:adjustRightInd w:val="0"/>
        <w:spacing w:line="420" w:lineRule="exact"/>
        <w:ind w:firstLine="480" w:firstLineChars="200"/>
        <w:outlineLvl w:val="1"/>
        <w:rPr>
          <w:rFonts w:hint="eastAsia" w:ascii="宋体" w:hAnsi="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p w14:paraId="3AB84702">
      <w:pPr>
        <w:wordWrap w:val="0"/>
        <w:autoSpaceDE w:val="0"/>
        <w:autoSpaceDN w:val="0"/>
        <w:adjustRightInd w:val="0"/>
        <w:spacing w:line="420" w:lineRule="exact"/>
        <w:ind w:firstLine="480" w:firstLineChars="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招标人应当在定标工作完成后3日内发布中标结果公示，公示期不少于3日。</w:t>
      </w:r>
      <w:r>
        <w:rPr>
          <w:rFonts w:hint="eastAsia" w:ascii="宋体" w:hAnsi="宋体" w:cs="宋体"/>
          <w:color w:val="auto"/>
          <w:sz w:val="24"/>
          <w:szCs w:val="24"/>
          <w:highlight w:val="none"/>
          <w:lang w:val="en-US" w:eastAsia="zh-CN"/>
        </w:rPr>
        <w:t>公示媒介：《驻马店市公共资源交易平台》、《中国招标投标公共服务平台》、《河南省政府采购网》、</w:t>
      </w:r>
      <w:r>
        <w:rPr>
          <w:rFonts w:hint="eastAsia" w:ascii="宋体" w:hAnsi="宋体" w:eastAsia="宋体" w:cs="宋体"/>
          <w:color w:val="000000"/>
          <w:kern w:val="2"/>
          <w:sz w:val="21"/>
          <w:szCs w:val="21"/>
          <w:highlight w:val="none"/>
          <w:lang w:val="en-US" w:eastAsia="zh-CN" w:bidi="ar-SA"/>
        </w:rPr>
        <w:t>《</w:t>
      </w:r>
      <w:r>
        <w:rPr>
          <w:rFonts w:hint="eastAsia" w:ascii="宋体" w:hAnsi="宋体" w:cs="宋体"/>
          <w:color w:val="000000"/>
          <w:kern w:val="2"/>
          <w:sz w:val="21"/>
          <w:szCs w:val="21"/>
          <w:highlight w:val="none"/>
          <w:lang w:val="en-US" w:eastAsia="zh-CN" w:bidi="ar-SA"/>
        </w:rPr>
        <w:t>新蔡县人民政府网</w:t>
      </w:r>
      <w:r>
        <w:rPr>
          <w:rFonts w:hint="eastAsia" w:ascii="宋体" w:hAnsi="宋体" w:eastAsia="宋体" w:cs="宋体"/>
          <w:color w:val="000000"/>
          <w:kern w:val="2"/>
          <w:sz w:val="21"/>
          <w:szCs w:val="21"/>
          <w:highlight w:val="none"/>
          <w:lang w:val="en-US" w:eastAsia="zh-CN" w:bidi="ar-SA"/>
        </w:rPr>
        <w:t>》</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中标结果公示应当载明定标时间、定标地点、定标方法、中标人名称、中标价格、质量、工期（服务期限）、资格条件、项目负责人信息，中标候选人</w:t>
      </w:r>
      <w:r>
        <w:rPr>
          <w:rFonts w:hint="eastAsia" w:ascii="宋体" w:hAnsi="宋体" w:cs="宋体"/>
          <w:color w:val="000000" w:themeColor="text1"/>
          <w:sz w:val="24"/>
          <w:szCs w:val="24"/>
          <w:highlight w:val="none"/>
          <w14:textFill>
            <w14:solidFill>
              <w14:schemeClr w14:val="tx1"/>
            </w14:solidFill>
          </w14:textFill>
        </w:rPr>
        <w:t>的核查、考察、比较优</w:t>
      </w:r>
      <w:r>
        <w:rPr>
          <w:rFonts w:hint="eastAsia" w:ascii="宋体" w:hAnsi="宋体" w:cs="宋体"/>
          <w:color w:val="auto"/>
          <w:sz w:val="24"/>
          <w:szCs w:val="24"/>
          <w:highlight w:val="none"/>
        </w:rPr>
        <w:t>势，核查未通过的中标候选人名单和原因，以及异议和投诉渠道等内容。对中标结果公示有异议的，应当在公示期内向招标人提出。</w:t>
      </w:r>
      <w:bookmarkEnd w:id="404"/>
    </w:p>
    <w:p w14:paraId="43FF640F">
      <w:pPr>
        <w:wordWrap w:val="0"/>
        <w:autoSpaceDE w:val="0"/>
        <w:autoSpaceDN w:val="0"/>
        <w:adjustRightInd w:val="0"/>
        <w:spacing w:line="420" w:lineRule="exact"/>
        <w:outlineLvl w:val="1"/>
        <w:rPr>
          <w:rFonts w:hint="eastAsia" w:ascii="宋体" w:hAnsi="宋体" w:cs="宋体"/>
          <w:b/>
          <w:bCs/>
          <w:color w:val="auto"/>
          <w:sz w:val="24"/>
          <w:szCs w:val="24"/>
          <w:highlight w:val="none"/>
        </w:rPr>
      </w:pPr>
      <w:bookmarkStart w:id="407" w:name="_Toc23427"/>
      <w:r>
        <w:rPr>
          <w:rFonts w:hint="eastAsia" w:ascii="宋体" w:hAnsi="宋体" w:cs="宋体"/>
          <w:b/>
          <w:bCs/>
          <w:color w:val="auto"/>
          <w:sz w:val="24"/>
          <w:szCs w:val="24"/>
          <w:highlight w:val="none"/>
        </w:rPr>
        <w:t>八、定标后结果处置</w:t>
      </w:r>
      <w:bookmarkEnd w:id="405"/>
      <w:bookmarkEnd w:id="406"/>
      <w:bookmarkEnd w:id="407"/>
    </w:p>
    <w:p w14:paraId="1D9EC0D4">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bookmarkStart w:id="408" w:name="OLE_LINK49"/>
      <w:r>
        <w:rPr>
          <w:rFonts w:hint="eastAsia" w:ascii="宋体" w:hAnsi="宋体" w:cs="宋体"/>
          <w:color w:val="auto"/>
          <w:sz w:val="24"/>
          <w:szCs w:val="24"/>
          <w:highlight w:val="none"/>
        </w:rPr>
        <w:t>（1）确定的中标人经公示后无异议，可以发放《中标通知书》。</w:t>
      </w:r>
    </w:p>
    <w:p w14:paraId="27AAB38F">
      <w:pPr>
        <w:wordWrap w:val="0"/>
        <w:autoSpaceDE w:val="0"/>
        <w:autoSpaceDN w:val="0"/>
        <w:adjustRightInd w:val="0"/>
        <w:spacing w:line="420" w:lineRule="exact"/>
        <w:ind w:firstLine="480" w:firstLineChars="200"/>
        <w:rPr>
          <w:rFonts w:hint="eastAsia" w:ascii="宋体" w:hAnsi="宋体" w:cs="宋体"/>
          <w:color w:val="0000FF"/>
          <w:sz w:val="24"/>
          <w:szCs w:val="24"/>
          <w:highlight w:val="none"/>
        </w:rPr>
      </w:pPr>
      <w:r>
        <w:rPr>
          <w:rFonts w:hint="eastAsia" w:ascii="宋体" w:hAnsi="宋体" w:cs="宋体"/>
          <w:color w:val="auto"/>
          <w:sz w:val="24"/>
          <w:szCs w:val="24"/>
          <w:highlight w:val="none"/>
        </w:rPr>
        <w:t>（2）对中标人放弃中标、不可抗力不能履行合同、</w:t>
      </w:r>
      <w:r>
        <w:rPr>
          <w:rFonts w:hint="eastAsia" w:ascii="宋体" w:hAnsi="宋体" w:cs="宋体"/>
          <w:color w:val="000000" w:themeColor="text1"/>
          <w:sz w:val="24"/>
          <w:szCs w:val="24"/>
          <w:highlight w:val="none"/>
          <w14:textFill>
            <w14:solidFill>
              <w14:schemeClr w14:val="tx1"/>
            </w14:solidFill>
          </w14:textFill>
        </w:rPr>
        <w:t>不按照招标文件要求缴纳履约保证金、不符合投标或中标条件、被查实存在影响中标结果的违法行为等情形，招标人可以由原定标委员会在调整后的中标候选人中重新确定中标人，也可以重新组织招标。</w:t>
      </w:r>
    </w:p>
    <w:p w14:paraId="740FE5C3">
      <w:pPr>
        <w:wordWrap w:val="0"/>
        <w:autoSpaceDE w:val="0"/>
        <w:autoSpaceDN w:val="0"/>
        <w:adjustRightInd w:val="0"/>
        <w:spacing w:line="42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auto"/>
          <w:sz w:val="24"/>
          <w:szCs w:val="24"/>
          <w:highlight w:val="none"/>
        </w:rPr>
        <w:t>（3）对中标人以非正当理</w:t>
      </w:r>
      <w:r>
        <w:rPr>
          <w:rFonts w:hint="eastAsia" w:ascii="宋体" w:hAnsi="宋体" w:cs="宋体"/>
          <w:color w:val="000000" w:themeColor="text1"/>
          <w:sz w:val="24"/>
          <w:szCs w:val="24"/>
          <w:highlight w:val="none"/>
          <w14:textFill>
            <w14:solidFill>
              <w14:schemeClr w14:val="tx1"/>
            </w14:solidFill>
          </w14:textFill>
        </w:rPr>
        <w:t>由放弃中标或被依法依规取消中标资格的，招标人应当向有关行政监督部门报告。</w:t>
      </w:r>
    </w:p>
    <w:p w14:paraId="2804EC38">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（4）定标后有下列情形之一的，应当重新定标:</w:t>
      </w:r>
    </w:p>
    <w:p w14:paraId="1E02AF5B">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(一)定标委员会未按定标办法公正履职的;</w:t>
      </w:r>
    </w:p>
    <w:p w14:paraId="10F4C366">
      <w:pPr>
        <w:wordWrap w:val="0"/>
        <w:autoSpaceDE w:val="0"/>
        <w:autoSpaceDN w:val="0"/>
        <w:adjustRightInd w:val="0"/>
        <w:spacing w:line="4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(二)定标委员会成员与中标候选人有利害关系且未回避的;</w:t>
      </w:r>
    </w:p>
    <w:p w14:paraId="0ABE9D98">
      <w:pPr>
        <w:wordWrap w:val="0"/>
        <w:autoSpaceDE w:val="0"/>
        <w:autoSpaceDN w:val="0"/>
        <w:adjustRightInd w:val="0"/>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(三)招标文件规定的其他情形。</w:t>
      </w:r>
      <w:bookmarkEnd w:id="408"/>
      <w:bookmarkStart w:id="409" w:name="_Toc14967"/>
    </w:p>
    <w:p w14:paraId="49643494">
      <w:pPr>
        <w:wordWrap w:val="0"/>
        <w:autoSpaceDE w:val="0"/>
        <w:autoSpaceDN w:val="0"/>
        <w:adjustRightInd w:val="0"/>
        <w:spacing w:line="420" w:lineRule="exact"/>
        <w:ind w:firstLine="480" w:firstLineChars="200"/>
        <w:rPr>
          <w:rFonts w:hint="eastAsia" w:ascii="宋体" w:hAnsi="宋体" w:eastAsia="宋体" w:cs="宋体"/>
          <w:color w:val="auto"/>
          <w:sz w:val="24"/>
          <w:szCs w:val="24"/>
          <w:highlight w:val="none"/>
        </w:rPr>
      </w:pPr>
    </w:p>
    <w:p w14:paraId="17C00965">
      <w:pPr>
        <w:wordWrap w:val="0"/>
        <w:autoSpaceDE w:val="0"/>
        <w:autoSpaceDN w:val="0"/>
        <w:adjustRightInd w:val="0"/>
        <w:spacing w:line="420" w:lineRule="exact"/>
        <w:ind w:firstLine="480" w:firstLineChars="200"/>
        <w:rPr>
          <w:rFonts w:hint="eastAsia" w:ascii="宋体" w:hAnsi="宋体" w:eastAsia="宋体" w:cs="宋体"/>
          <w:color w:val="auto"/>
          <w:sz w:val="24"/>
          <w:szCs w:val="24"/>
          <w:highlight w:val="none"/>
        </w:rPr>
      </w:pPr>
    </w:p>
    <w:p w14:paraId="256A4153">
      <w:pPr>
        <w:wordWrap w:val="0"/>
        <w:autoSpaceDE w:val="0"/>
        <w:autoSpaceDN w:val="0"/>
        <w:adjustRightInd w:val="0"/>
        <w:spacing w:line="420" w:lineRule="exact"/>
        <w:ind w:firstLine="480" w:firstLineChars="200"/>
        <w:rPr>
          <w:rFonts w:hint="eastAsia" w:ascii="宋体" w:hAnsi="宋体" w:eastAsia="宋体" w:cs="宋体"/>
          <w:color w:val="auto"/>
          <w:sz w:val="24"/>
          <w:szCs w:val="24"/>
          <w:highlight w:val="none"/>
        </w:rPr>
      </w:pPr>
    </w:p>
    <w:p w14:paraId="5038B30C">
      <w:pPr>
        <w:wordWrap w:val="0"/>
        <w:autoSpaceDE w:val="0"/>
        <w:autoSpaceDN w:val="0"/>
        <w:adjustRightInd w:val="0"/>
        <w:spacing w:line="420" w:lineRule="exact"/>
        <w:ind w:firstLine="480" w:firstLineChars="200"/>
        <w:rPr>
          <w:rFonts w:hint="eastAsia" w:ascii="宋体" w:hAnsi="宋体" w:eastAsia="宋体" w:cs="宋体"/>
          <w:color w:val="auto"/>
          <w:sz w:val="24"/>
          <w:szCs w:val="24"/>
          <w:highlight w:val="none"/>
        </w:rPr>
      </w:pPr>
    </w:p>
    <w:p w14:paraId="20E041D4">
      <w:pPr>
        <w:wordWrap w:val="0"/>
        <w:autoSpaceDE w:val="0"/>
        <w:autoSpaceDN w:val="0"/>
        <w:adjustRightInd w:val="0"/>
        <w:spacing w:line="420" w:lineRule="exact"/>
        <w:ind w:firstLine="480" w:firstLineChars="200"/>
        <w:rPr>
          <w:rFonts w:hint="eastAsia" w:ascii="宋体" w:hAnsi="宋体" w:eastAsia="宋体" w:cs="宋体"/>
          <w:color w:val="auto"/>
          <w:sz w:val="24"/>
          <w:szCs w:val="24"/>
          <w:highlight w:val="none"/>
          <w:lang w:val="en-US" w:eastAsia="zh-CN"/>
        </w:rPr>
      </w:pPr>
    </w:p>
    <w:p w14:paraId="6C62763E">
      <w:pPr>
        <w:pStyle w:val="2"/>
        <w:keepNext/>
        <w:keepLines/>
        <w:pageBreakBefore w:val="0"/>
        <w:widowControl w:val="0"/>
        <w:numPr>
          <w:ilvl w:val="0"/>
          <w:numId w:val="0"/>
        </w:numPr>
        <w:kinsoku/>
        <w:wordWrap/>
        <w:overflowPunct/>
        <w:topLinePunct w:val="0"/>
        <w:autoSpaceDE/>
        <w:autoSpaceDN/>
        <w:bidi w:val="0"/>
        <w:adjustRightInd/>
        <w:snapToGrid/>
        <w:spacing w:before="0" w:beforeLines="1700"/>
        <w:jc w:val="center"/>
        <w:textAlignment w:val="auto"/>
        <w:outlineLvl w:val="0"/>
        <w:rPr>
          <w:rFonts w:hint="eastAsia" w:ascii="宋体" w:hAnsi="宋体"/>
          <w:color w:val="auto"/>
          <w:sz w:val="48"/>
          <w:szCs w:val="48"/>
          <w:highlight w:val="none"/>
        </w:rPr>
      </w:pPr>
      <w:r>
        <w:rPr>
          <w:rFonts w:hint="eastAsia" w:ascii="宋体" w:hAnsi="宋体" w:eastAsia="宋体" w:cs="Times New Roman"/>
          <w:b/>
          <w:color w:val="auto"/>
          <w:kern w:val="44"/>
          <w:sz w:val="48"/>
          <w:szCs w:val="48"/>
          <w:highlight w:val="none"/>
          <w:lang w:val="en-US" w:eastAsia="zh-CN" w:bidi="ar-SA"/>
        </w:rPr>
        <w:t>第</w:t>
      </w:r>
      <w:r>
        <w:rPr>
          <w:rFonts w:hint="eastAsia" w:ascii="宋体" w:hAnsi="宋体" w:cs="Times New Roman"/>
          <w:b/>
          <w:color w:val="auto"/>
          <w:kern w:val="44"/>
          <w:sz w:val="48"/>
          <w:szCs w:val="48"/>
          <w:highlight w:val="none"/>
          <w:lang w:val="en-US" w:eastAsia="zh-CN" w:bidi="ar-SA"/>
        </w:rPr>
        <w:t>五</w:t>
      </w:r>
      <w:r>
        <w:rPr>
          <w:rFonts w:hint="eastAsia" w:ascii="宋体" w:hAnsi="宋体" w:eastAsia="宋体" w:cs="Times New Roman"/>
          <w:b/>
          <w:color w:val="auto"/>
          <w:kern w:val="44"/>
          <w:sz w:val="48"/>
          <w:szCs w:val="48"/>
          <w:highlight w:val="none"/>
          <w:lang w:val="en-US" w:eastAsia="zh-CN" w:bidi="ar-SA"/>
        </w:rPr>
        <w:t>章</w:t>
      </w:r>
      <w:r>
        <w:rPr>
          <w:rFonts w:hint="eastAsia" w:ascii="宋体" w:hAnsi="宋体"/>
          <w:color w:val="auto"/>
          <w:sz w:val="48"/>
          <w:szCs w:val="48"/>
          <w:highlight w:val="none"/>
        </w:rPr>
        <w:t xml:space="preserve"> 合同条款及格式</w:t>
      </w:r>
      <w:bookmarkEnd w:id="409"/>
    </w:p>
    <w:p w14:paraId="1E609B5B">
      <w:pPr>
        <w:numPr>
          <w:ilvl w:val="0"/>
          <w:numId w:val="0"/>
        </w:numPr>
        <w:rPr>
          <w:color w:val="auto"/>
          <w:highlight w:val="none"/>
        </w:rPr>
      </w:pPr>
    </w:p>
    <w:p w14:paraId="37594F32">
      <w:pPr>
        <w:spacing w:line="520" w:lineRule="exact"/>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3223B005">
      <w:pPr>
        <w:spacing w:line="520" w:lineRule="exact"/>
        <w:jc w:val="center"/>
        <w:rPr>
          <w:rFonts w:ascii="宋体" w:hAnsi="宋体"/>
          <w:b/>
          <w:bCs/>
          <w:color w:val="auto"/>
          <w:sz w:val="52"/>
          <w:szCs w:val="52"/>
          <w:highlight w:val="none"/>
        </w:rPr>
      </w:pPr>
    </w:p>
    <w:p w14:paraId="0E926532">
      <w:pPr>
        <w:spacing w:line="520" w:lineRule="exact"/>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47A864DD">
      <w:pPr>
        <w:rPr>
          <w:rFonts w:hint="eastAsia" w:ascii="宋体" w:hAnsi="宋体"/>
          <w:b/>
          <w:bCs/>
          <w:color w:val="auto"/>
          <w:sz w:val="52"/>
          <w:szCs w:val="52"/>
          <w:highlight w:val="none"/>
        </w:rPr>
      </w:pPr>
      <w:r>
        <w:rPr>
          <w:rFonts w:hint="eastAsia" w:ascii="宋体"/>
          <w:b/>
          <w:bCs/>
          <w:color w:val="auto"/>
          <w:sz w:val="52"/>
          <w:szCs w:val="52"/>
          <w:highlight w:val="none"/>
        </w:rPr>
        <w:t xml:space="preserve"> </w:t>
      </w:r>
    </w:p>
    <w:p w14:paraId="32CF4517">
      <w:pPr>
        <w:pStyle w:val="3"/>
        <w:ind w:left="2420" w:leftChars="1081" w:hanging="150" w:hangingChars="34"/>
        <w:rPr>
          <w:rFonts w:ascii="宋体" w:eastAsia="宋体"/>
          <w:b/>
          <w:bCs/>
          <w:color w:val="auto"/>
          <w:sz w:val="44"/>
          <w:szCs w:val="44"/>
          <w:highlight w:val="none"/>
        </w:rPr>
      </w:pPr>
      <w:bookmarkStart w:id="410" w:name="_Toc10382"/>
      <w:r>
        <w:rPr>
          <w:rFonts w:hint="eastAsia" w:ascii="宋体" w:eastAsia="宋体"/>
          <w:b/>
          <w:bCs/>
          <w:color w:val="auto"/>
          <w:sz w:val="44"/>
          <w:szCs w:val="44"/>
          <w:highlight w:val="none"/>
        </w:rPr>
        <w:t>第一节  通用合同条款</w:t>
      </w:r>
      <w:bookmarkEnd w:id="410"/>
    </w:p>
    <w:p w14:paraId="6FE9CFBD">
      <w:pPr>
        <w:adjustRightInd w:val="0"/>
        <w:snapToGrid w:val="0"/>
        <w:spacing w:line="360" w:lineRule="auto"/>
        <w:jc w:val="center"/>
        <w:rPr>
          <w:rFonts w:ascii="宋体" w:hAnsi="宋体"/>
          <w:b/>
          <w:color w:val="auto"/>
          <w:sz w:val="28"/>
          <w:szCs w:val="28"/>
          <w:highlight w:val="none"/>
        </w:rPr>
      </w:pPr>
      <w:r>
        <w:rPr>
          <w:rFonts w:hint="eastAsia" w:ascii="宋体" w:hAnsi="宋体"/>
          <w:color w:val="auto"/>
          <w:sz w:val="28"/>
          <w:szCs w:val="28"/>
          <w:highlight w:val="none"/>
        </w:rPr>
        <w:t>采用《</w:t>
      </w:r>
      <w:r>
        <w:rPr>
          <w:rFonts w:hint="eastAsia" w:ascii="宋体" w:hAnsi="宋体"/>
          <w:color w:val="auto"/>
          <w:sz w:val="28"/>
          <w:szCs w:val="28"/>
          <w:highlight w:val="none"/>
          <w:lang w:eastAsia="zh-CN"/>
        </w:rPr>
        <w:t>公路工程</w:t>
      </w:r>
      <w:r>
        <w:rPr>
          <w:rFonts w:hint="eastAsia" w:ascii="宋体" w:hAnsi="宋体"/>
          <w:color w:val="auto"/>
          <w:sz w:val="28"/>
          <w:szCs w:val="28"/>
          <w:highlight w:val="none"/>
        </w:rPr>
        <w:t>标准施工招标文件》（2018年版）的“通用合同条款”。</w:t>
      </w:r>
    </w:p>
    <w:p w14:paraId="76175DB3">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0A07085B">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09EBD011">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2078CC2E">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16B2BBD0">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113FA682">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2C2E85CE">
      <w:pPr>
        <w:spacing w:line="520" w:lineRule="exact"/>
        <w:jc w:val="center"/>
        <w:outlineLvl w:val="1"/>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3E215370">
      <w:pPr>
        <w:spacing w:line="520" w:lineRule="exact"/>
        <w:jc w:val="center"/>
        <w:outlineLvl w:val="1"/>
        <w:rPr>
          <w:rStyle w:val="38"/>
          <w:rFonts w:hint="eastAsia" w:ascii="宋体" w:hAnsi="宋体" w:eastAsia="宋体"/>
          <w:color w:val="auto"/>
          <w:sz w:val="44"/>
          <w:szCs w:val="44"/>
          <w:highlight w:val="none"/>
        </w:rPr>
      </w:pPr>
      <w:bookmarkStart w:id="411" w:name="_Toc16322"/>
      <w:bookmarkEnd w:id="411"/>
      <w:bookmarkStart w:id="412" w:name="_Toc19584"/>
    </w:p>
    <w:p w14:paraId="3389A22B">
      <w:pPr>
        <w:spacing w:line="520" w:lineRule="exact"/>
        <w:jc w:val="center"/>
        <w:outlineLvl w:val="1"/>
        <w:rPr>
          <w:rStyle w:val="38"/>
          <w:rFonts w:hint="eastAsia" w:ascii="宋体" w:hAnsi="宋体" w:eastAsia="宋体"/>
          <w:color w:val="auto"/>
          <w:sz w:val="44"/>
          <w:szCs w:val="44"/>
          <w:highlight w:val="none"/>
        </w:rPr>
      </w:pPr>
    </w:p>
    <w:p w14:paraId="3D3C2EC6">
      <w:pPr>
        <w:spacing w:line="520" w:lineRule="exact"/>
        <w:jc w:val="center"/>
        <w:outlineLvl w:val="1"/>
        <w:rPr>
          <w:rStyle w:val="38"/>
          <w:rFonts w:hint="eastAsia" w:ascii="宋体" w:hAnsi="宋体" w:eastAsia="宋体"/>
          <w:color w:val="auto"/>
          <w:sz w:val="44"/>
          <w:szCs w:val="44"/>
          <w:highlight w:val="none"/>
        </w:rPr>
      </w:pPr>
    </w:p>
    <w:p w14:paraId="428B2368">
      <w:pPr>
        <w:spacing w:line="520" w:lineRule="exact"/>
        <w:jc w:val="center"/>
        <w:outlineLvl w:val="1"/>
        <w:rPr>
          <w:rStyle w:val="38"/>
          <w:rFonts w:hint="eastAsia" w:ascii="宋体" w:hAnsi="宋体" w:eastAsia="宋体"/>
          <w:color w:val="auto"/>
          <w:sz w:val="44"/>
          <w:szCs w:val="44"/>
          <w:highlight w:val="none"/>
        </w:rPr>
      </w:pPr>
    </w:p>
    <w:p w14:paraId="78C301BC">
      <w:pPr>
        <w:spacing w:line="520" w:lineRule="exact"/>
        <w:jc w:val="center"/>
        <w:outlineLvl w:val="1"/>
        <w:rPr>
          <w:rStyle w:val="38"/>
          <w:rFonts w:hint="eastAsia" w:ascii="宋体" w:hAnsi="宋体" w:eastAsia="宋体"/>
          <w:color w:val="auto"/>
          <w:sz w:val="44"/>
          <w:szCs w:val="44"/>
          <w:highlight w:val="none"/>
        </w:rPr>
      </w:pPr>
    </w:p>
    <w:p w14:paraId="43D8FEA4">
      <w:pPr>
        <w:spacing w:line="520" w:lineRule="exact"/>
        <w:jc w:val="center"/>
        <w:outlineLvl w:val="1"/>
        <w:rPr>
          <w:rStyle w:val="38"/>
          <w:rFonts w:hint="eastAsia" w:ascii="宋体" w:hAnsi="宋体" w:eastAsia="宋体"/>
          <w:color w:val="auto"/>
          <w:sz w:val="44"/>
          <w:szCs w:val="44"/>
          <w:highlight w:val="none"/>
        </w:rPr>
      </w:pPr>
    </w:p>
    <w:p w14:paraId="47165045">
      <w:pPr>
        <w:spacing w:line="520" w:lineRule="exact"/>
        <w:jc w:val="center"/>
        <w:outlineLvl w:val="1"/>
        <w:rPr>
          <w:rStyle w:val="38"/>
          <w:rFonts w:hint="eastAsia" w:ascii="宋体" w:hAnsi="宋体" w:eastAsia="宋体"/>
          <w:color w:val="auto"/>
          <w:sz w:val="44"/>
          <w:szCs w:val="44"/>
          <w:highlight w:val="none"/>
        </w:rPr>
      </w:pPr>
    </w:p>
    <w:p w14:paraId="65A2322D">
      <w:pPr>
        <w:spacing w:line="520" w:lineRule="exact"/>
        <w:jc w:val="center"/>
        <w:outlineLvl w:val="1"/>
        <w:rPr>
          <w:rFonts w:ascii="宋体" w:hAnsi="宋体"/>
          <w:bCs/>
          <w:color w:val="auto"/>
          <w:sz w:val="44"/>
          <w:szCs w:val="44"/>
          <w:highlight w:val="none"/>
        </w:rPr>
      </w:pPr>
      <w:r>
        <w:rPr>
          <w:rStyle w:val="38"/>
          <w:rFonts w:hint="eastAsia" w:ascii="宋体" w:hAnsi="宋体" w:eastAsia="宋体"/>
          <w:color w:val="auto"/>
          <w:sz w:val="44"/>
          <w:szCs w:val="44"/>
          <w:highlight w:val="none"/>
        </w:rPr>
        <w:t>第二节  专用合同条款</w:t>
      </w:r>
      <w:bookmarkEnd w:id="412"/>
    </w:p>
    <w:p w14:paraId="06D32EF2">
      <w:pPr>
        <w:keepNext w:val="0"/>
        <w:keepLines w:val="0"/>
        <w:pageBreakBefore w:val="0"/>
        <w:widowControl w:val="0"/>
        <w:kinsoku/>
        <w:wordWrap/>
        <w:overflowPunct/>
        <w:topLinePunct w:val="0"/>
        <w:autoSpaceDE/>
        <w:autoSpaceDN/>
        <w:bidi w:val="0"/>
        <w:adjustRightInd/>
        <w:snapToGrid/>
        <w:spacing w:before="0" w:beforeLines="50" w:line="520" w:lineRule="exact"/>
        <w:jc w:val="center"/>
        <w:textAlignment w:val="auto"/>
        <w:rPr>
          <w:rFonts w:ascii="宋体" w:hAnsi="宋体"/>
          <w:color w:val="auto"/>
          <w:sz w:val="32"/>
          <w:szCs w:val="32"/>
          <w:highlight w:val="none"/>
        </w:rPr>
      </w:pPr>
      <w:bookmarkStart w:id="413" w:name="_Toc132601562"/>
      <w:bookmarkEnd w:id="413"/>
      <w:r>
        <w:rPr>
          <w:rFonts w:hint="eastAsia" w:ascii="宋体" w:hAnsi="宋体"/>
          <w:b/>
          <w:bCs w:val="0"/>
          <w:color w:val="auto"/>
          <w:sz w:val="28"/>
          <w:szCs w:val="28"/>
          <w:highlight w:val="none"/>
        </w:rPr>
        <w:t>A.公路工程专用合同条款</w:t>
      </w:r>
    </w:p>
    <w:p w14:paraId="312E9EBB">
      <w:pPr>
        <w:keepNext w:val="0"/>
        <w:keepLines w:val="0"/>
        <w:pageBreakBefore w:val="0"/>
        <w:widowControl w:val="0"/>
        <w:kinsoku/>
        <w:wordWrap/>
        <w:overflowPunct/>
        <w:topLinePunct w:val="0"/>
        <w:autoSpaceDN/>
        <w:bidi w:val="0"/>
        <w:adjustRightInd/>
        <w:snapToGrid/>
        <w:spacing w:line="520" w:lineRule="exact"/>
        <w:textAlignment w:val="auto"/>
        <w:rPr>
          <w:rFonts w:ascii="宋体" w:hAnsi="宋体"/>
          <w:color w:val="auto"/>
          <w:sz w:val="32"/>
          <w:szCs w:val="32"/>
          <w:highlight w:val="none"/>
        </w:rPr>
      </w:pPr>
      <w:r>
        <w:rPr>
          <w:rFonts w:hint="eastAsia" w:ascii="宋体" w:hAnsi="宋体"/>
          <w:color w:val="auto"/>
          <w:sz w:val="32"/>
          <w:szCs w:val="32"/>
          <w:highlight w:val="none"/>
        </w:rPr>
        <w:t xml:space="preserve"> </w:t>
      </w:r>
    </w:p>
    <w:p w14:paraId="4D369CA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 一般约定</w:t>
      </w:r>
    </w:p>
    <w:p w14:paraId="47D1F35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1.1词语定义</w:t>
      </w:r>
    </w:p>
    <w:p w14:paraId="77EE585D">
      <w:pPr>
        <w:pStyle w:val="12"/>
        <w:keepNext w:val="0"/>
        <w:keepLines w:val="0"/>
        <w:pageBreakBefore w:val="0"/>
        <w:widowControl w:val="0"/>
        <w:kinsoku/>
        <w:wordWrap/>
        <w:overflowPunct/>
        <w:topLinePunct w:val="0"/>
        <w:autoSpaceDN/>
        <w:bidi w:val="0"/>
        <w:adjustRightInd/>
        <w:snapToGrid/>
        <w:ind w:firstLine="482" w:firstLineChars="200"/>
        <w:textAlignment w:val="auto"/>
        <w:rPr>
          <w:rFonts w:ascii="宋体"/>
          <w:color w:val="auto"/>
          <w:highlight w:val="none"/>
        </w:rPr>
      </w:pPr>
      <w:r>
        <w:rPr>
          <w:rFonts w:hint="eastAsia" w:ascii="宋体"/>
          <w:b/>
          <w:bCs/>
          <w:color w:val="auto"/>
          <w:highlight w:val="none"/>
        </w:rPr>
        <w:t>1.1.1  合同</w:t>
      </w:r>
    </w:p>
    <w:p w14:paraId="16F6E7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1.1.1.6 目细化为：</w:t>
      </w:r>
    </w:p>
    <w:p w14:paraId="3CC920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技术规范：指本合同所约定的技术标准和要求，是合同文件的组成部分。通用合同条款中“技术标准和要求”一词具有相同含义。</w:t>
      </w:r>
    </w:p>
    <w:p w14:paraId="737382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1.1.1.8 目细化为：</w:t>
      </w:r>
    </w:p>
    <w:p w14:paraId="571E51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 5.1～表 5.5）。</w:t>
      </w:r>
    </w:p>
    <w:p w14:paraId="1234029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1.1.1.10 目：</w:t>
      </w:r>
    </w:p>
    <w:p w14:paraId="29A9F63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1.1.1.10 补遗书：指发出招标文件之后由招标人向已取得招标文件的投标人发出的、编号的对招标文件所作的澄清、修改书。</w:t>
      </w:r>
    </w:p>
    <w:p w14:paraId="1B71152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1.1.2 合同当事人和人员</w:t>
      </w:r>
    </w:p>
    <w:p w14:paraId="6BA4765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1.1.2.8 目：</w:t>
      </w:r>
    </w:p>
    <w:p w14:paraId="5ED2F15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1.1.2.8 承包人项目总工：指由承包人书面委派常驻现场负责管理本合同工程的总工程师或技术总负责人。</w:t>
      </w:r>
    </w:p>
    <w:p w14:paraId="63D6820C">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1.1.3 工程和设备</w:t>
      </w:r>
    </w:p>
    <w:p w14:paraId="7E3761F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1.1.3.4 目细化为：</w:t>
      </w:r>
    </w:p>
    <w:p w14:paraId="45EE091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单位工程：指在建设项目中，根据签订的合同，具有独立施工条件的工程。</w:t>
      </w:r>
    </w:p>
    <w:p w14:paraId="1CDCD1C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1.1.3.10 目细化为：</w:t>
      </w:r>
    </w:p>
    <w:p w14:paraId="69214F2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永久占地：指为实施本合同工程而需要的一切永久占用的土地，包括公路两侧路权范围内的用地。</w:t>
      </w:r>
    </w:p>
    <w:p w14:paraId="00C951A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1.1.3.11 目细化为：</w:t>
      </w:r>
    </w:p>
    <w:p w14:paraId="26FAA07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临时占地：指为实施本合同工程而需要的一切临时占用的土地，包括施工所用的临时支线、便道、便桥和现场的临时出入通道，以及生产（办公）、生活等临时设施用地等。</w:t>
      </w:r>
    </w:p>
    <w:p w14:paraId="6E29FCC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1.1.3.12 目、第 1.1.3.13 目：</w:t>
      </w:r>
    </w:p>
    <w:p w14:paraId="3A3E9ED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1.1.3.12 分部工程：指在单位工程中，按结构部位、路段长度及施工特点或施工任务划分的若干个工程。</w:t>
      </w:r>
    </w:p>
    <w:p w14:paraId="14A7CE4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1.1.3.13 分项工程：指在分部工程中，按不同的施工方法、材料、工序及路段长度等划分的若干个工程。</w:t>
      </w:r>
    </w:p>
    <w:p w14:paraId="7774967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1.1.6 其他</w:t>
      </w:r>
      <w:r>
        <w:rPr>
          <w:rFonts w:hint="eastAsia" w:ascii="宋体" w:hAnsi="宋体"/>
          <w:color w:val="auto"/>
          <w:sz w:val="24"/>
          <w:szCs w:val="24"/>
          <w:highlight w:val="none"/>
        </w:rPr>
        <w:t xml:space="preserve"> </w:t>
      </w:r>
    </w:p>
    <w:p w14:paraId="4D2375C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本项补充第 1.1.6.2 目～第 1.1.6.9 目：</w:t>
      </w:r>
    </w:p>
    <w:p w14:paraId="6174F3B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1.1.6.2 竣工验收：指《公路工程竣（交）工验收办法》中的竣工验收。通用合同条款中“国家验收”一词具有相同含义。</w:t>
      </w:r>
    </w:p>
    <w:p w14:paraId="75E2A8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1.1.6.3 交工：指《公路工程竣（交）工验收办法》中的交工。通用合同条款中“竣工”一词具有相同含义。</w:t>
      </w:r>
    </w:p>
    <w:p w14:paraId="097C12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1.1.6.4 交工验收：指《公路工程竣（交）工验收办法》中的交工验收。通用合同条款中“竣工验收”一词具有相同含义。</w:t>
      </w:r>
    </w:p>
    <w:p w14:paraId="4AA260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1.1.6.5 交工验收证书：指《公路工程竣（交）工验收办法》中的交工验收证书。通用合同条款中“工程接收证书”一词具有相同含义。</w:t>
      </w:r>
    </w:p>
    <w:p w14:paraId="1690B4C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1.1.6.6 转包：指承包人违反法律和不履行合同规定的责任和义务，将中标工程全部委托或以专业分包的名义将中标工程肢解后全部委托给其他施工企业施工的行为。</w:t>
      </w:r>
    </w:p>
    <w:p w14:paraId="181B96A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1.1.6.7 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46D520A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1.1.6.8 劳务分包：指承包人与具有施工劳务资质的劳务企业签订劳务分包合同，由劳务企业提供劳务人员及机具，由承包人统一组织施工、统一控制工程质量、施工进度、材料采购、生产安全的施工行为。</w:t>
      </w:r>
    </w:p>
    <w:p w14:paraId="40933E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1.1.6.9 雇用民工：指承包人与具有相应劳动能力的自然人签订劳动合同，由承包人统一组织管理，从事分项工程施工或配套工程施工的行为。</w:t>
      </w:r>
    </w:p>
    <w:p w14:paraId="2281326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1.4 合同文件的优先顺序</w:t>
      </w:r>
    </w:p>
    <w:p w14:paraId="3CDDC58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w:t>
      </w:r>
    </w:p>
    <w:p w14:paraId="556EB9F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组成合同的各项文件应互相解释，互为说明。除项目专用合同条款另有约定外，解释合同文件的优先顺序如下：</w:t>
      </w:r>
    </w:p>
    <w:p w14:paraId="614F301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（1）合同协议书及各种合同附件（含评标期间和合同谈判过程中的澄清文件和补充资料）；</w:t>
      </w:r>
    </w:p>
    <w:p w14:paraId="0E4481A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（2）中标通知书；</w:t>
      </w:r>
    </w:p>
    <w:p w14:paraId="3EB4C45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（3）投标函及投标函附录；</w:t>
      </w:r>
    </w:p>
    <w:p w14:paraId="330C434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（4）项目专用合同条款；</w:t>
      </w:r>
    </w:p>
    <w:p w14:paraId="78BA0B7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（5）公路工程专用合同条款；</w:t>
      </w:r>
    </w:p>
    <w:p w14:paraId="3BBF337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（6）通用合同条款；</w:t>
      </w:r>
    </w:p>
    <w:p w14:paraId="02BF514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（7）工程量清单计量规则；</w:t>
      </w:r>
    </w:p>
    <w:p w14:paraId="2B966DC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（8）技术规范；</w:t>
      </w:r>
    </w:p>
    <w:p w14:paraId="2543C3B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（9）图纸；</w:t>
      </w:r>
    </w:p>
    <w:p w14:paraId="12242AF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（10）已标价工程量清单；</w:t>
      </w:r>
    </w:p>
    <w:p w14:paraId="45D78C8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（11）承包人有关人员、设备投入的承诺及投标文件中的施工组织设计；</w:t>
      </w:r>
    </w:p>
    <w:p w14:paraId="6086307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（12）其他合同文件。</w:t>
      </w:r>
    </w:p>
    <w:p w14:paraId="5C7A678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 合同协议书</w:t>
      </w:r>
    </w:p>
    <w:p w14:paraId="1FDF035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5C8299E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制备本合同文件的费用由发包人承担。在合同协议书签订并生效之前，投标函和中标通知书将对双方具有约束力。</w:t>
      </w:r>
    </w:p>
    <w:p w14:paraId="4E2D186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1.6 图纸和承包人文件</w:t>
      </w:r>
    </w:p>
    <w:p w14:paraId="4561B379">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1.6.1 图纸的提供</w:t>
      </w:r>
    </w:p>
    <w:p w14:paraId="4122002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46D0985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监理人应在发出中标通知书之后 42 天内，向承包人免费提供由发包人或其委托的设计单位设计的施工图纸、技术规范和其他技术资料 2 份，并向承包人进行技术交底。承包人需要更多份数时，应自费复制。由于发包人未按时提供图纸造成工期延误的，按第 11.3 款的约定办理。</w:t>
      </w:r>
    </w:p>
    <w:p w14:paraId="7F1E123F">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1.6.2 承包人提供的文件</w:t>
      </w:r>
    </w:p>
    <w:p w14:paraId="59EF658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05EF7DB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有下列情形之一的，承包人应免费向监理人提交相关部分工程的施工图纸 3 份，并附必要的计算书、技术资料，或施工工艺图、设备安装图及安装设备的使用和维护手册各 2 份供监理人批准。</w:t>
      </w:r>
    </w:p>
    <w:p w14:paraId="53A3FDE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（1）为使第 1.6.1 项所述的施工图纸适合于经施工测量后的纵、横断面；</w:t>
      </w:r>
    </w:p>
    <w:p w14:paraId="704C470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（2）为使第 1.6.1 项所述的施工图纸适合于现场具体地形；</w:t>
      </w:r>
    </w:p>
    <w:p w14:paraId="5EF558E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（3）为使第 1.6.1 项所述的施工图纸适合于因尺寸与位置变化而引起局部变更；</w:t>
      </w:r>
    </w:p>
    <w:p w14:paraId="4851B3C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（4）由于合同要求与施工需要。</w:t>
      </w:r>
    </w:p>
    <w:p w14:paraId="43B79FE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此类图纸应按监理人规定的格式和图幅绘制。监理人在收到由承包人绘制的上述工程、工艺图纸、计算书和有关技术资料后 14 天内应予批准或提出修改要求，承包人应按监理人提出的要求作出修改，重新向监理人提交，监理人应在 7 天内批准或提出进一步的修改意见。</w:t>
      </w:r>
    </w:p>
    <w:p w14:paraId="6EF0B20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1.6.4 图纸的错误</w:t>
      </w:r>
    </w:p>
    <w:p w14:paraId="01DA334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44C8E4C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14:paraId="597ADA1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1.9 严禁贿赂</w:t>
      </w:r>
    </w:p>
    <w:p w14:paraId="66D5DD6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60C985A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49F85BB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 发包人义务</w:t>
      </w:r>
    </w:p>
    <w:p w14:paraId="3A57E35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2.3 提供施工场地</w:t>
      </w:r>
    </w:p>
    <w:p w14:paraId="7B62FDF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32920B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发包人负责办理永久占地的征用及与之有关的拆迁赔偿手续并承担相关费用。承包人在按第 10 条规定提交施工进度计划的同时，应向监理人提交一份按施工先后次序所需的永久占地计划。监理人应在收到此计划后的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 以使承包人能够连续不间断地施工。由于承包人施工考虑不周或措施不当等原因而造成的超计划占地或拆迁等所发生的征用和赔偿费用，应由承包人承担。</w:t>
      </w:r>
    </w:p>
    <w:p w14:paraId="277DA3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highlight w:val="none"/>
        </w:rPr>
      </w:pPr>
      <w:r>
        <w:rPr>
          <w:rFonts w:hint="eastAsia" w:ascii="宋体" w:hAnsi="宋体"/>
          <w:color w:val="auto"/>
          <w:sz w:val="24"/>
          <w:szCs w:val="24"/>
          <w:highlight w:val="none"/>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2AC557C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3. 监理人</w:t>
      </w:r>
    </w:p>
    <w:p w14:paraId="23EEA47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3.1 监理人的职责和权力</w:t>
      </w:r>
    </w:p>
    <w:p w14:paraId="3DDF228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3.1.1 项补充：</w:t>
      </w:r>
    </w:p>
    <w:p w14:paraId="370C954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监理人在行使下列权力前需要经发包人事先批准：</w:t>
      </w:r>
    </w:p>
    <w:p w14:paraId="52C9AC0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（1）根据第 4.3 款，同意分包本工程的某些非关键性工作或者适合专业化队伍施工的专项工程；</w:t>
      </w:r>
    </w:p>
    <w:p w14:paraId="7D3C6A0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（2）确定第 4.11 款下产生的费用增加额； </w:t>
      </w:r>
    </w:p>
    <w:p w14:paraId="7DE92A5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（3）根据第 11.1 款、第 12.3 款、第 12.4 款发布开工通知、暂停施工指示或复工通知；</w:t>
      </w:r>
    </w:p>
    <w:p w14:paraId="011C4B4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（4）决定第 11.3 款、第 11.4 款下的工期延长；</w:t>
      </w:r>
    </w:p>
    <w:p w14:paraId="0151B34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（5）审查批准技术方案或设计的变更；</w:t>
      </w:r>
    </w:p>
    <w:p w14:paraId="4CDB555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（6）根据第 15.3 款发出的变更指示，其单项工程变更或累计变更涉及的金额超过了项目专用合同条款数据表中规定的金额；</w:t>
      </w:r>
    </w:p>
    <w:p w14:paraId="4A22C25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（7）确定第 15.4 款下变更工作的单价；</w:t>
      </w:r>
    </w:p>
    <w:p w14:paraId="1C557C6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（8）按照第 15.6 款决定有关暂列金额的使用；</w:t>
      </w:r>
    </w:p>
    <w:p w14:paraId="430205E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（9）确定第 15.8 款下的暂估价金额；</w:t>
      </w:r>
    </w:p>
    <w:p w14:paraId="26C1DB5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（10）确定第 23.1 款下的索赔额。</w:t>
      </w:r>
    </w:p>
    <w:p w14:paraId="2A3C6DF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 3.5 款商定或确定。</w:t>
      </w:r>
    </w:p>
    <w:p w14:paraId="0AF8B7E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3.5 商定或确定</w:t>
      </w:r>
    </w:p>
    <w:p w14:paraId="6CB09D8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3.5.1 项补充：</w:t>
      </w:r>
    </w:p>
    <w:p w14:paraId="60FE1D6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如果这项商定或确定导致费用增加和（或）工期延长，或者涉及确定变更工程的价格，则总监理工程师在发出通知前，应征得发包人的同意。</w:t>
      </w:r>
    </w:p>
    <w:p w14:paraId="0FED3BF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 承包人</w:t>
      </w:r>
    </w:p>
    <w:p w14:paraId="4FFA181E">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4.1 承包人的一般义务</w:t>
      </w:r>
    </w:p>
    <w:p w14:paraId="3362FFE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4.1.9 工程的维护和照管</w:t>
      </w:r>
    </w:p>
    <w:p w14:paraId="1504910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243537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4F50156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（2）在承包人负责照管与维护期间，如果本工程或材料、设备等发生损失或损</w:t>
      </w:r>
    </w:p>
    <w:p w14:paraId="6AD5EEC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害，除不可抗力原因之外，承包人均应自费弥补，并达到合同要求。承包人还应对按第 19 条规定而实施作业过程中由承包人造成的对工程的任何损失或损害负责。</w:t>
      </w:r>
    </w:p>
    <w:p w14:paraId="142E069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4.1.10 其他义务</w:t>
      </w:r>
    </w:p>
    <w:p w14:paraId="5B51F8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5006ECF3">
      <w:pPr>
        <w:keepNext w:val="0"/>
        <w:keepLines w:val="0"/>
        <w:pageBreakBefore w:val="0"/>
        <w:widowControl w:val="0"/>
        <w:numPr>
          <w:ilvl w:val="0"/>
          <w:numId w:val="5"/>
        </w:numPr>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临时占地由承包人向当地政府土地管理部门申请，并办理租用手续，承包人按有关规定直接支付其费用，发包人对此将予以协调。</w:t>
      </w:r>
    </w:p>
    <w:p w14:paraId="160CF3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第100章中由承包人按总额报价。</w:t>
      </w:r>
    </w:p>
    <w:p w14:paraId="7B2723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5AEC8A7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6F1ED8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3）承包人应严格遵守国家有关解决拖欠工程款和民工工资的法律、法规，及时支付工程中的材料、设备货款及民工工资等费用。承包人不得以任何借口拖欠材料、设备货款及民工工资等费用，如果出现此种现象，</w:t>
      </w:r>
      <w:r>
        <w:rPr>
          <w:rFonts w:hint="eastAsia" w:ascii="宋体" w:hAnsi="宋体"/>
          <w:color w:val="000000" w:themeColor="text1"/>
          <w:sz w:val="24"/>
          <w:szCs w:val="24"/>
          <w:highlight w:val="none"/>
          <w14:textFill>
            <w14:solidFill>
              <w14:schemeClr w14:val="tx1"/>
            </w14:solidFill>
          </w14:textFill>
        </w:rPr>
        <w:t>发包人有权代为支付其拖欠的材料、设备货款及民工工资，并从应付给承包人的工程款中扣除相应款项。对恶意拖欠和拒不按计划支付的，作为不良记录纳入</w:t>
      </w:r>
      <w:r>
        <w:rPr>
          <w:rFonts w:hint="eastAsia" w:ascii="宋体" w:hAnsi="宋体"/>
          <w:color w:val="000000" w:themeColor="text1"/>
          <w:sz w:val="24"/>
          <w:szCs w:val="24"/>
          <w:highlight w:val="none"/>
          <w:lang w:eastAsia="zh-CN"/>
          <w14:textFill>
            <w14:solidFill>
              <w14:schemeClr w14:val="tx1"/>
            </w14:solidFill>
          </w14:textFill>
        </w:rPr>
        <w:t>全国公路建设市场监督管理系统</w:t>
      </w:r>
      <w:r>
        <w:rPr>
          <w:rFonts w:hint="eastAsia" w:ascii="宋体" w:hAnsi="宋体"/>
          <w:color w:val="000000" w:themeColor="text1"/>
          <w:sz w:val="24"/>
          <w:szCs w:val="24"/>
          <w:highlight w:val="none"/>
          <w:lang w:val="en-US" w:eastAsia="zh-CN"/>
          <w14:textFill>
            <w14:solidFill>
              <w14:schemeClr w14:val="tx1"/>
            </w14:solidFill>
          </w14:textFill>
        </w:rPr>
        <w:t>（http：//glxy.mot.gov.cn）</w:t>
      </w:r>
      <w:r>
        <w:rPr>
          <w:rFonts w:hint="eastAsia" w:ascii="宋体" w:hAnsi="宋体"/>
          <w:color w:val="000000" w:themeColor="text1"/>
          <w:sz w:val="24"/>
          <w:szCs w:val="24"/>
          <w:highlight w:val="none"/>
          <w14:textFill>
            <w14:solidFill>
              <w14:schemeClr w14:val="tx1"/>
            </w14:solidFill>
          </w14:textFill>
        </w:rPr>
        <w:t>。</w:t>
      </w:r>
    </w:p>
    <w:p w14:paraId="466C3F5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w:t>
      </w:r>
    </w:p>
    <w:p w14:paraId="3FA330C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工资支付表应如实记录支付单位、支付时间、支付对象、支付数额、支付对象的身份证号和签字等信息。民工花名册和工资支付表应报监理人备查。</w:t>
      </w:r>
    </w:p>
    <w:p w14:paraId="4114693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（4）承包人应分</w:t>
      </w:r>
      <w:r>
        <w:rPr>
          <w:rFonts w:hint="eastAsia" w:ascii="宋体" w:hAnsi="宋体"/>
          <w:color w:val="000000" w:themeColor="text1"/>
          <w:sz w:val="24"/>
          <w:szCs w:val="24"/>
          <w:highlight w:val="none"/>
          <w14:textFill>
            <w14:solidFill>
              <w14:schemeClr w14:val="tx1"/>
            </w14:solidFill>
          </w14:textFill>
        </w:rPr>
        <w:t>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w:t>
      </w:r>
      <w:r>
        <w:rPr>
          <w:rFonts w:hint="eastAsia" w:ascii="宋体" w:hAnsi="宋体"/>
          <w:color w:val="auto"/>
          <w:sz w:val="24"/>
          <w:szCs w:val="24"/>
          <w:highlight w:val="none"/>
        </w:rPr>
        <w:t>银行负责日常监管，确保专款专用。开户银行发现账户资金不足、被挪用等情况，应及时向人力资源社会保障部门和交通运输主管部门报告。</w:t>
      </w:r>
    </w:p>
    <w:p w14:paraId="21D0514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第 100 章中。</w:t>
      </w:r>
    </w:p>
    <w:p w14:paraId="7ADCBC6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（6）承包人应履行项目专用合同条款约定的其他义务。</w:t>
      </w:r>
    </w:p>
    <w:p w14:paraId="583B0FC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4.2 履约保证金</w:t>
      </w:r>
    </w:p>
    <w:p w14:paraId="6F67F9E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631F5E7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承包人应保证其履约保证金在发包人签发交工验收证书且承包人按照合同约定缴纳质量保证金前一直有效。发包人应在收到承包人缴纳的质量保证金后28天内将履约保证金退还给承包人。</w:t>
      </w:r>
    </w:p>
    <w:p w14:paraId="7C0097D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承包人拒绝按照本合同约定缴纳质量保证金的，发包人有权从交工付款证书中扣留相应金额作为质量保证金，或者直接将履约保证金金额用于保证承包人在缺陷责任期内履行缺陷修复义务。</w:t>
      </w:r>
    </w:p>
    <w:p w14:paraId="74E8A37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4.3分包</w:t>
      </w:r>
    </w:p>
    <w:p w14:paraId="3B0655C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4.3.2 项～第 4.3.4 项细化为：</w:t>
      </w:r>
    </w:p>
    <w:p w14:paraId="2C98809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4.3.2 承包人</w:t>
      </w:r>
      <w:r>
        <w:rPr>
          <w:rFonts w:hint="eastAsia" w:ascii="宋体" w:hAnsi="宋体"/>
          <w:color w:val="000000" w:themeColor="text1"/>
          <w:sz w:val="24"/>
          <w:szCs w:val="24"/>
          <w:highlight w:val="none"/>
          <w14:textFill>
            <w14:solidFill>
              <w14:schemeClr w14:val="tx1"/>
            </w14:solidFill>
          </w14:textFill>
        </w:rPr>
        <w:t>不得将工程关键性工作分包给第三人。经发包人同意，承包人可将工程的其他部分或工作分包给第三人。分包包括专业分包和劳务分包</w:t>
      </w:r>
      <w:r>
        <w:rPr>
          <w:rFonts w:hint="eastAsia" w:ascii="宋体" w:hAnsi="宋体"/>
          <w:color w:val="0000FF"/>
          <w:sz w:val="24"/>
          <w:szCs w:val="24"/>
          <w:highlight w:val="none"/>
        </w:rPr>
        <w:t>。</w:t>
      </w:r>
    </w:p>
    <w:p w14:paraId="4ED7D901">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4.3.3 专业分包</w:t>
      </w:r>
    </w:p>
    <w:p w14:paraId="64F94BD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在工程施工过程中，承包人进行专业分包必须遵守以下规定：</w:t>
      </w:r>
    </w:p>
    <w:p w14:paraId="45A926A1">
      <w:pPr>
        <w:keepNext w:val="0"/>
        <w:keepLines w:val="0"/>
        <w:pageBreakBefore w:val="0"/>
        <w:widowControl w:val="0"/>
        <w:numPr>
          <w:ilvl w:val="0"/>
          <w:numId w:val="6"/>
        </w:numPr>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20DF0AA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（2）专业分包人的资格能力（含安全生产能力）应与其分包工程的标准和规模相适应，且应当具备如下条件：</w:t>
      </w:r>
    </w:p>
    <w:p w14:paraId="578418E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a.具有经工商登记的法人资格；</w:t>
      </w:r>
    </w:p>
    <w:p w14:paraId="4588C21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b.具有从事类似工程经验的管理与技术人员；</w:t>
      </w:r>
    </w:p>
    <w:p w14:paraId="0C078DC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c.具有（自有或租赁）分包工程所需的施工设备。 </w:t>
      </w:r>
    </w:p>
    <w:p w14:paraId="363E863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承包人应向监理人提交专业分包人的资格能力证明材料，经监理人审查并报发包人批准后，可以将相应专业工程分包给该专业分包人。</w:t>
      </w:r>
    </w:p>
    <w:p w14:paraId="22174A6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（3）专业分包工程不得再次分包。</w:t>
      </w:r>
    </w:p>
    <w:p w14:paraId="5E593D8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480AD3C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22697B4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承包人应当建立健全相关分包管理制度和台账，对专业分包工程的质量、安全、进度和专业分包人的行为等实施全过程管理，按照合同约定对专业分包工程的实施向发包人负责，并承担赔偿责任。专业分包合同不免除承包合同中规定的承包人的责任或者义务。</w:t>
      </w:r>
    </w:p>
    <w:p w14:paraId="2AD97EB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（7）专业分包人应当依据专业分包合同的约定，组织分包工程的施工，并对分包工程的质量、安全和进度等实施有效控制。专业分包人对其分包的工程向承包人负责，并就所分包的工程向发包人承担连带责任。</w:t>
      </w:r>
    </w:p>
    <w:p w14:paraId="734E59E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454C46F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违反上述规定之一者属违规分包。</w:t>
      </w:r>
    </w:p>
    <w:p w14:paraId="2E3B04CF">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4.3.4 劳务分包</w:t>
      </w:r>
    </w:p>
    <w:p w14:paraId="706F148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在工程施工过程中，承包人进行劳务分包必须遵守以下规定：</w:t>
      </w:r>
    </w:p>
    <w:p w14:paraId="4CB1C18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（1）劳务分包人应具有施工劳务资质。</w:t>
      </w:r>
    </w:p>
    <w:p w14:paraId="71F89DD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（2）劳务分包应当依法签订劳务分包合同，劳务分包合同必须由承包人的法定</w:t>
      </w:r>
    </w:p>
    <w:p w14:paraId="6A69C57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28ED89E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雇用的劳务作业应加入到承包人的施工班组统一管理。有关施工质量、施工安全、施工进度、环境保护、技术方案、试验检测、材料保管与供应、机械设备等都必须由承包人管理与调配，不得以包代管。</w:t>
      </w:r>
    </w:p>
    <w:p w14:paraId="7D69F42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（4）承包人应当对劳务分包人员进行安全培训和管理，劳务分包人不得将其分包的劳务作业再次分包。</w:t>
      </w:r>
    </w:p>
    <w:p w14:paraId="37E396F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违反上述规定之一者属违规分包。</w:t>
      </w:r>
    </w:p>
    <w:p w14:paraId="12AAA6A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4.3.6 项、第 4.3.7 项：</w:t>
      </w:r>
    </w:p>
    <w:p w14:paraId="62AC0B5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4.3.6 发包人对承包人与分包人之间的法律与经济纠纷不承担任何责任和义务。</w:t>
      </w:r>
    </w:p>
    <w:p w14:paraId="3D2304F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4.3.7 本项目的各项分包工作均应遵守《公路工程施工分包管理办法》的有关规定。</w:t>
      </w:r>
    </w:p>
    <w:p w14:paraId="1C2ECBF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4.4 联合体</w:t>
      </w:r>
    </w:p>
    <w:p w14:paraId="676389E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4.4.4 项：</w:t>
      </w:r>
    </w:p>
    <w:p w14:paraId="111F3F6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4.4.4 未经发包人事先同意，联合体的组成与结构不得变动。</w:t>
      </w:r>
    </w:p>
    <w:p w14:paraId="0C80CD6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4.6承包人人员的管理</w:t>
      </w:r>
    </w:p>
    <w:p w14:paraId="39DE37C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4.6.3 项细化为：</w:t>
      </w:r>
    </w:p>
    <w:p w14:paraId="468FE13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default" w:ascii="宋体" w:hAnsi="宋体"/>
          <w:color w:val="auto"/>
          <w:sz w:val="24"/>
          <w:szCs w:val="24"/>
          <w:highlight w:val="none"/>
          <w:lang w:val="en-US"/>
        </w:rPr>
      </w:pPr>
      <w:r>
        <w:rPr>
          <w:rFonts w:hint="eastAsia" w:ascii="宋体" w:hAnsi="宋体"/>
          <w:color w:val="auto"/>
          <w:sz w:val="24"/>
          <w:szCs w:val="24"/>
          <w:highlight w:val="none"/>
        </w:rPr>
        <w:t>承包人安排在</w:t>
      </w:r>
      <w:r>
        <w:rPr>
          <w:rFonts w:hint="eastAsia" w:ascii="宋体" w:hAnsi="宋体"/>
          <w:color w:val="000000" w:themeColor="text1"/>
          <w:sz w:val="24"/>
          <w:szCs w:val="24"/>
          <w:highlight w:val="none"/>
          <w14:textFill>
            <w14:solidFill>
              <w14:schemeClr w14:val="tx1"/>
            </w14:solidFill>
          </w14:textFill>
        </w:rPr>
        <w:t>施工场地的主要管理人员和技术骨干</w:t>
      </w:r>
      <w:r>
        <w:rPr>
          <w:rFonts w:hint="eastAsia" w:ascii="宋体" w:hAnsi="宋体"/>
          <w:color w:val="000000" w:themeColor="text1"/>
          <w:sz w:val="24"/>
          <w:szCs w:val="24"/>
          <w:highlight w:val="none"/>
          <w:lang w:val="en-US" w:eastAsia="zh-CN"/>
          <w14:textFill>
            <w14:solidFill>
              <w14:schemeClr w14:val="tx1"/>
            </w14:solidFill>
          </w14:textFill>
        </w:rPr>
        <w:t>及项目组成员（</w:t>
      </w:r>
      <w:r>
        <w:rPr>
          <w:rFonts w:hint="eastAsia" w:ascii="宋体" w:hAnsi="宋体" w:eastAsia="宋体" w:cs="宋体"/>
          <w:color w:val="000000" w:themeColor="text1"/>
          <w:sz w:val="22"/>
          <w:szCs w:val="22"/>
          <w:highlight w:val="none"/>
          <w14:textFill>
            <w14:solidFill>
              <w14:schemeClr w14:val="tx1"/>
            </w14:solidFill>
          </w14:textFill>
        </w:rPr>
        <w:t>施工员、安全员、</w:t>
      </w:r>
      <w:r>
        <w:rPr>
          <w:rFonts w:hint="eastAsia" w:ascii="宋体" w:hAnsi="宋体" w:eastAsia="宋体" w:cs="宋体"/>
          <w:color w:val="000000" w:themeColor="text1"/>
          <w:sz w:val="22"/>
          <w:szCs w:val="22"/>
          <w:highlight w:val="none"/>
          <w:lang w:eastAsia="zh-CN"/>
          <w14:textFill>
            <w14:solidFill>
              <w14:schemeClr w14:val="tx1"/>
            </w14:solidFill>
          </w14:textFill>
        </w:rPr>
        <w:t>预算员（或</w:t>
      </w:r>
      <w:r>
        <w:rPr>
          <w:rFonts w:hint="eastAsia" w:ascii="宋体" w:hAnsi="宋体" w:eastAsia="宋体" w:cs="宋体"/>
          <w:color w:val="000000" w:themeColor="text1"/>
          <w:sz w:val="22"/>
          <w:szCs w:val="22"/>
          <w:highlight w:val="none"/>
          <w14:textFill>
            <w14:solidFill>
              <w14:schemeClr w14:val="tx1"/>
            </w14:solidFill>
          </w14:textFill>
        </w:rPr>
        <w:t>造价员</w:t>
      </w:r>
      <w:r>
        <w:rPr>
          <w:rFonts w:hint="eastAsia" w:ascii="宋体" w:hAnsi="宋体" w:eastAsia="宋体" w:cs="宋体"/>
          <w:color w:val="000000" w:themeColor="text1"/>
          <w:sz w:val="22"/>
          <w:szCs w:val="22"/>
          <w:highlight w:val="none"/>
          <w:lang w:eastAsia="zh-CN"/>
          <w14:textFill>
            <w14:solidFill>
              <w14:schemeClr w14:val="tx1"/>
            </w14:solidFill>
          </w14:textFill>
        </w:rPr>
        <w:t>）</w:t>
      </w:r>
      <w:r>
        <w:rPr>
          <w:rFonts w:hint="eastAsia" w:ascii="宋体" w:hAnsi="宋体" w:eastAsia="宋体" w:cs="宋体"/>
          <w:color w:val="000000" w:themeColor="text1"/>
          <w:sz w:val="22"/>
          <w:szCs w:val="22"/>
          <w:highlight w:val="none"/>
          <w14:textFill>
            <w14:solidFill>
              <w14:schemeClr w14:val="tx1"/>
            </w14:solidFill>
          </w14:textFill>
        </w:rPr>
        <w:t>、</w:t>
      </w:r>
      <w:r>
        <w:rPr>
          <w:rFonts w:hint="eastAsia" w:ascii="宋体" w:hAnsi="宋体" w:eastAsia="宋体" w:cs="宋体"/>
          <w:color w:val="000000" w:themeColor="text1"/>
          <w:sz w:val="22"/>
          <w:szCs w:val="22"/>
          <w:highlight w:val="none"/>
          <w:lang w:val="en-US" w:eastAsia="zh-CN"/>
          <w14:textFill>
            <w14:solidFill>
              <w14:schemeClr w14:val="tx1"/>
            </w14:solidFill>
          </w14:textFill>
        </w:rPr>
        <w:t>测量</w:t>
      </w:r>
      <w:r>
        <w:rPr>
          <w:rFonts w:hint="eastAsia" w:ascii="宋体" w:hAnsi="宋体" w:eastAsia="宋体" w:cs="宋体"/>
          <w:color w:val="000000" w:themeColor="text1"/>
          <w:sz w:val="22"/>
          <w:szCs w:val="22"/>
          <w:highlight w:val="none"/>
          <w14:textFill>
            <w14:solidFill>
              <w14:schemeClr w14:val="tx1"/>
            </w14:solidFill>
          </w14:textFill>
        </w:rPr>
        <w:t>员、质量员、</w:t>
      </w:r>
      <w:r>
        <w:rPr>
          <w:rFonts w:hint="eastAsia" w:ascii="宋体" w:hAnsi="宋体" w:eastAsia="宋体" w:cs="宋体"/>
          <w:color w:val="000000" w:themeColor="text1"/>
          <w:sz w:val="22"/>
          <w:szCs w:val="22"/>
          <w:highlight w:val="none"/>
          <w:lang w:eastAsia="zh-CN"/>
          <w14:textFill>
            <w14:solidFill>
              <w14:schemeClr w14:val="tx1"/>
            </w14:solidFill>
          </w14:textFill>
        </w:rPr>
        <w:t>材</w:t>
      </w:r>
      <w:r>
        <w:rPr>
          <w:rFonts w:hint="eastAsia" w:ascii="宋体" w:hAnsi="宋体" w:eastAsia="宋体" w:cs="宋体"/>
          <w:color w:val="000000" w:themeColor="text1"/>
          <w:sz w:val="22"/>
          <w:szCs w:val="22"/>
          <w:highlight w:val="none"/>
          <w14:textFill>
            <w14:solidFill>
              <w14:schemeClr w14:val="tx1"/>
            </w14:solidFill>
          </w14:textFill>
        </w:rPr>
        <w:t>料员、</w:t>
      </w:r>
      <w:r>
        <w:rPr>
          <w:rFonts w:hint="eastAsia" w:cs="宋体"/>
          <w:color w:val="000000" w:themeColor="text1"/>
          <w:sz w:val="22"/>
          <w:szCs w:val="22"/>
          <w:highlight w:val="none"/>
          <w:lang w:val="en-US" w:eastAsia="zh-CN"/>
          <w14:textFill>
            <w14:solidFill>
              <w14:schemeClr w14:val="tx1"/>
            </w14:solidFill>
          </w14:textFill>
        </w:rPr>
        <w:t>标准员</w:t>
      </w:r>
      <w:r>
        <w:rPr>
          <w:rFonts w:hint="eastAsia" w:ascii="宋体" w:hAnsi="宋体" w:eastAsia="宋体" w:cs="宋体"/>
          <w:color w:val="000000" w:themeColor="text1"/>
          <w:sz w:val="22"/>
          <w:szCs w:val="22"/>
          <w:highlight w:val="none"/>
          <w14:textFill>
            <w14:solidFill>
              <w14:schemeClr w14:val="tx1"/>
            </w14:solidFill>
          </w14:textFill>
        </w:rPr>
        <w:t>、</w:t>
      </w:r>
      <w:r>
        <w:rPr>
          <w:rFonts w:hint="eastAsia" w:cs="宋体"/>
          <w:color w:val="000000" w:themeColor="text1"/>
          <w:sz w:val="22"/>
          <w:szCs w:val="22"/>
          <w:highlight w:val="none"/>
          <w:lang w:val="en-US" w:eastAsia="zh-CN"/>
          <w14:textFill>
            <w14:solidFill>
              <w14:schemeClr w14:val="tx1"/>
            </w14:solidFill>
          </w14:textFill>
        </w:rPr>
        <w:t>资料员</w:t>
      </w:r>
      <w:r>
        <w:rPr>
          <w:rFonts w:hint="eastAsia" w:ascii="宋体" w:hAnsi="宋体" w:eastAsia="宋体" w:cs="宋体"/>
          <w:color w:val="000000" w:themeColor="text1"/>
          <w:sz w:val="22"/>
          <w:szCs w:val="22"/>
          <w:highlight w:val="none"/>
          <w:lang w:val="en-US" w:eastAsia="zh-CN"/>
          <w14:textFill>
            <w14:solidFill>
              <w14:schemeClr w14:val="tx1"/>
            </w14:solidFill>
          </w14:textFill>
        </w:rPr>
        <w:t>等</w:t>
      </w:r>
      <w:r>
        <w:rPr>
          <w:rFonts w:hint="eastAsia" w:ascii="宋体" w:hAnsi="宋体"/>
          <w:color w:val="000000" w:themeColor="text1"/>
          <w:sz w:val="24"/>
          <w:szCs w:val="24"/>
          <w:highlight w:val="none"/>
          <w:lang w:val="en-US" w:eastAsia="zh-CN"/>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应与承包人</w:t>
      </w:r>
      <w:r>
        <w:rPr>
          <w:rFonts w:hint="eastAsia" w:ascii="宋体" w:hAnsi="宋体"/>
          <w:color w:val="000000" w:themeColor="text1"/>
          <w:sz w:val="24"/>
          <w:szCs w:val="24"/>
          <w:highlight w:val="none"/>
          <w:lang w:val="en-US" w:eastAsia="zh-CN"/>
          <w14:textFill>
            <w14:solidFill>
              <w14:schemeClr w14:val="tx1"/>
            </w14:solidFill>
          </w14:textFill>
        </w:rPr>
        <w:t>投标文件提供的人员</w:t>
      </w:r>
      <w:r>
        <w:rPr>
          <w:rFonts w:hint="eastAsia" w:ascii="宋体" w:hAnsi="宋体"/>
          <w:color w:val="000000" w:themeColor="text1"/>
          <w:sz w:val="24"/>
          <w:szCs w:val="24"/>
          <w:highlight w:val="none"/>
          <w14:textFill>
            <w14:solidFill>
              <w14:schemeClr w14:val="tx1"/>
            </w14:solidFill>
          </w14:textFill>
        </w:rPr>
        <w:t>名单一致，并保持相对稳定。未经监理人批准，</w:t>
      </w:r>
      <w:r>
        <w:rPr>
          <w:rFonts w:hint="eastAsia" w:ascii="宋体" w:hAnsi="宋体"/>
          <w:color w:val="auto"/>
          <w:sz w:val="24"/>
          <w:szCs w:val="24"/>
          <w:highlight w:val="none"/>
        </w:rPr>
        <w:t>上述人员不应无故不到位或被替换；若确实无法到位或需替换，需经监理人审核并报发包人批准后，用同等资质和经历的人员替换</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如有违反上述要求，发包人有权解除合同，</w:t>
      </w:r>
      <w:r>
        <w:rPr>
          <w:rFonts w:hint="eastAsia" w:ascii="宋体" w:hAnsi="宋体"/>
          <w:color w:val="auto"/>
          <w:sz w:val="24"/>
          <w:szCs w:val="24"/>
          <w:highlight w:val="none"/>
        </w:rPr>
        <w:t>同时</w:t>
      </w:r>
      <w:r>
        <w:rPr>
          <w:rFonts w:hint="eastAsia" w:ascii="宋体" w:hAnsi="宋体"/>
          <w:color w:val="auto"/>
          <w:sz w:val="24"/>
          <w:szCs w:val="24"/>
          <w:highlight w:val="none"/>
          <w:lang w:val="en-US" w:eastAsia="zh-CN"/>
        </w:rPr>
        <w:t>发包人</w:t>
      </w:r>
      <w:r>
        <w:rPr>
          <w:rFonts w:hint="eastAsia" w:ascii="宋体" w:hAnsi="宋体"/>
          <w:color w:val="auto"/>
          <w:sz w:val="24"/>
          <w:szCs w:val="24"/>
          <w:highlight w:val="none"/>
        </w:rPr>
        <w:t>将</w:t>
      </w:r>
      <w:r>
        <w:rPr>
          <w:rFonts w:hint="eastAsia" w:ascii="宋体" w:hAnsi="宋体"/>
          <w:color w:val="auto"/>
          <w:sz w:val="24"/>
          <w:szCs w:val="24"/>
          <w:highlight w:val="none"/>
          <w:lang w:val="en-US" w:eastAsia="zh-CN"/>
        </w:rPr>
        <w:t>承包</w:t>
      </w:r>
      <w:r>
        <w:rPr>
          <w:rFonts w:hint="eastAsia" w:ascii="宋体" w:hAnsi="宋体"/>
          <w:color w:val="auto"/>
          <w:sz w:val="24"/>
          <w:szCs w:val="24"/>
          <w:highlight w:val="none"/>
        </w:rPr>
        <w:t>人上述行为上报省级交通运输主管部门，作为不良记录纳入</w:t>
      </w:r>
      <w:r>
        <w:rPr>
          <w:rFonts w:hint="eastAsia" w:ascii="宋体" w:hAnsi="宋体"/>
          <w:color w:val="auto"/>
          <w:sz w:val="24"/>
          <w:szCs w:val="24"/>
          <w:highlight w:val="none"/>
          <w:lang w:eastAsia="zh-CN"/>
        </w:rPr>
        <w:t>全国公路建设市场监督管理系统</w:t>
      </w:r>
      <w:r>
        <w:rPr>
          <w:rFonts w:hint="eastAsia" w:ascii="宋体" w:hAnsi="宋体"/>
          <w:color w:val="auto"/>
          <w:sz w:val="24"/>
          <w:szCs w:val="24"/>
          <w:highlight w:val="none"/>
          <w:lang w:val="en-US" w:eastAsia="zh-CN"/>
        </w:rPr>
        <w:t>（ http：//glxy.mot.gov.cn），由此产生的后果由承包人承担。</w:t>
      </w:r>
    </w:p>
    <w:p w14:paraId="379418B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4.6.5 项：</w:t>
      </w:r>
    </w:p>
    <w:p w14:paraId="4DD5CFD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FF"/>
          <w:sz w:val="24"/>
          <w:szCs w:val="24"/>
          <w:highlight w:val="none"/>
        </w:rPr>
      </w:pPr>
      <w:r>
        <w:rPr>
          <w:rFonts w:hint="eastAsia" w:ascii="宋体" w:hAnsi="宋体"/>
          <w:color w:val="auto"/>
          <w:sz w:val="24"/>
          <w:szCs w:val="24"/>
          <w:highlight w:val="none"/>
        </w:rPr>
        <w:t>4.6.5 尽管承包人已按承</w:t>
      </w:r>
      <w:r>
        <w:rPr>
          <w:rFonts w:hint="eastAsia" w:ascii="宋体" w:hAnsi="宋体"/>
          <w:color w:val="000000" w:themeColor="text1"/>
          <w:sz w:val="24"/>
          <w:szCs w:val="24"/>
          <w:highlight w:val="none"/>
          <w14:textFill>
            <w14:solidFill>
              <w14:schemeClr w14:val="tx1"/>
            </w14:solidFill>
          </w14:textFill>
        </w:rPr>
        <w:t>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7E61FA4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4.7 撤换承包人项目经理和其他人员</w:t>
      </w:r>
    </w:p>
    <w:p w14:paraId="1AC8A7C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494D9E7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auto"/>
          <w:sz w:val="24"/>
          <w:szCs w:val="24"/>
          <w:highlight w:val="none"/>
        </w:rPr>
        <w:t>承包人应对其项目经理和其他人员进行有效管理。监理人要求撤换不能胜任本职工作、行为不端或玩忽职守的承包人项目经理和其他</w:t>
      </w:r>
      <w:r>
        <w:rPr>
          <w:rFonts w:hint="eastAsia" w:ascii="宋体" w:hAnsi="宋体"/>
          <w:color w:val="000000" w:themeColor="text1"/>
          <w:sz w:val="24"/>
          <w:szCs w:val="24"/>
          <w:highlight w:val="none"/>
          <w14:textFill>
            <w14:solidFill>
              <w14:schemeClr w14:val="tx1"/>
            </w14:solidFill>
          </w14:textFill>
        </w:rPr>
        <w:t>人员的，承包人应予以撤换，同时委派经发包人与监理人同意的新的项目经理和其他人员。</w:t>
      </w:r>
      <w:r>
        <w:rPr>
          <w:rFonts w:hint="eastAsia" w:ascii="宋体" w:hAnsi="宋体"/>
          <w:color w:val="000000" w:themeColor="text1"/>
          <w:sz w:val="24"/>
          <w:szCs w:val="24"/>
          <w:highlight w:val="none"/>
          <w:lang w:val="en-US" w:eastAsia="zh-CN"/>
          <w14:textFill>
            <w14:solidFill>
              <w14:schemeClr w14:val="tx1"/>
            </w14:solidFill>
          </w14:textFill>
        </w:rPr>
        <w:t>如拒不撤换或撤换后仍不能达到要求的，发包人有权解除合同，由此产生的后果由承包人承担。</w:t>
      </w:r>
    </w:p>
    <w:p w14:paraId="61F230F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4.9 工程价款应专款专用</w:t>
      </w:r>
    </w:p>
    <w:p w14:paraId="78A913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本款细化为： </w:t>
      </w:r>
    </w:p>
    <w:p w14:paraId="5FB4B9D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款应为本工程的专款专用资金，不得转移或用于其他工程。发包人的支付款将转入该银行所设的专门账户，发包人及其派出机构有权不定期对承包人工程资金使用情况进行检查，发现问题及时责令承包人限期改正，否则，将终止支付，直至承包人改正为止。</w:t>
      </w:r>
    </w:p>
    <w:p w14:paraId="7CC6A18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4.10 承包人现场查勘</w:t>
      </w:r>
    </w:p>
    <w:p w14:paraId="7F576CE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4.10.1 项细化为：</w:t>
      </w:r>
    </w:p>
    <w:p w14:paraId="247892B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14:paraId="7C2AD92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4.11 不利物质条件</w:t>
      </w:r>
    </w:p>
    <w:p w14:paraId="23F9E45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4.11.2 项细化为：</w:t>
      </w:r>
    </w:p>
    <w:p w14:paraId="26F7073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p>
    <w:p w14:paraId="14C3680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4.11.3 项：</w:t>
      </w:r>
    </w:p>
    <w:p w14:paraId="6D12C39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4.11.3 可预见的不利物质条件</w:t>
      </w:r>
    </w:p>
    <w:p w14:paraId="26C825E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（1）对于项目专用合同条款中已经明确指出的不利物质条件无论承包人是否有其经历和经验均视为承包人在接受合同时已预见其影响，并已在签约合同价中计入因其影响而可能发生的一切费用。</w:t>
      </w:r>
    </w:p>
    <w:p w14:paraId="6306366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（2）对于项目专用合同条款未明确指出，但是在不利物质条件发生之前，监理人已经指示承包人有可能发生，但承包人未能及时采取有效措施，而导致的损失和后果均由承包人承担。</w:t>
      </w:r>
    </w:p>
    <w:p w14:paraId="56030AD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4.12 款、第 4.13 款：</w:t>
      </w:r>
    </w:p>
    <w:p w14:paraId="7DA2846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4.12 投标文件的完备性</w:t>
      </w:r>
    </w:p>
    <w:p w14:paraId="4DCFD24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6301509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4.13 开展党建工作要求</w:t>
      </w:r>
    </w:p>
    <w:p w14:paraId="021BF17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对于政府投资的国家高速公路项目，或承包人为国有控股或参股企业的，承包人应按规定在项目现场设立基层党组织。不满足上述情形的，承包人应创造条件使党员能够参加党组织生活并接受相应管理。</w:t>
      </w:r>
    </w:p>
    <w:p w14:paraId="5D8E47D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455CF80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5. 材料和工程设备</w:t>
      </w:r>
    </w:p>
    <w:p w14:paraId="57842EC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5.2 发包人提供的材料和工程设备</w:t>
      </w:r>
    </w:p>
    <w:p w14:paraId="11BC5CE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5.2.3 项补充：</w:t>
      </w:r>
    </w:p>
    <w:p w14:paraId="671060A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318C539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6. 施工设备和临时设施</w:t>
      </w:r>
    </w:p>
    <w:p w14:paraId="2D412FA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6.1 承包人提供的施工设备和临时设施</w:t>
      </w:r>
    </w:p>
    <w:p w14:paraId="3CBD023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6.1.2 项约定为：</w:t>
      </w:r>
    </w:p>
    <w:p w14:paraId="642191D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承包人应自行承担修建临时设施的费用，需要临时占地的，应由承包人按第4.1.10 项（1）目的规定办理。</w:t>
      </w:r>
    </w:p>
    <w:p w14:paraId="3A7C9A1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6.3 要求承包人增加或更换施工设备</w:t>
      </w:r>
    </w:p>
    <w:p w14:paraId="559B442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本款细化为： </w:t>
      </w:r>
    </w:p>
    <w:p w14:paraId="30841CF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olor w:val="FF0000"/>
          <w:sz w:val="24"/>
          <w:szCs w:val="24"/>
          <w:highlight w:val="none"/>
          <w:lang w:val="en-US" w:eastAsia="zh-CN"/>
        </w:rPr>
      </w:pPr>
      <w:r>
        <w:rPr>
          <w:rFonts w:hint="eastAsia" w:ascii="宋体" w:hAnsi="宋体"/>
          <w:color w:val="auto"/>
          <w:sz w:val="24"/>
          <w:szCs w:val="24"/>
          <w:highlight w:val="none"/>
        </w:rPr>
        <w:t>承</w:t>
      </w:r>
      <w:r>
        <w:rPr>
          <w:rFonts w:hint="eastAsia" w:ascii="宋体" w:hAnsi="宋体"/>
          <w:color w:val="000000" w:themeColor="text1"/>
          <w:sz w:val="24"/>
          <w:szCs w:val="24"/>
          <w:highlight w:val="none"/>
          <w14:textFill>
            <w14:solidFill>
              <w14:schemeClr w14:val="tx1"/>
            </w14:solidFill>
          </w14:textFill>
        </w:rPr>
        <w:t>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r>
        <w:rPr>
          <w:rFonts w:hint="eastAsia" w:ascii="宋体" w:hAnsi="宋体"/>
          <w:color w:val="000000" w:themeColor="text1"/>
          <w:sz w:val="24"/>
          <w:szCs w:val="24"/>
          <w:highlight w:val="none"/>
          <w:lang w:val="en-US" w:eastAsia="zh-CN"/>
          <w14:textFill>
            <w14:solidFill>
              <w14:schemeClr w14:val="tx1"/>
            </w14:solidFill>
          </w14:textFill>
        </w:rPr>
        <w:t>如</w:t>
      </w:r>
      <w:r>
        <w:rPr>
          <w:rFonts w:hint="eastAsia" w:ascii="宋体" w:hAnsi="宋体"/>
          <w:color w:val="000000" w:themeColor="text1"/>
          <w:sz w:val="24"/>
          <w:szCs w:val="24"/>
          <w:highlight w:val="none"/>
          <w14:textFill>
            <w14:solidFill>
              <w14:schemeClr w14:val="tx1"/>
            </w14:solidFill>
          </w14:textFill>
        </w:rPr>
        <w:t>增加或更换</w:t>
      </w:r>
      <w:r>
        <w:rPr>
          <w:rFonts w:hint="eastAsia" w:ascii="宋体" w:hAnsi="宋体"/>
          <w:color w:val="000000" w:themeColor="text1"/>
          <w:sz w:val="24"/>
          <w:szCs w:val="24"/>
          <w:highlight w:val="none"/>
          <w:lang w:val="en-US" w:eastAsia="zh-CN"/>
          <w14:textFill>
            <w14:solidFill>
              <w14:schemeClr w14:val="tx1"/>
            </w14:solidFill>
          </w14:textFill>
        </w:rPr>
        <w:t>的</w:t>
      </w:r>
      <w:r>
        <w:rPr>
          <w:rFonts w:hint="eastAsia" w:ascii="宋体" w:hAnsi="宋体"/>
          <w:color w:val="000000" w:themeColor="text1"/>
          <w:sz w:val="24"/>
          <w:szCs w:val="24"/>
          <w:highlight w:val="none"/>
          <w14:textFill>
            <w14:solidFill>
              <w14:schemeClr w14:val="tx1"/>
            </w14:solidFill>
          </w14:textFill>
        </w:rPr>
        <w:t>施工设备</w:t>
      </w:r>
      <w:r>
        <w:rPr>
          <w:rFonts w:hint="eastAsia" w:ascii="宋体" w:hAnsi="宋体"/>
          <w:color w:val="000000" w:themeColor="text1"/>
          <w:sz w:val="24"/>
          <w:szCs w:val="24"/>
          <w:highlight w:val="none"/>
          <w:lang w:val="en-US" w:eastAsia="zh-CN"/>
          <w14:textFill>
            <w14:solidFill>
              <w14:schemeClr w14:val="tx1"/>
            </w14:solidFill>
          </w14:textFill>
        </w:rPr>
        <w:t>仍</w:t>
      </w:r>
      <w:r>
        <w:rPr>
          <w:rFonts w:hint="eastAsia" w:ascii="宋体" w:hAnsi="宋体"/>
          <w:color w:val="000000" w:themeColor="text1"/>
          <w:sz w:val="24"/>
          <w:szCs w:val="24"/>
          <w:highlight w:val="none"/>
          <w14:textFill>
            <w14:solidFill>
              <w14:schemeClr w14:val="tx1"/>
            </w14:solidFill>
          </w14:textFill>
        </w:rPr>
        <w:t>不能满足合同进度计划和（或）质量要求</w:t>
      </w:r>
      <w:r>
        <w:rPr>
          <w:rFonts w:hint="eastAsia" w:ascii="宋体" w:hAnsi="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szCs w:val="24"/>
          <w:highlight w:val="none"/>
          <w:lang w:val="en-US" w:eastAsia="zh-CN"/>
          <w14:textFill>
            <w14:solidFill>
              <w14:schemeClr w14:val="tx1"/>
            </w14:solidFill>
          </w14:textFill>
        </w:rPr>
        <w:t>发包人有权与其解除合同，由此产生的后果由</w:t>
      </w:r>
      <w:r>
        <w:rPr>
          <w:rFonts w:hint="eastAsia" w:ascii="宋体" w:hAnsi="宋体"/>
          <w:color w:val="000000" w:themeColor="text1"/>
          <w:sz w:val="24"/>
          <w:szCs w:val="24"/>
          <w:highlight w:val="none"/>
          <w14:textFill>
            <w14:solidFill>
              <w14:schemeClr w14:val="tx1"/>
            </w14:solidFill>
          </w14:textFill>
        </w:rPr>
        <w:t>承包人承担</w:t>
      </w:r>
      <w:r>
        <w:rPr>
          <w:rFonts w:hint="eastAsia" w:ascii="宋体" w:hAnsi="宋体"/>
          <w:color w:val="000000" w:themeColor="text1"/>
          <w:sz w:val="24"/>
          <w:szCs w:val="24"/>
          <w:highlight w:val="none"/>
          <w:lang w:eastAsia="zh-CN"/>
          <w14:textFill>
            <w14:solidFill>
              <w14:schemeClr w14:val="tx1"/>
            </w14:solidFill>
          </w14:textFill>
        </w:rPr>
        <w:t>。</w:t>
      </w:r>
    </w:p>
    <w:p w14:paraId="0A48104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7. 交通运输</w:t>
      </w:r>
    </w:p>
    <w:p w14:paraId="5040DF3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7.1 道路通行权和场外设施</w:t>
      </w:r>
    </w:p>
    <w:p w14:paraId="2DE4079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 承包人应根据合同工程的施工需要，负责办理取得出入施工场地的专用和临时道路的通行权，以及取得为工程建设所需修建场外设施的权利，并承担有关费用。 需要发包人协调时，发包人应协助承包人办理相关手续。</w:t>
      </w:r>
    </w:p>
    <w:p w14:paraId="372029F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8. 测量放线</w:t>
      </w:r>
    </w:p>
    <w:p w14:paraId="65B79B1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8.4 监理人使用施工控制网</w:t>
      </w:r>
    </w:p>
    <w:p w14:paraId="39F1412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40350CA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经监理人批准，其他相关承包人也可免费使用施工控制网。</w:t>
      </w:r>
    </w:p>
    <w:p w14:paraId="394B2DF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9. 施工安全、治安保卫和环境保护</w:t>
      </w:r>
    </w:p>
    <w:p w14:paraId="76D8212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9.2 承包人的施工安全责任</w:t>
      </w:r>
    </w:p>
    <w:p w14:paraId="735D271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9.2.1 项细化为：</w:t>
      </w:r>
    </w:p>
    <w:p w14:paraId="6663F4C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5C18F36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0513AC1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本项目需要编制专项施工方案的工程包括但不限于以下内容：</w:t>
      </w:r>
    </w:p>
    <w:p w14:paraId="3332527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（1）不良地质条件下有潜在危险性的土方、石方开挖；</w:t>
      </w:r>
    </w:p>
    <w:p w14:paraId="6DE06B3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（2）滑坡和高边坡处理；</w:t>
      </w:r>
    </w:p>
    <w:p w14:paraId="0258E6C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（3）桩基础、挡墙基础、深水基础及围堰工程；</w:t>
      </w:r>
    </w:p>
    <w:p w14:paraId="27841CA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（4）桥梁工程中的梁、拱、柱等构件施工等；</w:t>
      </w:r>
    </w:p>
    <w:p w14:paraId="175391E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（5）隧道工程中的不良地质隧道、高瓦斯隧道等；</w:t>
      </w:r>
    </w:p>
    <w:p w14:paraId="11F8730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（6）水上工程中的打桩船作业、施工船作业、外海孤岛作业、边通航边施工作</w:t>
      </w:r>
    </w:p>
    <w:p w14:paraId="6848EFC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业等；</w:t>
      </w:r>
    </w:p>
    <w:p w14:paraId="34E7C41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（7）水下工程中的水下焊接、混凝土浇筑、爆破工程等；</w:t>
      </w:r>
    </w:p>
    <w:p w14:paraId="162CBC4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（8）爆破工程；</w:t>
      </w:r>
    </w:p>
    <w:p w14:paraId="5F5BDBF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（9）大型临时工程中的大型支架、模板、便桥的架设与拆除；桥梁、码头的加固与拆除；</w:t>
      </w:r>
    </w:p>
    <w:p w14:paraId="2B6137E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（10）其他危险性较大的工程。</w:t>
      </w:r>
    </w:p>
    <w:p w14:paraId="2D4DC47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监理人和发包人在检查中发现有安全问题或有违反安全管理规章制度的情况时，可视为承包人违约，应按第 22.1 款的规定办理。</w:t>
      </w:r>
    </w:p>
    <w:p w14:paraId="036E3FD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9.2.5 项细化为：</w:t>
      </w:r>
    </w:p>
    <w:p w14:paraId="64265E7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除项目专用合同条款另有约定外，</w:t>
      </w:r>
      <w:r>
        <w:rPr>
          <w:rFonts w:hint="eastAsia" w:ascii="宋体" w:hAnsi="宋体"/>
          <w:color w:val="000000" w:themeColor="text1"/>
          <w:sz w:val="24"/>
          <w:szCs w:val="24"/>
          <w:highlight w:val="none"/>
          <w14:textFill>
            <w14:solidFill>
              <w14:schemeClr w14:val="tx1"/>
            </w14:solidFill>
          </w14:textFill>
        </w:rPr>
        <w:t>安全生产费用应为投标价（不含安全生产费及建筑工程一切险及第三者责任险的保险费）的 1.5%（若发包人公布了最高投标限价时，按最高投标限价的 1.5%计）。安全生</w:t>
      </w:r>
      <w:r>
        <w:rPr>
          <w:rFonts w:hint="eastAsia" w:ascii="宋体" w:hAnsi="宋体"/>
          <w:color w:val="auto"/>
          <w:sz w:val="24"/>
          <w:szCs w:val="24"/>
          <w:highlight w:val="none"/>
        </w:rPr>
        <w:t>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p>
    <w:p w14:paraId="7C9EA19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9.2.8 项～第 9.2.11 项：</w:t>
      </w:r>
    </w:p>
    <w:p w14:paraId="1D0C64F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9.2.8 承包人应充分关注和保障所有在现场工作的人员的安全，采取以下有效措施，使现场和本合同工程的实施保持有条不紊，以免使上述人员的安全受到威胁。</w:t>
      </w:r>
    </w:p>
    <w:p w14:paraId="291DA58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（1）按</w:t>
      </w:r>
      <w:r>
        <w:rPr>
          <w:rFonts w:hint="eastAsia" w:ascii="宋体" w:hAnsi="宋体"/>
          <w:color w:val="000000" w:themeColor="text1"/>
          <w:sz w:val="24"/>
          <w:szCs w:val="24"/>
          <w:highlight w:val="none"/>
          <w14:textFill>
            <w14:solidFill>
              <w14:schemeClr w14:val="tx1"/>
            </w14:solidFill>
          </w14:textFill>
        </w:rPr>
        <w:t>《公路水运工程安全生产监督管理办法》规定的最低数量和资质条件配备专职安全生产管理人员；</w:t>
      </w:r>
    </w:p>
    <w:p w14:paraId="47448D6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（2）承包人的</w:t>
      </w:r>
      <w:r>
        <w:rPr>
          <w:rFonts w:hint="eastAsia" w:ascii="宋体" w:hAnsi="宋体"/>
          <w:color w:val="000000" w:themeColor="text1"/>
          <w:sz w:val="24"/>
          <w:szCs w:val="24"/>
          <w:highlight w:val="none"/>
          <w14:textFill>
            <w14:solidFill>
              <w14:schemeClr w14:val="tx1"/>
            </w14:solidFill>
          </w14:textFill>
        </w:rPr>
        <w:t>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15D8EDE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（3）所有施工机具设备和高空作业设备均应定期检查，并有安全员的签字记录；</w:t>
      </w:r>
    </w:p>
    <w:p w14:paraId="425AFEB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（4）根据本合同各单位工程的施工特点，严格执行《公路水运工程安全生产监督管理办法》《公路工程施工安全技术规范》等有关规定。</w:t>
      </w:r>
    </w:p>
    <w:p w14:paraId="2CEE0DD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9.2.9 为了保护本合同工程免遭损坏，或为了现场附近和过往群众的安全与方便，在确有必要的时候和地方，或当监理人或有关主管部门要求时，承包人应自费提供照明、警卫、护栅、警告标志等安全防护设施。</w:t>
      </w:r>
    </w:p>
    <w:p w14:paraId="5D8893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9.2.10 在通航水域施工时，承包人应与当地主管部门取得联系，设置必要的导航标志，及时发布航行通告，确保施工水域安全。</w:t>
      </w:r>
    </w:p>
    <w:p w14:paraId="7EA02D0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1631E99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9.4环境保护</w:t>
      </w:r>
    </w:p>
    <w:p w14:paraId="374C54C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9.4.7 项~第 9.4.11 项：</w:t>
      </w:r>
    </w:p>
    <w:p w14:paraId="4A9F36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9.4.7 承包人应切实执行技术规范中有关环境保护方面的条款和规定。</w:t>
      </w:r>
    </w:p>
    <w:p w14:paraId="70169D6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w:t>
      </w:r>
    </w:p>
    <w:p w14:paraId="444DC6D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（2）对于公路施工中粉尘污染的主要污染源―灰土拌和、施工车辆和筑路机械运行及运输产生的扬尘,应采取有效措施减轻其对施工现场的大气污染,保护人民健康，如：</w:t>
      </w:r>
    </w:p>
    <w:p w14:paraId="720C226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a.拌和设备应有较好的密封，或有防尘设备。</w:t>
      </w:r>
    </w:p>
    <w:p w14:paraId="00DDAF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b.施工通道、沥青混凝土拌和站及灰土拌和站应经常进行洒水降尘。</w:t>
      </w:r>
    </w:p>
    <w:p w14:paraId="0AF412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c.路面施工应注意保持水分，以免扬尘。</w:t>
      </w:r>
    </w:p>
    <w:p w14:paraId="5CE6B1F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d.隧道出渣和桥梁钻孔灌注桩施工时排出的泥浆要进行妥善处理，严禁向河流或农田排放。</w:t>
      </w:r>
    </w:p>
    <w:p w14:paraId="718204F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（3）采取可靠措施保证原有交通的正常通行，维持沿线村镇的居民饮水、农田灌溉、生产生活用电及通信等管线的正常使用。</w:t>
      </w:r>
    </w:p>
    <w:p w14:paraId="5DB4B25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5B7C99F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9.4.9 在施工期间，承包人应随时保持现场整洁，施工设备和材料、工程设备应整齐妥善存放和储存，废料与垃圾及不再需要的临时设施应及时从现场清除、拆除并运走。</w:t>
      </w:r>
    </w:p>
    <w:p w14:paraId="57DA68F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6B21C66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9.4.11 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5D99F3A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10. 进度计划</w:t>
      </w:r>
    </w:p>
    <w:p w14:paraId="2B1CECF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10.1 合同进度计划</w:t>
      </w:r>
    </w:p>
    <w:p w14:paraId="6C40877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5AB3711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承包人编制施工方案说明的内容见项目专用合同条款。</w:t>
      </w:r>
    </w:p>
    <w:p w14:paraId="76FE61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承包人向监理人报送施工进度计划和施工方案说明的期限：签订</w:t>
      </w:r>
      <w:r>
        <w:rPr>
          <w:rFonts w:hint="eastAsia" w:ascii="宋体" w:hAnsi="宋体"/>
          <w:color w:val="000000" w:themeColor="text1"/>
          <w:sz w:val="24"/>
          <w:szCs w:val="24"/>
          <w:highlight w:val="none"/>
          <w14:textFill>
            <w14:solidFill>
              <w14:schemeClr w14:val="tx1"/>
            </w14:solidFill>
          </w14:textFill>
        </w:rPr>
        <w:t>合同协议书后28 天之内。</w:t>
      </w:r>
    </w:p>
    <w:p w14:paraId="21C9D1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监理人应在14天内对承包人施工进度计划和施工方案说明予以批复或提出修改意见。</w:t>
      </w:r>
    </w:p>
    <w:p w14:paraId="193BDE9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合同进度计划应按照关键线路网络图和主要工作横道图两种形式分别编绘，并应包括每月预计完成的工作量和形象进度。</w:t>
      </w:r>
    </w:p>
    <w:p w14:paraId="5800D58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10.2 合同进度计划的修订</w:t>
      </w:r>
    </w:p>
    <w:p w14:paraId="0D63CC3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6D40133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承包人提交合同进度计划修订申请报告，并附有关措施和相关资料的期限：实际进度发生滞后的当月25日前。</w:t>
      </w:r>
    </w:p>
    <w:p w14:paraId="6863A44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监理人批复修订合同进度计划的期限：收到修订合同进度计划后14天内。</w:t>
      </w:r>
    </w:p>
    <w:p w14:paraId="7993F6B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10.3 款、第 10.4 款：</w:t>
      </w:r>
    </w:p>
    <w:p w14:paraId="38D1D76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10.3 年度施工计划</w:t>
      </w:r>
    </w:p>
    <w:p w14:paraId="318E58FD">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在每年11月底前，根据已同意的合同进度计划或其修订的计划，向监理人提交2份格式和内容符合监理人合理规定的下一年度的施工计划，以供审查。该计划应包括本年度估计完成的和下一年度预计完成的分项工程数量和工作量，以及为实施此计划将采取的措施。</w:t>
      </w:r>
    </w:p>
    <w:p w14:paraId="3278CAE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10.4 合同用款计划</w:t>
      </w:r>
    </w:p>
    <w:p w14:paraId="717051D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承包人应在签订本合同协议书后28天之内，按招标文</w:t>
      </w:r>
      <w:r>
        <w:rPr>
          <w:rFonts w:hint="eastAsia" w:ascii="宋体" w:hAnsi="宋体"/>
          <w:color w:val="000000" w:themeColor="text1"/>
          <w:sz w:val="24"/>
          <w:szCs w:val="24"/>
          <w:highlight w:val="none"/>
          <w14:textFill>
            <w14:solidFill>
              <w14:schemeClr w14:val="tx1"/>
            </w14:solidFill>
          </w14:textFill>
        </w:rPr>
        <w:t>件中规定的格式，向监理人提交2份按合同规定承包人有权得到支付的详细的季度合同用款计划，以备监理人查阅。</w:t>
      </w:r>
      <w:r>
        <w:rPr>
          <w:rFonts w:hint="eastAsia" w:ascii="宋体" w:hAnsi="宋体"/>
          <w:color w:val="auto"/>
          <w:sz w:val="24"/>
          <w:szCs w:val="24"/>
          <w:highlight w:val="none"/>
        </w:rPr>
        <w:t>如果监理人提出要求，承包人还应按季度提交修订的合同用款计划。</w:t>
      </w:r>
    </w:p>
    <w:p w14:paraId="076C113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 开工和交工</w:t>
      </w:r>
    </w:p>
    <w:p w14:paraId="7D2CB38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11.1 开工</w:t>
      </w:r>
    </w:p>
    <w:p w14:paraId="4CC5997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11.1.2 项补充：</w:t>
      </w:r>
    </w:p>
    <w:p w14:paraId="0802B82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承包人应在分部工程开工前14天向监理人提交分部工程开工报审表，若承包人的开工准备、工作计划和质量控制方法是可接受的且已获得批准，则经监理人书面同意，分部工程才能开工。</w:t>
      </w:r>
    </w:p>
    <w:p w14:paraId="39714EB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11.3 发包人的工期延误</w:t>
      </w:r>
    </w:p>
    <w:p w14:paraId="1ACD480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54FC447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即使由于上述原因造成工期延误，如果受影响的工程并非处在工程施工进度网络计划的关键线路上，则承包人无权要求延长总工期。</w:t>
      </w:r>
    </w:p>
    <w:p w14:paraId="7C79CCD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11.4 异常恶劣的气候条件</w:t>
      </w:r>
    </w:p>
    <w:p w14:paraId="14409F6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w:t>
      </w:r>
    </w:p>
    <w:p w14:paraId="63F21A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异常气候是指项目所在地30年以上一遇的罕见气候现象（包括温度、降水、降雪、风等）。异常恶劣的气候条件在项目专用合同条款中作具体约定。</w:t>
      </w:r>
    </w:p>
    <w:p w14:paraId="50868BF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11.5 承包人的工期延误</w:t>
      </w:r>
    </w:p>
    <w:p w14:paraId="5622C57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750E97E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79F43C7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如果承包人在接到监理人通知后的14天内，未能采取加快工程进度的措施，致使实际工程进度进一步滞后，或承包人虽采取了一些措施，仍无法按预计工期交工时，监理人应立即通知发包人。发包人在向承包人发出</w:t>
      </w:r>
      <w:r>
        <w:rPr>
          <w:rFonts w:hint="eastAsia" w:ascii="宋体" w:hAnsi="宋体"/>
          <w:color w:val="000000" w:themeColor="text1"/>
          <w:sz w:val="24"/>
          <w:szCs w:val="24"/>
          <w:highlight w:val="none"/>
          <w14:textFill>
            <w14:solidFill>
              <w14:schemeClr w14:val="tx1"/>
            </w14:solidFill>
          </w14:textFill>
        </w:rPr>
        <w:t>书面警告通知14天后，发包人可按第22.1款终止对承包人的雇用，也可将本合同工程中的一部分工作交由其他承包人或其他分包人完成。在</w:t>
      </w:r>
      <w:r>
        <w:rPr>
          <w:rFonts w:hint="eastAsia" w:ascii="宋体" w:hAnsi="宋体"/>
          <w:color w:val="auto"/>
          <w:sz w:val="24"/>
          <w:szCs w:val="24"/>
          <w:highlight w:val="none"/>
        </w:rPr>
        <w:t>不解除本合同规定的承包人责任和义务的同时，承包人应承担因此所增加的一切费用。</w:t>
      </w:r>
    </w:p>
    <w:p w14:paraId="798E29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2A4F1AD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（4）承包人支付逾期交工违约金，不免除承包人完成工程及修补缺陷的义务。</w:t>
      </w:r>
    </w:p>
    <w:p w14:paraId="2958DC0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04C67AD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11.6 工期提前</w:t>
      </w:r>
    </w:p>
    <w:p w14:paraId="198023F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1554DBC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发包人不得随意要求承包人提前交工，承包人也不得随意提出提前交工的建议。如遇特殊情况，确需将工期提前的，发包人和承包人必须采取有效措施，确保工程质量。</w:t>
      </w:r>
    </w:p>
    <w:p w14:paraId="3544C54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6B29F59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本条补充第11.7款：</w:t>
      </w:r>
    </w:p>
    <w:p w14:paraId="3E39A6E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11.7 工作时间的限制</w:t>
      </w:r>
    </w:p>
    <w:p w14:paraId="44BEB8E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承包人在夜间或国家规定的节假日进行永久工程的施工，应向监理人报告，以便监理人履行监理职责和义务。 </w:t>
      </w:r>
    </w:p>
    <w:p w14:paraId="6B1AB3B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但是，为了抢救生命或保护财产，或为了工程的安全、质量而不可避免地短暂作业，则不必事先向监理人报告。但承包人应在事后立即向监理人报告。</w:t>
      </w:r>
    </w:p>
    <w:p w14:paraId="14AAEEE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本款规定不适用于习惯上或施工本身要求实行连续生产的作业。</w:t>
      </w:r>
    </w:p>
    <w:p w14:paraId="0DC8EC8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12. 暂停施工</w:t>
      </w:r>
    </w:p>
    <w:p w14:paraId="32870AE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12.1 承包人暂停施工的责任</w:t>
      </w:r>
    </w:p>
    <w:p w14:paraId="1ED5EEC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本款第（5）项细化为：</w:t>
      </w:r>
    </w:p>
    <w:p w14:paraId="47C6589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（5）现场气候条件导致的必要停工（第11.4款约定的异常恶劣的气候条件除外）；</w:t>
      </w:r>
    </w:p>
    <w:p w14:paraId="0D0DE74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（6）项目专用合同</w:t>
      </w:r>
      <w:r>
        <w:rPr>
          <w:rFonts w:hint="eastAsia" w:ascii="宋体" w:hAnsi="宋体"/>
          <w:color w:val="000000" w:themeColor="text1"/>
          <w:sz w:val="24"/>
          <w:szCs w:val="24"/>
          <w:highlight w:val="none"/>
          <w14:textFill>
            <w14:solidFill>
              <w14:schemeClr w14:val="tx1"/>
            </w14:solidFill>
          </w14:textFill>
        </w:rPr>
        <w:t>条款可能约定的由承包人承担的其他暂停</w:t>
      </w:r>
      <w:r>
        <w:rPr>
          <w:rFonts w:hint="eastAsia" w:ascii="宋体" w:hAnsi="宋体"/>
          <w:color w:val="auto"/>
          <w:sz w:val="24"/>
          <w:szCs w:val="24"/>
          <w:highlight w:val="none"/>
        </w:rPr>
        <w:t>施工。</w:t>
      </w:r>
    </w:p>
    <w:p w14:paraId="4FF9CC7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 工程质量</w:t>
      </w:r>
    </w:p>
    <w:p w14:paraId="30DC5BE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13.1 工程质量要求</w:t>
      </w:r>
    </w:p>
    <w:p w14:paraId="2E91D28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13.1.1 项约定为：</w:t>
      </w:r>
    </w:p>
    <w:p w14:paraId="066A6EE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工程质量验收按技术规范及《公路</w:t>
      </w:r>
      <w:r>
        <w:rPr>
          <w:rFonts w:hint="eastAsia" w:ascii="宋体" w:hAnsi="宋体"/>
          <w:color w:val="auto"/>
          <w:sz w:val="24"/>
          <w:szCs w:val="24"/>
          <w:highlight w:val="none"/>
          <w:lang w:eastAsia="zh-CN"/>
        </w:rPr>
        <w:t>养护</w:t>
      </w:r>
      <w:r>
        <w:rPr>
          <w:rFonts w:hint="eastAsia" w:ascii="宋体" w:hAnsi="宋体"/>
          <w:color w:val="auto"/>
          <w:sz w:val="24"/>
          <w:szCs w:val="24"/>
          <w:highlight w:val="none"/>
        </w:rPr>
        <w:t>工程质量检验评定标准》执行。</w:t>
      </w:r>
    </w:p>
    <w:p w14:paraId="1DCEECA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13.1.4 项、第 13.1.5 项：</w:t>
      </w:r>
    </w:p>
    <w:p w14:paraId="188004E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13.1.4 发包人和承包人应严格</w:t>
      </w:r>
      <w:r>
        <w:rPr>
          <w:rFonts w:hint="eastAsia" w:ascii="宋体" w:hAnsi="宋体"/>
          <w:color w:val="000000" w:themeColor="text1"/>
          <w:sz w:val="24"/>
          <w:szCs w:val="24"/>
          <w:highlight w:val="none"/>
          <w14:textFill>
            <w14:solidFill>
              <w14:schemeClr w14:val="tx1"/>
            </w14:solidFill>
          </w14:textFill>
        </w:rPr>
        <w:t>遵守《关于严格落实公路工程质量责任制的若干意见》的相关规定，认真执行工程质量责任登记制度并按要</w:t>
      </w:r>
      <w:r>
        <w:rPr>
          <w:rFonts w:hint="eastAsia" w:ascii="宋体" w:hAnsi="宋体"/>
          <w:color w:val="auto"/>
          <w:sz w:val="24"/>
          <w:szCs w:val="24"/>
          <w:highlight w:val="none"/>
        </w:rPr>
        <w:t>求填写工程质量责任登记表。</w:t>
      </w:r>
    </w:p>
    <w:p w14:paraId="74C00D9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13.1.5 本项目严格执行质量责任追究制度。质量事故处理实行“四不放过”原则：事故原因调查不清不放过；事故责任者没有受到教育不放过；没有防范措施不放过；相关责任人没受到处理不放过。</w:t>
      </w:r>
    </w:p>
    <w:p w14:paraId="59FF5F5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13.2 承包人的质量管理</w:t>
      </w:r>
    </w:p>
    <w:p w14:paraId="1A7B7A5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13.2.1 项补充：</w:t>
      </w:r>
    </w:p>
    <w:p w14:paraId="13076DF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承包人提交工程质量保证措施文件的期限：签订合同协议书后28天之内。</w:t>
      </w:r>
    </w:p>
    <w:p w14:paraId="3AC48A7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13.2.3 项～第 13.2.10 项：</w:t>
      </w:r>
    </w:p>
    <w:p w14:paraId="3088757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13.2.3 公路工程施行质量责任终身制。承包人应当书面明确相应的项目负责人和质量负责人。承包人的相关人员按照国家法律法规和有关规定在工程合理使用年限内承担相应的质量责任。</w:t>
      </w:r>
    </w:p>
    <w:p w14:paraId="731F610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3196D2B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13.2.5 承包人对工程施工质量负责，应当按合同约定设立现场质量管理机构、配备工程技术人员和质量管理人员，落实工程施工质量责任制。</w:t>
      </w:r>
    </w:p>
    <w:p w14:paraId="3B8BE57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5A1A1BA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4E42777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auto"/>
          <w:sz w:val="24"/>
          <w:szCs w:val="24"/>
          <w:highlight w:val="none"/>
        </w:rPr>
        <w:t>13.2.8 承包人应当按照合同约</w:t>
      </w:r>
      <w:r>
        <w:rPr>
          <w:rFonts w:hint="eastAsia" w:ascii="宋体" w:hAnsi="宋体"/>
          <w:color w:val="000000" w:themeColor="text1"/>
          <w:sz w:val="24"/>
          <w:szCs w:val="24"/>
          <w:highlight w:val="none"/>
          <w14:textFill>
            <w14:solidFill>
              <w14:schemeClr w14:val="tx1"/>
            </w14:solidFill>
          </w14:textFill>
        </w:rPr>
        <w:t>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r>
        <w:rPr>
          <w:rFonts w:hint="eastAsia" w:ascii="宋体" w:hAnsi="宋体"/>
          <w:color w:val="000000" w:themeColor="text1"/>
          <w:sz w:val="24"/>
          <w:szCs w:val="24"/>
          <w:highlight w:val="none"/>
          <w:lang w:val="en-US" w:eastAsia="zh-CN"/>
          <w14:textFill>
            <w14:solidFill>
              <w14:schemeClr w14:val="tx1"/>
            </w14:solidFill>
          </w14:textFill>
        </w:rPr>
        <w:t>如有违反上述约定，发包人有权与其解除合同，由此产生的后果由承包人承担。</w:t>
      </w:r>
    </w:p>
    <w:p w14:paraId="38B8B57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13.2.9 承包人应当依法规范分包行为，并对承担的工程质量负总责，分包单位对分包合同范围内的工程质量负责。</w:t>
      </w:r>
    </w:p>
    <w:p w14:paraId="1B306B5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13.2.10 承包人驻工程现场机构应在现场驻地和重要的分部、分项工程施工现场设置明显的工程质量责任登记表公示牌。</w:t>
      </w:r>
    </w:p>
    <w:p w14:paraId="5280886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13.4 监理人的质量检查</w:t>
      </w:r>
    </w:p>
    <w:p w14:paraId="5C7331C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6E23D25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监理人及其委派的检验人员，应能进入工程现场，以及材料或工程设备的制造、加工或制配的车间和场所，包括不属于承包人的车间或场所进行检查，承包人应为此提供便利和协助。</w:t>
      </w:r>
    </w:p>
    <w:p w14:paraId="423E426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监理人可以将材料或工程设备的检查和检验委托给一家独立的有质量检验认证资格的检验单位。该独立检验单位的检验结果应视为监理人完成的。监理人应将这种委托的通知书不少于7天前交给承包人。</w:t>
      </w:r>
    </w:p>
    <w:p w14:paraId="3948E85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13.5 工程隐蔽部位覆盖前的检查</w:t>
      </w:r>
    </w:p>
    <w:p w14:paraId="6E40856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13.5.1 项补充：</w:t>
      </w:r>
    </w:p>
    <w:p w14:paraId="2E98924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5E5EA09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13.6 清除不合格工程</w:t>
      </w:r>
    </w:p>
    <w:p w14:paraId="511DB92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13.6.1 项细化为：</w:t>
      </w:r>
    </w:p>
    <w:p w14:paraId="6954C5B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（1）承包人使用不</w:t>
      </w:r>
      <w:r>
        <w:rPr>
          <w:rFonts w:hint="eastAsia" w:ascii="宋体" w:hAnsi="宋体"/>
          <w:color w:val="000000" w:themeColor="text1"/>
          <w:sz w:val="24"/>
          <w:szCs w:val="24"/>
          <w:highlight w:val="none"/>
          <w14:textFill>
            <w14:solidFill>
              <w14:schemeClr w14:val="tx1"/>
            </w14:solidFill>
          </w14:textFill>
        </w:rPr>
        <w:t>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1810EC5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（2）如果承包人未在规定时间内执行监理人的指示，发包人有权雇用他人执行，由此增加的费用和（或）工期延误由承包人承担。</w:t>
      </w:r>
    </w:p>
    <w:p w14:paraId="7AC77D4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14. 试验和检验</w:t>
      </w:r>
    </w:p>
    <w:p w14:paraId="6E79DCB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14.4 款：</w:t>
      </w:r>
    </w:p>
    <w:p w14:paraId="41560CC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14.4 试验和检验费用</w:t>
      </w:r>
    </w:p>
    <w:p w14:paraId="2B7CB46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1）承包人应负责提供合同和技术规范规定的试验和检验所需的全部样品，并承担其费用。</w:t>
      </w:r>
    </w:p>
    <w:p w14:paraId="7D69500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（2）在合同中明确规定的试验和检验，包括无须在工程量清单中单独列项和已在工程量清单中单独列项的试验和检验，其试验和检验的费用由承包人承担。</w:t>
      </w:r>
    </w:p>
    <w:p w14:paraId="53573B6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6CD2F43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 变更</w:t>
      </w:r>
    </w:p>
    <w:p w14:paraId="5A5E288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15.1 变更的范围和内容</w:t>
      </w:r>
    </w:p>
    <w:p w14:paraId="040B401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本款第（1）项细化为：</w:t>
      </w:r>
    </w:p>
    <w:p w14:paraId="47E2342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（1）取消合同中任何一项工作，但被取消的工作不能转由发包人或其他人实施，由于承包人违约造成的情况除外；</w:t>
      </w:r>
    </w:p>
    <w:p w14:paraId="3B54E4F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15.3 变更程序</w:t>
      </w:r>
    </w:p>
    <w:p w14:paraId="1B36BB4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 15.3.4 项：</w:t>
      </w:r>
    </w:p>
    <w:p w14:paraId="4A20BDA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15.3.4 设计变更程序应执行《公路工程设计变更管理办法》的相关规定。</w:t>
      </w:r>
    </w:p>
    <w:p w14:paraId="193AD77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15.4 变更的估价原则</w:t>
      </w:r>
    </w:p>
    <w:p w14:paraId="68A2440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3377C7C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除项目专用合同条款另有约定外，因变更引起的价格调整按照本款约定处理。</w:t>
      </w:r>
    </w:p>
    <w:p w14:paraId="5AE7EEB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15.4.1 如果取消某项工作，则该项工作的总额价不予支付。</w:t>
      </w:r>
    </w:p>
    <w:p w14:paraId="44B4CB4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15.4.2 已标价工程量清单中有适用于变更工作的子目的，采用该子目的单价。</w:t>
      </w:r>
    </w:p>
    <w:p w14:paraId="21E2858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15.4.3 已标价工程量清单中无适用于变更工作的子目，但有类似子目的，可在合理范围内参照类似子目的单价，由监理人按第3.5款商定或确定变更工作的单价。</w:t>
      </w:r>
    </w:p>
    <w:p w14:paraId="1DA6048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15.4.4 已标价工程量清单中无适用或类似子目的单价，可在综合考虑承包人在投标时所提供的单价分析表的基础上，由监理人按第3.5款商定或确定变更工作的单价。</w:t>
      </w:r>
    </w:p>
    <w:p w14:paraId="49D2043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15.4.5 如果本工程的变更指示是因承包人过错、承包人违反合同或承包人责任造成的，则这种违约引起的任何额外费用应由承包人承担。</w:t>
      </w:r>
    </w:p>
    <w:p w14:paraId="7A9890F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15.5 承包人的合理化建议</w:t>
      </w:r>
    </w:p>
    <w:p w14:paraId="311CBC3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15.5.2 项约定为：</w:t>
      </w:r>
    </w:p>
    <w:p w14:paraId="08054A8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承包人提出的合理化建议缩短了工期，发包人按第 11.6 款的规定给予奖励。</w:t>
      </w:r>
    </w:p>
    <w:p w14:paraId="2A3C750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承包人提出的合理化建议降低了合同价格或者提高了工程经济效益的，发包人按项目专用合同条款数据表中规定的金额给予奖励。</w:t>
      </w:r>
    </w:p>
    <w:p w14:paraId="69193CF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15.6 暂列金额</w:t>
      </w:r>
    </w:p>
    <w:p w14:paraId="50D5BE4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3644244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15.6.1 暂列金额应由监理人报发包人批准后指令全部或部分地使用，或者根本不予动用。</w:t>
      </w:r>
    </w:p>
    <w:p w14:paraId="482CD9E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15.6.2 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14:paraId="379671E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15.6.3 当监理人提出要求时，承包人应提供有关暂列金额支出的所有报价单、发 票、凭证和账单或收据，除非该工作是根据已标价工程量清单列明的单价或总额价进行的估价。</w:t>
      </w:r>
    </w:p>
    <w:p w14:paraId="37B1A43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16. 价格调整</w:t>
      </w:r>
    </w:p>
    <w:p w14:paraId="110E2A6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16.1 物价波动引起的价格调整</w:t>
      </w:r>
    </w:p>
    <w:p w14:paraId="06E16BF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w:t>
      </w:r>
    </w:p>
    <w:p w14:paraId="393C95F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（1）除项目专用合同条款另有约定外，因物价波动引起的价格调整应按项目专用合同条款数据表的规定，按照第16.1.1项或第16.1.2项约定的原则处理；</w:t>
      </w:r>
    </w:p>
    <w:p w14:paraId="6358F85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（2）在合同执行期间（包括工期拖延期间）由于人工、材料和设备价格的上涨而引起工程施工成本增加的风险由承包人自行承担，合同价格不会因此而调整。</w:t>
      </w:r>
    </w:p>
    <w:p w14:paraId="64FC3CCB">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16.1.1 采用价格指数调整价格差额</w:t>
      </w:r>
    </w:p>
    <w:p w14:paraId="5190F25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16.1.1.1 价格调整公式</w:t>
      </w:r>
    </w:p>
    <w:p w14:paraId="5E264B5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价格调整公式后增加备注如下：</w:t>
      </w:r>
    </w:p>
    <w:p w14:paraId="2AB94E1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式中，A=1－（B</w:t>
      </w:r>
      <w:r>
        <w:rPr>
          <w:rFonts w:hint="eastAsia" w:ascii="宋体" w:hAnsi="宋体"/>
          <w:color w:val="auto"/>
          <w:sz w:val="18"/>
          <w:szCs w:val="18"/>
          <w:highlight w:val="none"/>
        </w:rPr>
        <w:t>1</w:t>
      </w:r>
      <w:r>
        <w:rPr>
          <w:rFonts w:hint="eastAsia" w:ascii="宋体" w:hAnsi="宋体"/>
          <w:color w:val="auto"/>
          <w:sz w:val="24"/>
          <w:szCs w:val="24"/>
          <w:highlight w:val="none"/>
        </w:rPr>
        <w:t>＋B</w:t>
      </w:r>
      <w:r>
        <w:rPr>
          <w:rFonts w:hint="eastAsia" w:ascii="宋体" w:hAnsi="宋体"/>
          <w:color w:val="auto"/>
          <w:sz w:val="18"/>
          <w:szCs w:val="18"/>
          <w:highlight w:val="none"/>
        </w:rPr>
        <w:t>2</w:t>
      </w:r>
      <w:r>
        <w:rPr>
          <w:rFonts w:hint="eastAsia" w:ascii="宋体" w:hAnsi="宋体"/>
          <w:color w:val="auto"/>
          <w:sz w:val="24"/>
          <w:szCs w:val="24"/>
          <w:highlight w:val="none"/>
        </w:rPr>
        <w:t>＋B</w:t>
      </w:r>
      <w:r>
        <w:rPr>
          <w:rFonts w:hint="eastAsia" w:ascii="宋体" w:hAnsi="宋体"/>
          <w:color w:val="auto"/>
          <w:sz w:val="18"/>
          <w:szCs w:val="18"/>
          <w:highlight w:val="none"/>
        </w:rPr>
        <w:t>3</w:t>
      </w:r>
      <w:r>
        <w:rPr>
          <w:rFonts w:hint="eastAsia" w:ascii="宋体" w:hAnsi="宋体"/>
          <w:color w:val="auto"/>
          <w:sz w:val="24"/>
          <w:szCs w:val="24"/>
          <w:highlight w:val="none"/>
        </w:rPr>
        <w:t>＋……＋B</w:t>
      </w:r>
      <w:r>
        <w:rPr>
          <w:rFonts w:hint="eastAsia" w:ascii="宋体" w:hAnsi="宋体"/>
          <w:color w:val="auto"/>
          <w:sz w:val="18"/>
          <w:szCs w:val="18"/>
          <w:highlight w:val="none"/>
        </w:rPr>
        <w:t>n</w:t>
      </w:r>
      <w:r>
        <w:rPr>
          <w:rFonts w:hint="eastAsia" w:ascii="宋体" w:hAnsi="宋体"/>
          <w:color w:val="auto"/>
          <w:sz w:val="24"/>
          <w:szCs w:val="24"/>
          <w:highlight w:val="none"/>
        </w:rPr>
        <w:t>）。</w:t>
      </w:r>
    </w:p>
    <w:p w14:paraId="25038B5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本目最后一段文字细化为：</w:t>
      </w:r>
    </w:p>
    <w:p w14:paraId="1C2AFBF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在采用价格调整公式进行调价时，还应遵守以下规定：</w:t>
      </w:r>
    </w:p>
    <w:p w14:paraId="77C83A6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52BDBF5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12768DF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 计量与支付</w:t>
      </w:r>
    </w:p>
    <w:p w14:paraId="71F3A74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17.1 计量</w:t>
      </w:r>
    </w:p>
    <w:p w14:paraId="0FD5C053">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17.1.2 计量方法</w:t>
      </w:r>
    </w:p>
    <w:p w14:paraId="6438606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56C2CFF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工程的计量应以净值为准，除非项目专用合同条款另有约定。工程量清单中各个子目的具体计量方法按本合同文件工程量清单计量规则中的规定执行。</w:t>
      </w:r>
    </w:p>
    <w:p w14:paraId="3DFF55C5">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17.1.4 单价子目的计量</w:t>
      </w:r>
    </w:p>
    <w:p w14:paraId="4C5D7DC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624BC10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（7）承包人未在已标价工程量清单中填入单价或总额价的工程子目，将被认为其已包含在本合同的其他子目的单价和总额价中，发包人将不另行支付。</w:t>
      </w:r>
    </w:p>
    <w:p w14:paraId="2D984107">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17.1.5 总价子目的计量</w:t>
      </w:r>
    </w:p>
    <w:p w14:paraId="7EA1D31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0DF06FD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本项目工程量清单中要求承包人以“总额”方式报价的子目，各子目的支付原则和支付进度按项目专用合同条款的规定执行。</w:t>
      </w:r>
    </w:p>
    <w:p w14:paraId="44FA34A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17.2预付款</w:t>
      </w:r>
    </w:p>
    <w:p w14:paraId="1660D41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17.2.1预付款</w:t>
      </w:r>
    </w:p>
    <w:p w14:paraId="1FD8510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本项约定为：</w:t>
      </w:r>
      <w:r>
        <w:rPr>
          <w:rFonts w:hint="eastAsia" w:ascii="宋体" w:hAnsi="宋体"/>
          <w:color w:val="auto"/>
          <w:sz w:val="24"/>
          <w:szCs w:val="24"/>
          <w:highlight w:val="none"/>
          <w:lang w:val="en-US" w:eastAsia="zh-CN"/>
        </w:rPr>
        <w:t>无预付款。</w:t>
      </w:r>
      <w:r>
        <w:rPr>
          <w:rFonts w:hint="eastAsia" w:ascii="宋体" w:hAnsi="宋体" w:cs="宋体"/>
          <w:color w:val="auto"/>
          <w:szCs w:val="21"/>
          <w:highlight w:val="none"/>
        </w:rPr>
        <w:t>本</w:t>
      </w:r>
      <w:r>
        <w:rPr>
          <w:rFonts w:hint="eastAsia" w:ascii="宋体" w:hAnsi="宋体" w:eastAsia="宋体" w:cs="Times New Roman"/>
          <w:color w:val="auto"/>
          <w:sz w:val="24"/>
          <w:szCs w:val="24"/>
          <w:highlight w:val="none"/>
        </w:rPr>
        <w:t>项约定为：</w:t>
      </w:r>
    </w:p>
    <w:p w14:paraId="29F26CC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预付款包括开工预付款和材料、设备预付款。具体额度和预付办法如下：</w:t>
      </w:r>
    </w:p>
    <w:p w14:paraId="55E8EF5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（1）开工预付款的金额在项目专用合同条款数据表中约定。在承包人签订了合同协议书且承包人承诺的主要设备进场后，监理人应在当期进度付款证书中向承包人支付开工预付款。</w:t>
      </w:r>
    </w:p>
    <w:p w14:paraId="0A346B0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承包人不得将该预付款用于与本工程无关的支出，监理人有权监督承包人对该项费用的使用，如经查实承包人滥用开工预付款，发包人有权立即向银行索赔履约保证金，并解除合同。</w:t>
      </w:r>
    </w:p>
    <w:p w14:paraId="38D41B8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（2）材料、设备预付款按项目专用合同条款数据表中所列主要材料、设备单据费用（进口的材料、设备为到岸价，国内采购的为出厂价或销售价，地方材料为堆场价）的百分比支付。其预付条件为：</w:t>
      </w:r>
    </w:p>
    <w:p w14:paraId="531737C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a.材料、设备符合规范要求并经监理人认可；</w:t>
      </w:r>
    </w:p>
    <w:p w14:paraId="411A667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b.承包人已出具材料、设备费用凭证或支付单据；</w:t>
      </w:r>
    </w:p>
    <w:p w14:paraId="6128EDB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c.材料、设备已在现场交货，且存储良好，监理人认为材料、设备的存储方法符合要求。</w:t>
      </w:r>
    </w:p>
    <w:p w14:paraId="2498581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则监理人应将此项金额作为材料、设备预付款计入下一次的进度付款证书中。在预计交工前 3 个月，将不再支付材料、设备预付款。</w:t>
      </w:r>
    </w:p>
    <w:p w14:paraId="77AB7C2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17.2.2 预付款保函</w:t>
      </w:r>
    </w:p>
    <w:p w14:paraId="424768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本项细化为：</w:t>
      </w:r>
    </w:p>
    <w:p w14:paraId="2A5D88D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承包人无须向发包人提交预付款保函。发包人向承包人支付的预付款，应按照本合同第 17.2.1 项规定使用，承包人提交的履约保证金对预付款的正常使用承担保证责任。</w:t>
      </w:r>
    </w:p>
    <w:p w14:paraId="70AF524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17.2.2 预付款保函</w:t>
      </w:r>
    </w:p>
    <w:p w14:paraId="6693799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6B5D784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承包人无须向发包人提交预付款保函。发包人向承包人支付的预付款，应按照本合同第 17.2.1 项规定使用，承包人提交的履约保证金对预付款的正常使用承担保证责任。</w:t>
      </w:r>
    </w:p>
    <w:p w14:paraId="3C9CF5C2">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rPr>
        <w:t>17.2.3 预付款的扣回与还清</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不适用）</w:t>
      </w:r>
    </w:p>
    <w:p w14:paraId="365B9B2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本项约定为：</w:t>
      </w:r>
    </w:p>
    <w:p w14:paraId="6A258F7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（1）开工预付款在进度付款证书的累计金额未达到签约合同价的 30%之前不予扣回，在达到签约合同价 30%之后，开始按工程进度以固定比例（即每完成签约合同价的 1%，扣回开工预付款的 2%）分期从各月的进度付款证书中扣回，全部金额在进度付款证书的累计金额达到签约合同价的 80%时扣完。</w:t>
      </w:r>
    </w:p>
    <w:p w14:paraId="6F85ACC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（2）当材料、设备已用于或安装在永久工程之中时，材料、设备预付款应从进度付款证书中扣回，扣回期不超过 3 个月。已经支付材料、设备预付款的材料、设备的所有权应属于发包人。</w:t>
      </w:r>
    </w:p>
    <w:p w14:paraId="607F515B">
      <w:pPr>
        <w:spacing w:line="400" w:lineRule="exact"/>
        <w:ind w:right="12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17.3 工程进度付款</w:t>
      </w:r>
    </w:p>
    <w:p w14:paraId="4C24D15B">
      <w:pPr>
        <w:spacing w:line="400" w:lineRule="exact"/>
        <w:ind w:right="120"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17.3.3 进度付款证书和支付时间</w:t>
      </w:r>
    </w:p>
    <w:p w14:paraId="1A93148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本项（1）目补充：</w:t>
      </w:r>
    </w:p>
    <w:p w14:paraId="2AF418E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7F0388B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本项（2）目细化为：</w:t>
      </w:r>
    </w:p>
    <w:p w14:paraId="2F19E81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发包人应在监理人收到进度付款申请单且承包人提交了合格的增值税专用发票后的 28 天内，将进度应付款支付给承包人。</w:t>
      </w:r>
    </w:p>
    <w:p w14:paraId="1BB138F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发包人不按期支付的，按项目专用合同条款数据表中约定的利率向承包人支付逾期付款违约金。违约金计算基数为发包人的全部未付款额，时间从应付而未付该款额之日算起（不计复利）。</w:t>
      </w:r>
    </w:p>
    <w:p w14:paraId="48ABAC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本款补充第 17.3.5 项：</w:t>
      </w:r>
    </w:p>
    <w:p w14:paraId="4EB2F13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17.3.5 农民工工资保证金</w:t>
      </w:r>
    </w:p>
    <w:p w14:paraId="784EDB3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（1）为确保施工过程中农民工工资实时、足额发放到位，承包人应按照项目专用合同条款约定的时间和金额缴存农民工工资保证金。</w:t>
      </w:r>
    </w:p>
    <w:p w14:paraId="5BFEFDC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（2）农民工工资保证金可采用银行保函或现金、支票形式。采用银行保函时，出具保函的银行须具有相应担保能力，且按照发包人批准的格式出具，所需费用由承包人承担。</w:t>
      </w:r>
    </w:p>
    <w:p w14:paraId="0F01B3A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（3）农民工工资保证金的扣留条件、返还时间按照项目专用合同条款的约定执行。</w:t>
      </w:r>
    </w:p>
    <w:p w14:paraId="0F70C0D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17.4质量保证金</w:t>
      </w:r>
    </w:p>
    <w:p w14:paraId="71834CB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17.4.1 项、第 17.4.2 项细化为：</w:t>
      </w:r>
    </w:p>
    <w:p w14:paraId="5978920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17.4.1 交工验收证书签发后14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061C0E2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质量保证金采用现金、支票形式提交的，发包人应在项目专用合同条款数据表中明确是否计付利息以及利息的计算方式。</w:t>
      </w:r>
    </w:p>
    <w:p w14:paraId="315C013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17.4.2 在第 1.1.4.5 目约定的缺陷责任期满，且质量监督机构已按规定对工程质 量检测鉴定合格，承包人向发包人申请到期应返还承包人剩余的质量保证金金额，发包人应在14天内会同承包人按照合同约定的内容核实承包人是否完成缺陷责任。如无异议，发包人应当在核实后将剩余保证金返还承包人。</w:t>
      </w:r>
    </w:p>
    <w:p w14:paraId="241C8D4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17.5交工结算</w:t>
      </w:r>
    </w:p>
    <w:p w14:paraId="460DDC64">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17.5.1交工付款申请单</w:t>
      </w:r>
    </w:p>
    <w:p w14:paraId="551ECD6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本项（1）目约定为：</w:t>
      </w:r>
    </w:p>
    <w:p w14:paraId="63CF1BA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承包人向监理人提交交工付款申请单（包括相关证明材料）的份数在项目专用合同条款数据表中约定；期限：交工验收证书签发后42天内。</w:t>
      </w:r>
    </w:p>
    <w:p w14:paraId="1E72D2B2">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17.5.2 交工付款证书及支付时间</w:t>
      </w:r>
    </w:p>
    <w:p w14:paraId="4EF21D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3E14149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发包人应在监理人出具交工付款证书且承包人提交了合格的增值税专用发票后的14天内，将应支付款支付给承包人。发包人不按期支付的，按第 17.3.3（2）目的约定，将逾期付款违约金支付给承包人。</w:t>
      </w:r>
    </w:p>
    <w:p w14:paraId="2F7944D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17.6 最终结清</w:t>
      </w:r>
    </w:p>
    <w:p w14:paraId="71DB43E0">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17.6.1 最终结清申请单</w:t>
      </w:r>
    </w:p>
    <w:p w14:paraId="66A5468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本项（1）目约定为：</w:t>
      </w:r>
    </w:p>
    <w:p w14:paraId="73CB9F1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承包人向监理人提交最终结清申请单（包括相关证明材料）的份数在项目专用合同条款数据表中约定；期限：缺陷责任期终止证书签发后28天内。</w:t>
      </w:r>
    </w:p>
    <w:p w14:paraId="02DA125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最终结清申请单中的总金额应认为是代表了根据合同规定应付给承包人的全部款项的最后结算。</w:t>
      </w:r>
    </w:p>
    <w:p w14:paraId="2CBF4045">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17.6.2 最终结清证书和支付时</w:t>
      </w:r>
      <w:r>
        <w:rPr>
          <w:rFonts w:hint="eastAsia" w:ascii="宋体" w:hAnsi="宋体"/>
          <w:color w:val="auto"/>
          <w:sz w:val="24"/>
          <w:szCs w:val="24"/>
          <w:highlight w:val="none"/>
        </w:rPr>
        <w:t>间</w:t>
      </w:r>
    </w:p>
    <w:p w14:paraId="3F4A553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0C7A9B9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（2）发包人应在监理人出具最终结清证书且承包人提交了合格的增值税专用发票后的14天内，将应支付款支付给承包人。发包人不按期支付的，按第 17.3.3（2）目的约定，将逾期付款违约金支付给承包人。</w:t>
      </w:r>
    </w:p>
    <w:p w14:paraId="17286FA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18. 交工验收</w:t>
      </w:r>
    </w:p>
    <w:p w14:paraId="2B37435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18.2 交工验收申请报告</w:t>
      </w:r>
    </w:p>
    <w:p w14:paraId="552848B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本款第（2）项约定为： </w:t>
      </w:r>
    </w:p>
    <w:p w14:paraId="38F94D6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竣工资料的内容：承包人应按照《公路工程竣（交）工验收办法》和相关规定编制竣工资料。</w:t>
      </w:r>
    </w:p>
    <w:p w14:paraId="1E45950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竣工资料的份数在项目专用合同条款数据表中约定。</w:t>
      </w:r>
    </w:p>
    <w:p w14:paraId="751D8AC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18.3 验收</w:t>
      </w:r>
    </w:p>
    <w:p w14:paraId="55887A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18.3.2 项补充：</w:t>
      </w:r>
    </w:p>
    <w:p w14:paraId="197A522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4A7EFD5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18.3.5 项约定为：</w:t>
      </w:r>
    </w:p>
    <w:p w14:paraId="6F636E9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经验收合格工程的实际交工日期，以最终提交交工验收申请报告的日期为准，并在交工验收证书中写明。</w:t>
      </w:r>
    </w:p>
    <w:p w14:paraId="6EF52F9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本款补充第18.3.7项：</w:t>
      </w:r>
    </w:p>
    <w:p w14:paraId="2D71A93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18.3.7 组织办理交工验收和签发交工验收证书的费用由发包人承担。但按照第 18.3.4项规定达不到合格标准的交工验收费用由承包人承担。</w:t>
      </w:r>
    </w:p>
    <w:p w14:paraId="2CC019A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18.9 款：</w:t>
      </w:r>
    </w:p>
    <w:p w14:paraId="6D0217E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18.9 竣工文件</w:t>
      </w:r>
    </w:p>
    <w:p w14:paraId="6530CC4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承包人应按照《公路工程竣（交）工验收办法》的相关规定，在缺陷责任期内为竣工验收补充竣工资料，并在签发缺陷责任期终止证书之前提交。</w:t>
      </w:r>
    </w:p>
    <w:p w14:paraId="762BFFD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19. 缺陷责任与保修责任</w:t>
      </w:r>
    </w:p>
    <w:p w14:paraId="6939D83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19.2 缺陷责任</w:t>
      </w:r>
    </w:p>
    <w:p w14:paraId="5BF607F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19.2.2 项补充：</w:t>
      </w:r>
    </w:p>
    <w:p w14:paraId="6761FB7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在缺陷责任期内，承包人应尽快完成在交工验收证书中写明的未完成工作，并完成对本工程缺陷的修复或监理人指令的修补工作。</w:t>
      </w:r>
    </w:p>
    <w:p w14:paraId="1A64186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19.5 承包人的进入权</w:t>
      </w:r>
    </w:p>
    <w:p w14:paraId="1083944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本款补充： </w:t>
      </w:r>
    </w:p>
    <w:p w14:paraId="6A97620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承包人在缺陷修复施工过程中，应服从管养单位的有关安全管理规定，由于承包人自身原因造成的人员伤亡、设备和材料的损毁及罚款等责任由承包人自负。</w:t>
      </w:r>
    </w:p>
    <w:p w14:paraId="022E7ED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19.7 保修责任</w:t>
      </w:r>
    </w:p>
    <w:p w14:paraId="0319E5E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本款细化为：</w:t>
      </w:r>
    </w:p>
    <w:p w14:paraId="486BA3A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5B32090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（2）在全部工程交工验收前，已经发包人提前验收的单位工程，其保修期的起算日期相应提前。</w:t>
      </w:r>
    </w:p>
    <w:p w14:paraId="61893FB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（3）工程保修期终止后28天内，监理人签发保修期终止证书。</w:t>
      </w:r>
    </w:p>
    <w:p w14:paraId="07C9521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（4）若承包人不履行保修义务和责任，则承包人应承担由于违约造成的法律后果，并由发包人将其违约行为上报省级交通运输主管部门，作为不良记录纳入</w:t>
      </w:r>
      <w:r>
        <w:rPr>
          <w:rFonts w:hint="eastAsia" w:ascii="宋体" w:hAnsi="宋体"/>
          <w:color w:val="auto"/>
          <w:sz w:val="24"/>
          <w:szCs w:val="24"/>
          <w:highlight w:val="none"/>
          <w:lang w:eastAsia="zh-CN"/>
        </w:rPr>
        <w:t>全国公路建设市场监督管理系统</w:t>
      </w:r>
      <w:r>
        <w:rPr>
          <w:rFonts w:hint="eastAsia" w:ascii="宋体" w:hAnsi="宋体"/>
          <w:color w:val="auto"/>
          <w:sz w:val="24"/>
          <w:szCs w:val="24"/>
          <w:highlight w:val="none"/>
          <w:lang w:val="en-US" w:eastAsia="zh-CN"/>
        </w:rPr>
        <w:t>（http：//glxy.mot.gov.cn）</w:t>
      </w:r>
      <w:r>
        <w:rPr>
          <w:rFonts w:hint="eastAsia" w:ascii="宋体" w:hAnsi="宋体"/>
          <w:color w:val="auto"/>
          <w:sz w:val="24"/>
          <w:szCs w:val="24"/>
          <w:highlight w:val="none"/>
        </w:rPr>
        <w:t>。</w:t>
      </w:r>
    </w:p>
    <w:p w14:paraId="796D277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20. 保险</w:t>
      </w:r>
    </w:p>
    <w:p w14:paraId="526A084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20.1工程保险</w:t>
      </w:r>
      <w:r>
        <w:rPr>
          <w:rFonts w:hint="eastAsia" w:ascii="宋体" w:hAnsi="宋体"/>
          <w:color w:val="auto"/>
          <w:sz w:val="24"/>
          <w:szCs w:val="24"/>
          <w:highlight w:val="none"/>
        </w:rPr>
        <w:t xml:space="preserve"> </w:t>
      </w:r>
    </w:p>
    <w:p w14:paraId="6825FF3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本款约定为：</w:t>
      </w:r>
    </w:p>
    <w:p w14:paraId="2C71C96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建筑工程一切险的投保内容：为本合同工程的永久工程、临时工程和设备及已运至施工工地用于永久工程的材料和设备所投的保险。</w:t>
      </w:r>
    </w:p>
    <w:p w14:paraId="4309060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保险金额：工程量清单第100章（不含建筑工程一切险及第三者责任险的保险费）至第700章的合计金额。</w:t>
      </w:r>
    </w:p>
    <w:p w14:paraId="758B829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保险费率：在项目专用合同条款数据表中约定。</w:t>
      </w:r>
    </w:p>
    <w:p w14:paraId="6DF4E3A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保险期限：开工日起直至本合同工程签发缺陷责任期终止证书止（即合同工期＋缺陷责任期）。</w:t>
      </w:r>
    </w:p>
    <w:p w14:paraId="119D195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承包人应以发包人和承包人的共同名义投保建筑工程一切险。建筑工程一切险的保险费由承包人报价时列入工程量清单第100章内。发包人在接到保险单后，将按照保险单的费用直接向承包人支付。</w:t>
      </w:r>
    </w:p>
    <w:p w14:paraId="51A69CA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20.4 第三者责任险</w:t>
      </w:r>
    </w:p>
    <w:p w14:paraId="65B21A3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20.4.2 项补充：</w:t>
      </w:r>
    </w:p>
    <w:p w14:paraId="378E4B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第三者责任险的保险费由承包人报价时列入工程量清单第100章内。发包人在接到保险单后，将按照保险单的费用直接向承包人支付。</w:t>
      </w:r>
    </w:p>
    <w:p w14:paraId="51EA771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20.5 其他保险</w:t>
      </w:r>
    </w:p>
    <w:p w14:paraId="0444684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本款约定为： </w:t>
      </w:r>
    </w:p>
    <w:p w14:paraId="19732F6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承包人应为其施工设备等办理保险，其投保金额应足以现场重置。办理本款保险的一切费用均由承包人承担，并包括在工程量清单的单价及总额价中，发包人不单独支付。</w:t>
      </w:r>
    </w:p>
    <w:p w14:paraId="6E866C9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20.6对各项保险的一般要求</w:t>
      </w:r>
    </w:p>
    <w:p w14:paraId="316D01F9">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20.6</w:t>
      </w:r>
      <w:r>
        <w:rPr>
          <w:rFonts w:hint="eastAsia" w:ascii="宋体" w:hAnsi="宋体"/>
          <w:b/>
          <w:bCs/>
          <w:color w:val="auto"/>
          <w:sz w:val="24"/>
          <w:szCs w:val="24"/>
          <w:highlight w:val="none"/>
          <w:lang w:val="en-US" w:eastAsia="zh-CN"/>
        </w:rPr>
        <w:t>.</w:t>
      </w:r>
      <w:r>
        <w:rPr>
          <w:rFonts w:hint="eastAsia" w:ascii="宋体" w:hAnsi="宋体"/>
          <w:b/>
          <w:bCs/>
          <w:color w:val="auto"/>
          <w:sz w:val="24"/>
          <w:szCs w:val="24"/>
          <w:highlight w:val="none"/>
        </w:rPr>
        <w:t>1保险凭证</w:t>
      </w:r>
      <w:r>
        <w:rPr>
          <w:rFonts w:hint="eastAsia" w:ascii="宋体" w:hAnsi="宋体"/>
          <w:color w:val="auto"/>
          <w:sz w:val="24"/>
          <w:szCs w:val="24"/>
          <w:highlight w:val="none"/>
        </w:rPr>
        <w:t xml:space="preserve"> </w:t>
      </w:r>
    </w:p>
    <w:p w14:paraId="381CA07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本项约定为：</w:t>
      </w:r>
    </w:p>
    <w:p w14:paraId="7D2FE4E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承包人向发包人提交各项保险生效的证据和保险单副本的期限：开工后56天内。</w:t>
      </w:r>
    </w:p>
    <w:p w14:paraId="2274E0A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20.6.3 持续保险</w:t>
      </w:r>
    </w:p>
    <w:p w14:paraId="2F1952A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25065A7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在整个合同期内，承包人应按合同条款规定保证足够的保险额。</w:t>
      </w:r>
    </w:p>
    <w:p w14:paraId="35CF36F5">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20.6.4 保险金不足的补偿</w:t>
      </w:r>
    </w:p>
    <w:p w14:paraId="61264C9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5805E91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保险金不足以补偿损失的（包括免赔额和超过赔偿限额的部分），应由承包人和（或）发包人按合同约定负责补偿。</w:t>
      </w:r>
    </w:p>
    <w:p w14:paraId="4E08E0D4">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20.6.5 未按约定投保的补救</w:t>
      </w:r>
    </w:p>
    <w:p w14:paraId="7E5F403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6CF5767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2B81A8C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21. 不可抗力</w:t>
      </w:r>
    </w:p>
    <w:p w14:paraId="3040851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21.1 不可抗力的确认</w:t>
      </w:r>
    </w:p>
    <w:p w14:paraId="38CFB33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21.1.1 项细化为：</w:t>
      </w:r>
    </w:p>
    <w:p w14:paraId="53E06A0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不可抗力是指承包人和发包人在订立合同时不可预见，在工程施工过程中不可避免发生并不能克服的自然灾害和社会性突发事件。</w:t>
      </w:r>
    </w:p>
    <w:p w14:paraId="6DB12BE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包括但不限于：</w:t>
      </w:r>
    </w:p>
    <w:p w14:paraId="0ACD082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（1）地震、海啸、火山爆发、泥石流、暴雨（雪）、台风、龙卷风、水灾等自然灾害；</w:t>
      </w:r>
    </w:p>
    <w:p w14:paraId="41171CB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（2）战争、骚乱、暴动，但纯属承包人或其分包人派遣与雇用的人员由于本合同工程施工原因引起者除外；</w:t>
      </w:r>
    </w:p>
    <w:p w14:paraId="1088897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（3）核反应、辐射或放射性污染；</w:t>
      </w:r>
    </w:p>
    <w:p w14:paraId="1C525C2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（4）空中飞行物体坠落或非发包人或承包人责任造成的爆炸、火灾；</w:t>
      </w:r>
    </w:p>
    <w:p w14:paraId="49BF9ED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（5）瘟疫；</w:t>
      </w:r>
    </w:p>
    <w:p w14:paraId="220B3B5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（6）项目专用合同条款约定的其他情形。</w:t>
      </w:r>
    </w:p>
    <w:p w14:paraId="2608155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21.3不可抗力后果及其处理</w:t>
      </w:r>
    </w:p>
    <w:p w14:paraId="67C760D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21.3.4因不可抗力解除合同</w:t>
      </w:r>
    </w:p>
    <w:p w14:paraId="13BA573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本项细化为：</w:t>
      </w:r>
    </w:p>
    <w:p w14:paraId="50D29D5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79C5BDA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22. 违约</w:t>
      </w:r>
    </w:p>
    <w:p w14:paraId="1A7E37C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22.1 承包人违约</w:t>
      </w:r>
    </w:p>
    <w:p w14:paraId="1FC87641">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22.2.1 承包人违约的情形</w:t>
      </w:r>
    </w:p>
    <w:p w14:paraId="41639D2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10A5190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（2）承包人违反第5.3款或第6.4款的约定，未经监理人批准，私自将已按合同约定进入施工场地的施工设备、临时设施、材料或工程设备撤离施工场地；</w:t>
      </w:r>
    </w:p>
    <w:p w14:paraId="7C54251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本项（7）目细化为：</w:t>
      </w:r>
    </w:p>
    <w:p w14:paraId="37CF5D0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（7）</w:t>
      </w:r>
      <w:r>
        <w:rPr>
          <w:rFonts w:hint="eastAsia" w:ascii="宋体" w:hAnsi="宋体"/>
          <w:color w:val="000000" w:themeColor="text1"/>
          <w:sz w:val="24"/>
          <w:szCs w:val="24"/>
          <w:highlight w:val="none"/>
          <w14:textFill>
            <w14:solidFill>
              <w14:schemeClr w14:val="tx1"/>
            </w14:solidFill>
          </w14:textFill>
        </w:rPr>
        <w:t>承包人未能按期开工；</w:t>
      </w:r>
    </w:p>
    <w:p w14:paraId="6A44AE7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（8）承包人违反第 4.6 款或第 6.3 款的规定，未按</w:t>
      </w:r>
      <w:r>
        <w:rPr>
          <w:rFonts w:hint="eastAsia" w:ascii="宋体" w:hAnsi="宋体"/>
          <w:color w:val="000000" w:themeColor="text1"/>
          <w:sz w:val="24"/>
          <w:szCs w:val="24"/>
          <w:highlight w:val="none"/>
          <w:lang w:val="en-US" w:eastAsia="zh-CN"/>
          <w14:textFill>
            <w14:solidFill>
              <w14:schemeClr w14:val="tx1"/>
            </w14:solidFill>
          </w14:textFill>
        </w:rPr>
        <w:t>签署的</w:t>
      </w:r>
      <w:r>
        <w:rPr>
          <w:rFonts w:hint="eastAsia" w:ascii="宋体" w:hAnsi="宋体"/>
          <w:color w:val="000000" w:themeColor="text1"/>
          <w:sz w:val="24"/>
          <w:szCs w:val="24"/>
          <w:highlight w:val="none"/>
          <w14:textFill>
            <w14:solidFill>
              <w14:schemeClr w14:val="tx1"/>
            </w14:solidFill>
          </w14:textFill>
        </w:rPr>
        <w:t>承诺或未按监理人的要求及时配备称职的主要管理人员、技术骨干或关键施工设备；</w:t>
      </w:r>
    </w:p>
    <w:p w14:paraId="7B1FC14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（9）经监理人和发包人检查，发现承包人有安全问题或有违反安全管理规章制度的情况；</w:t>
      </w:r>
    </w:p>
    <w:p w14:paraId="16B8777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（10）承包人不按合同约定履行义务的其他情况。</w:t>
      </w:r>
    </w:p>
    <w:p w14:paraId="3C5F6BA0">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22.1.2 对承包人违约的处理</w:t>
      </w:r>
    </w:p>
    <w:p w14:paraId="160313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本项补充：</w:t>
      </w:r>
    </w:p>
    <w:p w14:paraId="42869A3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FF"/>
          <w:sz w:val="24"/>
          <w:szCs w:val="24"/>
          <w:highlight w:val="none"/>
        </w:rPr>
      </w:pPr>
      <w:r>
        <w:rPr>
          <w:rFonts w:hint="eastAsia" w:ascii="宋体" w:hAnsi="宋体"/>
          <w:color w:val="000000" w:themeColor="text1"/>
          <w:sz w:val="24"/>
          <w:szCs w:val="24"/>
          <w:highlight w:val="none"/>
          <w14:textFill>
            <w14:solidFill>
              <w14:schemeClr w14:val="tx1"/>
            </w14:solidFill>
          </w14:textFill>
        </w:rPr>
        <w:t>（4）承包人发生第22.1.1项约定的违约情况时，无论发包人是否解除合同，发包人均有权向承包人课以项目专用合同条款中规定的违约金，并由发包人将其违约行为上报省级交通运输主管部门，作为不良记录纳入</w:t>
      </w:r>
      <w:r>
        <w:rPr>
          <w:rFonts w:hint="eastAsia" w:ascii="宋体" w:hAnsi="宋体"/>
          <w:color w:val="000000" w:themeColor="text1"/>
          <w:sz w:val="24"/>
          <w:szCs w:val="24"/>
          <w:highlight w:val="none"/>
          <w:lang w:eastAsia="zh-CN"/>
          <w14:textFill>
            <w14:solidFill>
              <w14:schemeClr w14:val="tx1"/>
            </w14:solidFill>
          </w14:textFill>
        </w:rPr>
        <w:t>全国公路建设市场监督管理系统</w:t>
      </w:r>
      <w:r>
        <w:rPr>
          <w:rFonts w:hint="eastAsia" w:ascii="宋体" w:hAnsi="宋体"/>
          <w:color w:val="000000" w:themeColor="text1"/>
          <w:sz w:val="24"/>
          <w:szCs w:val="24"/>
          <w:highlight w:val="none"/>
          <w:lang w:val="en-US" w:eastAsia="zh-CN"/>
          <w14:textFill>
            <w14:solidFill>
              <w14:schemeClr w14:val="tx1"/>
            </w14:solidFill>
          </w14:textFill>
        </w:rPr>
        <w:t>（http：//glxy.mot.gov.cn）</w:t>
      </w:r>
      <w:r>
        <w:rPr>
          <w:rFonts w:hint="eastAsia" w:ascii="宋体" w:hAnsi="宋体"/>
          <w:color w:val="000000" w:themeColor="text1"/>
          <w:sz w:val="24"/>
          <w:szCs w:val="24"/>
          <w:highlight w:val="none"/>
          <w14:textFill>
            <w14:solidFill>
              <w14:schemeClr w14:val="tx1"/>
            </w14:solidFill>
          </w14:textFill>
        </w:rPr>
        <w:t>。</w:t>
      </w:r>
    </w:p>
    <w:p w14:paraId="0EE0A6B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22.2 发包人违约</w:t>
      </w:r>
    </w:p>
    <w:p w14:paraId="772056D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color w:val="auto"/>
          <w:sz w:val="24"/>
          <w:szCs w:val="24"/>
          <w:highlight w:val="none"/>
        </w:rPr>
      </w:pPr>
      <w:r>
        <w:rPr>
          <w:rFonts w:hint="eastAsia" w:ascii="宋体" w:hAnsi="宋体"/>
          <w:b/>
          <w:bCs/>
          <w:color w:val="auto"/>
          <w:sz w:val="24"/>
          <w:szCs w:val="24"/>
          <w:highlight w:val="none"/>
        </w:rPr>
        <w:t>22.2.1 发包人违约的情形</w:t>
      </w:r>
    </w:p>
    <w:p w14:paraId="097FC22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本项（5）目细化为：</w:t>
      </w:r>
    </w:p>
    <w:p w14:paraId="38BCFB1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（5）发包人无正当理由不按时返还履约保证金、质量保证金或农民工工资保证金的；</w:t>
      </w:r>
    </w:p>
    <w:p w14:paraId="57E022F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（6）发包人不履行合同约定其他义务的。</w:t>
      </w:r>
    </w:p>
    <w:p w14:paraId="459F4712">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auto"/>
          <w:sz w:val="24"/>
          <w:szCs w:val="24"/>
          <w:highlight w:val="none"/>
        </w:rPr>
        <w:t>22.2.2</w:t>
      </w:r>
      <w:r>
        <w:rPr>
          <w:rFonts w:hint="eastAsia" w:ascii="宋体" w:hAnsi="宋体"/>
          <w:b/>
          <w:bCs/>
          <w:color w:val="000000" w:themeColor="text1"/>
          <w:sz w:val="24"/>
          <w:szCs w:val="24"/>
          <w:highlight w:val="none"/>
          <w14:textFill>
            <w14:solidFill>
              <w14:schemeClr w14:val="tx1"/>
            </w14:solidFill>
          </w14:textFill>
        </w:rPr>
        <w:t xml:space="preserve"> 承包人有权暂停施工</w:t>
      </w:r>
    </w:p>
    <w:p w14:paraId="68228C7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本项细化为：</w:t>
      </w:r>
    </w:p>
    <w:p w14:paraId="0E5BE9E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发生除第22.2.1（5）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7A03E34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发包人发生第 22.2.1（5）目的违约情况时，承包人可向发包人发出通知，要求发包人采取有效措施纠正违约行为。发包人收到承包人通知后的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p>
    <w:p w14:paraId="0A77F32A">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22.2.4 解除合同后的付款</w:t>
      </w:r>
    </w:p>
    <w:p w14:paraId="076D9DB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本项（2）目细化为：</w:t>
      </w:r>
    </w:p>
    <w:p w14:paraId="20BBC56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（2）承包人为该工程施工订购并已付款的材料、工程设备和其他物品的金额。发包人付款后，该材料、工程设备和其他物品归发包人所有；</w:t>
      </w:r>
    </w:p>
    <w:p w14:paraId="48F3B97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23. 索赔</w:t>
      </w:r>
    </w:p>
    <w:p w14:paraId="663A2AB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23.1 承包人索赔的提出</w:t>
      </w:r>
    </w:p>
    <w:p w14:paraId="62C25E4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本款第（4）项细化为：</w:t>
      </w:r>
    </w:p>
    <w:p w14:paraId="41A150E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（4）在索赔事件影响结束后的28天内，承包人应向监理人递交最终索赔通知书，说明最终要求索赔的追加付款金额和（或）延长的工期，并附必要的记录和证明材料。</w:t>
      </w:r>
    </w:p>
    <w:p w14:paraId="2C69AEF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23.2 承包人索赔处理程序</w:t>
      </w:r>
    </w:p>
    <w:p w14:paraId="0BD9A6C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本款第（2）项细化为：</w:t>
      </w:r>
    </w:p>
    <w:p w14:paraId="201FE2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监理人应按第3.5款商定或确定追加的付款和（或）延长的工期，并在收到上述索赔通知书或有关索赔的进一步证明材料后的42天内，将索赔处理结果报发包人批准后答复承包人。如果承包人提出的索赔要求未能遵守第23.1（2）～（4）项的规定，则承包人只限于索赔由监理人按当时记录予以核实的那部分款额和（或）工期延长天数。</w:t>
      </w:r>
    </w:p>
    <w:p w14:paraId="2C0D640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24. 争议的解决</w:t>
      </w:r>
    </w:p>
    <w:p w14:paraId="6B7FC5C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24.3 争议评审</w:t>
      </w:r>
    </w:p>
    <w:p w14:paraId="0193EB1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第 24.3.1 项补充：</w:t>
      </w:r>
    </w:p>
    <w:p w14:paraId="3604151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争议评审组由3人或5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1214CDE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本条补充第 24.4 款、第 24.5 款（适用于采用仲裁方式最终解决争议的项目）。</w:t>
      </w:r>
    </w:p>
    <w:p w14:paraId="12A6F3F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24.4 仲裁</w:t>
      </w:r>
    </w:p>
    <w:p w14:paraId="65EE182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（1）对于未能友好解决或未能通过争议评审解决的争议，发包人或承包人任一方均有权提交给第 24.1 款约定的仲裁委员会仲裁。</w:t>
      </w:r>
    </w:p>
    <w:p w14:paraId="57167D4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0E310AD3">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（3）仲裁裁决是终局性的并对发包人和承包人双方具有约束力。</w:t>
      </w:r>
    </w:p>
    <w:p w14:paraId="22899E3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（4）全部仲裁费用应由败诉方承担；或按仲裁委员会裁决的比例分担。</w:t>
      </w:r>
    </w:p>
    <w:p w14:paraId="612E03C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24.5 仲裁的执行</w:t>
      </w:r>
    </w:p>
    <w:p w14:paraId="2A0E7C4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（1）任何一方不履行仲裁机构的裁决的，对方可以向有管辖权的人民法院申请执行。</w:t>
      </w:r>
    </w:p>
    <w:p w14:paraId="3345F0B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7184BB51">
      <w:pPr>
        <w:pStyle w:val="16"/>
        <w:snapToGrid w:val="0"/>
        <w:spacing w:line="300" w:lineRule="auto"/>
        <w:rPr>
          <w:rFonts w:hAnsi="宋体"/>
          <w:b/>
          <w:bCs/>
          <w:color w:val="auto"/>
          <w:sz w:val="44"/>
          <w:szCs w:val="44"/>
          <w:highlight w:val="none"/>
        </w:rPr>
      </w:pPr>
      <w:r>
        <w:rPr>
          <w:rFonts w:hint="eastAsia" w:hAnsi="宋体"/>
          <w:b/>
          <w:bCs/>
          <w:color w:val="auto"/>
          <w:sz w:val="44"/>
          <w:szCs w:val="44"/>
          <w:highlight w:val="none"/>
        </w:rPr>
        <w:t xml:space="preserve"> </w:t>
      </w:r>
    </w:p>
    <w:p w14:paraId="30C590DF">
      <w:pPr>
        <w:pStyle w:val="9"/>
        <w:rPr>
          <w:rFonts w:hint="eastAsia" w:hAnsi="宋体"/>
          <w:b/>
          <w:bCs/>
          <w:color w:val="auto"/>
          <w:sz w:val="44"/>
          <w:szCs w:val="44"/>
          <w:highlight w:val="none"/>
        </w:rPr>
      </w:pPr>
      <w:r>
        <w:rPr>
          <w:rFonts w:hint="eastAsia" w:hAnsi="宋体"/>
          <w:b/>
          <w:bCs/>
          <w:color w:val="auto"/>
          <w:sz w:val="44"/>
          <w:szCs w:val="44"/>
          <w:highlight w:val="none"/>
        </w:rPr>
        <w:t xml:space="preserve"> </w:t>
      </w:r>
    </w:p>
    <w:p w14:paraId="2FD8C9AE">
      <w:pPr>
        <w:rPr>
          <w:rFonts w:hint="eastAsia" w:hAnsi="宋体"/>
          <w:b/>
          <w:bCs/>
          <w:color w:val="auto"/>
          <w:sz w:val="44"/>
          <w:szCs w:val="44"/>
          <w:highlight w:val="none"/>
        </w:rPr>
      </w:pPr>
      <w:r>
        <w:rPr>
          <w:rFonts w:hint="eastAsia" w:hAnsi="宋体"/>
          <w:b/>
          <w:bCs/>
          <w:color w:val="auto"/>
          <w:sz w:val="44"/>
          <w:szCs w:val="44"/>
          <w:highlight w:val="none"/>
        </w:rPr>
        <w:br w:type="page"/>
      </w:r>
    </w:p>
    <w:p w14:paraId="18586BF0">
      <w:pPr>
        <w:pStyle w:val="16"/>
        <w:snapToGrid w:val="0"/>
        <w:spacing w:line="300" w:lineRule="auto"/>
        <w:jc w:val="center"/>
        <w:rPr>
          <w:rFonts w:ascii="宋体" w:hAnsi="宋体"/>
          <w:b/>
          <w:bCs w:val="0"/>
          <w:color w:val="auto"/>
          <w:sz w:val="28"/>
          <w:szCs w:val="28"/>
          <w:highlight w:val="none"/>
        </w:rPr>
      </w:pPr>
      <w:r>
        <w:rPr>
          <w:rFonts w:hint="eastAsia" w:ascii="宋体" w:hAnsi="宋体"/>
          <w:b/>
          <w:bCs w:val="0"/>
          <w:color w:val="auto"/>
          <w:sz w:val="28"/>
          <w:szCs w:val="28"/>
          <w:highlight w:val="none"/>
        </w:rPr>
        <w:t>B.项目专用合同条款</w:t>
      </w:r>
    </w:p>
    <w:p w14:paraId="090ED234">
      <w:pPr>
        <w:spacing w:line="52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rPr>
        <w:t>说明：</w:t>
      </w:r>
    </w:p>
    <w:p w14:paraId="773BF6BC">
      <w:pPr>
        <w:spacing w:line="52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1.招标人在根据《公路工程标准施工招标文件》编制项目招标文件中的“项目专用合同条款”时，可根据招标项目的具体特点和实际需要，对</w:t>
      </w:r>
      <w:r>
        <w:rPr>
          <w:rFonts w:hint="eastAsia" w:ascii="宋体" w:hAnsi="宋体"/>
          <w:bCs/>
          <w:color w:val="000000" w:themeColor="text1"/>
          <w:sz w:val="24"/>
          <w:szCs w:val="24"/>
          <w:highlight w:val="none"/>
          <w14:textFill>
            <w14:solidFill>
              <w14:schemeClr w14:val="tx1"/>
            </w14:solidFill>
          </w14:textFill>
        </w:rPr>
        <w:t>“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w:t>
      </w:r>
      <w:r>
        <w:rPr>
          <w:rFonts w:hint="eastAsia" w:ascii="宋体" w:hAnsi="宋体"/>
          <w:bCs/>
          <w:color w:val="auto"/>
          <w:sz w:val="24"/>
          <w:szCs w:val="24"/>
          <w:highlight w:val="none"/>
        </w:rPr>
        <w:t>同时，补充、细化或约定的内容，不得违反法律、行政法规的强制性规定和平等、自愿、公平和诚实信用原则。</w:t>
      </w:r>
    </w:p>
    <w:p w14:paraId="7A6311FD">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2.项目专用合同条款的编号应与通用合同条款和公路工程专用合同款一致。</w:t>
      </w:r>
    </w:p>
    <w:p w14:paraId="508103B9">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3.项目专用合同条款可对下列内容进行补充和细化：</w:t>
      </w:r>
    </w:p>
    <w:p w14:paraId="675725F4">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69DA1A7F">
      <w:pPr>
        <w:spacing w:line="520" w:lineRule="exact"/>
        <w:ind w:firstLine="600"/>
        <w:rPr>
          <w:rFonts w:ascii="宋体" w:hAnsi="宋体"/>
          <w:bCs/>
          <w:color w:val="auto"/>
          <w:sz w:val="24"/>
          <w:szCs w:val="24"/>
          <w:highlight w:val="none"/>
        </w:rPr>
      </w:pPr>
      <w:r>
        <w:rPr>
          <w:rFonts w:hint="eastAsia" w:ascii="宋体" w:hAnsi="宋体"/>
          <w:bCs/>
          <w:color w:val="auto"/>
          <w:sz w:val="24"/>
          <w:szCs w:val="24"/>
          <w:highlight w:val="none"/>
        </w:rPr>
        <w:t>（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5535C7AC">
      <w:pPr>
        <w:spacing w:line="520" w:lineRule="exact"/>
        <w:ind w:firstLine="600"/>
        <w:rPr>
          <w:rFonts w:ascii="宋体" w:hAnsi="宋体"/>
          <w:bCs/>
          <w:color w:val="auto"/>
          <w:sz w:val="28"/>
          <w:szCs w:val="28"/>
          <w:highlight w:val="none"/>
        </w:rPr>
      </w:pPr>
      <w:r>
        <w:rPr>
          <w:rFonts w:hint="eastAsia" w:ascii="宋体" w:hAnsi="宋体"/>
          <w:bCs/>
          <w:color w:val="auto"/>
          <w:sz w:val="24"/>
          <w:szCs w:val="24"/>
          <w:highlight w:val="none"/>
        </w:rPr>
        <w:t>（3）其他需要补充、细化的内容。</w:t>
      </w:r>
    </w:p>
    <w:p w14:paraId="3804623D">
      <w:pPr>
        <w:spacing w:line="520" w:lineRule="exact"/>
        <w:jc w:val="center"/>
        <w:rPr>
          <w:rFonts w:ascii="宋体" w:hAnsi="宋体"/>
          <w:bCs/>
          <w:color w:val="auto"/>
          <w:sz w:val="36"/>
          <w:szCs w:val="36"/>
          <w:highlight w:val="none"/>
        </w:rPr>
      </w:pPr>
      <w:r>
        <w:rPr>
          <w:rFonts w:hint="eastAsia" w:ascii="宋体" w:hAnsi="宋体"/>
          <w:bCs/>
          <w:color w:val="auto"/>
          <w:sz w:val="36"/>
          <w:szCs w:val="36"/>
          <w:highlight w:val="none"/>
        </w:rPr>
        <w:t xml:space="preserve"> </w:t>
      </w:r>
    </w:p>
    <w:p w14:paraId="61FF6095">
      <w:pPr>
        <w:spacing w:line="520" w:lineRule="exact"/>
        <w:jc w:val="center"/>
        <w:rPr>
          <w:rFonts w:ascii="宋体" w:hAnsi="宋体"/>
          <w:bCs/>
          <w:color w:val="auto"/>
          <w:sz w:val="36"/>
          <w:szCs w:val="36"/>
          <w:highlight w:val="none"/>
        </w:rPr>
      </w:pPr>
      <w:r>
        <w:rPr>
          <w:rFonts w:hint="eastAsia" w:ascii="宋体" w:hAnsi="宋体"/>
          <w:bCs/>
          <w:color w:val="auto"/>
          <w:sz w:val="36"/>
          <w:szCs w:val="36"/>
          <w:highlight w:val="none"/>
        </w:rPr>
        <w:t xml:space="preserve"> </w:t>
      </w:r>
    </w:p>
    <w:p w14:paraId="0845C724">
      <w:pPr>
        <w:spacing w:line="520" w:lineRule="exact"/>
        <w:jc w:val="center"/>
        <w:rPr>
          <w:rFonts w:ascii="宋体" w:hAnsi="宋体"/>
          <w:bCs/>
          <w:color w:val="auto"/>
          <w:sz w:val="36"/>
          <w:szCs w:val="36"/>
          <w:highlight w:val="none"/>
        </w:rPr>
      </w:pPr>
      <w:r>
        <w:rPr>
          <w:rFonts w:hint="eastAsia" w:ascii="宋体" w:hAnsi="宋体"/>
          <w:bCs/>
          <w:color w:val="auto"/>
          <w:sz w:val="36"/>
          <w:szCs w:val="36"/>
          <w:highlight w:val="none"/>
        </w:rPr>
        <w:t xml:space="preserve"> </w:t>
      </w:r>
    </w:p>
    <w:p w14:paraId="53D70D8A">
      <w:pPr>
        <w:spacing w:line="520" w:lineRule="exact"/>
        <w:jc w:val="center"/>
        <w:rPr>
          <w:rFonts w:ascii="宋体" w:hAnsi="宋体"/>
          <w:bCs/>
          <w:color w:val="auto"/>
          <w:sz w:val="36"/>
          <w:szCs w:val="36"/>
          <w:highlight w:val="none"/>
        </w:rPr>
      </w:pPr>
      <w:r>
        <w:rPr>
          <w:rFonts w:hint="eastAsia" w:ascii="宋体" w:hAnsi="宋体"/>
          <w:bCs/>
          <w:color w:val="auto"/>
          <w:sz w:val="36"/>
          <w:szCs w:val="36"/>
          <w:highlight w:val="none"/>
        </w:rPr>
        <w:t xml:space="preserve"> </w:t>
      </w:r>
    </w:p>
    <w:p w14:paraId="0CA555A1">
      <w:pPr>
        <w:keepNext w:val="0"/>
        <w:keepLines w:val="0"/>
        <w:pageBreakBefore w:val="0"/>
        <w:widowControl w:val="0"/>
        <w:kinsoku/>
        <w:wordWrap/>
        <w:overflowPunct/>
        <w:topLinePunct w:val="0"/>
        <w:autoSpaceDE/>
        <w:autoSpaceDN/>
        <w:bidi w:val="0"/>
        <w:adjustRightInd w:val="0"/>
        <w:snapToGrid w:val="0"/>
        <w:spacing w:after="0" w:afterLines="100"/>
        <w:jc w:val="center"/>
        <w:textAlignment w:val="auto"/>
        <w:rPr>
          <w:rFonts w:ascii="宋体" w:hAnsi="宋体"/>
          <w:color w:val="auto"/>
          <w:sz w:val="32"/>
          <w:szCs w:val="32"/>
          <w:highlight w:val="none"/>
        </w:rPr>
      </w:pPr>
      <w:r>
        <w:rPr>
          <w:rFonts w:hint="eastAsia" w:ascii="宋体" w:hAnsi="宋体"/>
          <w:color w:val="auto"/>
          <w:sz w:val="32"/>
          <w:szCs w:val="32"/>
          <w:highlight w:val="none"/>
        </w:rPr>
        <w:br w:type="page"/>
      </w:r>
      <w:r>
        <w:rPr>
          <w:rFonts w:hint="eastAsia" w:ascii="宋体" w:hAnsi="宋体"/>
          <w:b/>
          <w:bCs/>
          <w:color w:val="auto"/>
          <w:sz w:val="28"/>
          <w:szCs w:val="28"/>
          <w:highlight w:val="none"/>
        </w:rPr>
        <w:t>项目专用合同条款数据表</w:t>
      </w:r>
    </w:p>
    <w:p w14:paraId="3A362C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说明：本数据表是项目专用合同条款中适用于本项目的信息和数据的归纳与提示，是项目专用合同条款的组成部分。第</w:t>
      </w:r>
      <w:r>
        <w:rPr>
          <w:rFonts w:hint="eastAsia" w:ascii="宋体" w:hAnsi="宋体"/>
          <w:color w:val="auto"/>
          <w:sz w:val="24"/>
          <w:szCs w:val="24"/>
          <w:highlight w:val="none"/>
          <w:lang w:val="en-US" w:eastAsia="zh-CN"/>
        </w:rPr>
        <w:t>十</w:t>
      </w:r>
      <w:r>
        <w:rPr>
          <w:rFonts w:hint="eastAsia" w:ascii="宋体" w:hAnsi="宋体"/>
          <w:color w:val="auto"/>
          <w:sz w:val="24"/>
          <w:szCs w:val="24"/>
          <w:highlight w:val="none"/>
        </w:rPr>
        <w:t>章“投标文件格式”的投标函附录中的数据（供投标人确认）与本表所列有重复。编写招标文件的单位应仔细校核，不使数据出现差错或不一致。</w:t>
      </w:r>
    </w:p>
    <w:tbl>
      <w:tblPr>
        <w:tblStyle w:val="27"/>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229"/>
        <w:gridCol w:w="7707"/>
      </w:tblGrid>
      <w:tr w14:paraId="2B855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48AC735">
            <w:pPr>
              <w:autoSpaceDE w:val="0"/>
              <w:adjustRightInd w:val="0"/>
              <w:snapToGrid w:val="0"/>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29" w:type="dxa"/>
            <w:tcBorders>
              <w:top w:val="single" w:color="auto" w:sz="4" w:space="0"/>
              <w:left w:val="single" w:color="auto" w:sz="4" w:space="0"/>
              <w:bottom w:val="single" w:color="auto" w:sz="4" w:space="0"/>
              <w:right w:val="single" w:color="auto" w:sz="4" w:space="0"/>
            </w:tcBorders>
            <w:noWrap/>
            <w:vAlign w:val="center"/>
          </w:tcPr>
          <w:p w14:paraId="03904A65">
            <w:pPr>
              <w:autoSpaceDE w:val="0"/>
              <w:adjustRightInd w:val="0"/>
              <w:snapToGrid w:val="0"/>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7707" w:type="dxa"/>
            <w:tcBorders>
              <w:top w:val="single" w:color="auto" w:sz="4" w:space="0"/>
              <w:left w:val="single" w:color="auto" w:sz="4" w:space="0"/>
              <w:bottom w:val="single" w:color="auto" w:sz="4" w:space="0"/>
              <w:right w:val="single" w:color="auto" w:sz="4" w:space="0"/>
            </w:tcBorders>
            <w:noWrap/>
            <w:vAlign w:val="center"/>
          </w:tcPr>
          <w:p w14:paraId="7DC20BB9">
            <w:pPr>
              <w:autoSpaceDE w:val="0"/>
              <w:adjustRightInd w:val="0"/>
              <w:snapToGrid w:val="0"/>
              <w:spacing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信息或数据</w:t>
            </w:r>
          </w:p>
        </w:tc>
      </w:tr>
      <w:tr w14:paraId="012DB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 w:type="dxa"/>
            <w:tcBorders>
              <w:top w:val="single" w:color="auto" w:sz="4" w:space="0"/>
              <w:left w:val="single" w:color="auto" w:sz="4" w:space="0"/>
              <w:bottom w:val="single" w:color="auto" w:sz="4" w:space="0"/>
              <w:right w:val="single" w:color="auto" w:sz="4" w:space="0"/>
            </w:tcBorders>
            <w:noWrap/>
            <w:vAlign w:val="center"/>
          </w:tcPr>
          <w:p w14:paraId="7CBEE7E8">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29" w:type="dxa"/>
            <w:tcBorders>
              <w:top w:val="single" w:color="auto" w:sz="4" w:space="0"/>
              <w:left w:val="single" w:color="auto" w:sz="4" w:space="0"/>
              <w:bottom w:val="single" w:color="auto" w:sz="4" w:space="0"/>
              <w:right w:val="single" w:color="auto" w:sz="4" w:space="0"/>
            </w:tcBorders>
            <w:noWrap/>
            <w:vAlign w:val="center"/>
          </w:tcPr>
          <w:p w14:paraId="3F85B49E">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1.1.2.2</w:t>
            </w:r>
          </w:p>
        </w:tc>
        <w:tc>
          <w:tcPr>
            <w:tcW w:w="7707" w:type="dxa"/>
            <w:tcBorders>
              <w:top w:val="single" w:color="auto" w:sz="4" w:space="0"/>
              <w:left w:val="single" w:color="auto" w:sz="4" w:space="0"/>
              <w:bottom w:val="single" w:color="auto" w:sz="4" w:space="0"/>
              <w:right w:val="single" w:color="auto" w:sz="4" w:space="0"/>
            </w:tcBorders>
            <w:noWrap/>
            <w:vAlign w:val="center"/>
          </w:tcPr>
          <w:p w14:paraId="10C4BC1D">
            <w:pPr>
              <w:autoSpaceDE w:val="0"/>
              <w:adjustRightInd w:val="0"/>
              <w:snapToGrid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lang w:val="en-US" w:eastAsia="zh-CN"/>
              </w:rPr>
              <w:t>新蔡县农村公路事业发展中心</w:t>
            </w:r>
          </w:p>
          <w:p w14:paraId="0BF71F1C">
            <w:pPr>
              <w:autoSpaceDE w:val="0"/>
              <w:adjustRightInd w:val="0"/>
              <w:snapToGrid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 </w:t>
            </w:r>
            <w:r>
              <w:rPr>
                <w:rFonts w:hint="eastAsia" w:ascii="宋体" w:hAnsi="宋体" w:eastAsia="宋体" w:cs="宋体"/>
                <w:color w:val="auto"/>
                <w:sz w:val="24"/>
                <w:szCs w:val="24"/>
                <w:highlight w:val="none"/>
                <w:lang w:val="en-US" w:eastAsia="zh-CN"/>
              </w:rPr>
              <w:t>新蔡县驻新路西段</w:t>
            </w:r>
          </w:p>
          <w:p w14:paraId="5C3336A3">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编：463000</w:t>
            </w:r>
          </w:p>
        </w:tc>
      </w:tr>
      <w:tr w14:paraId="09AF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7B5F022">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29" w:type="dxa"/>
            <w:tcBorders>
              <w:top w:val="single" w:color="auto" w:sz="4" w:space="0"/>
              <w:left w:val="single" w:color="auto" w:sz="4" w:space="0"/>
              <w:bottom w:val="single" w:color="auto" w:sz="4" w:space="0"/>
              <w:right w:val="single" w:color="auto" w:sz="4" w:space="0"/>
            </w:tcBorders>
            <w:noWrap/>
            <w:vAlign w:val="center"/>
          </w:tcPr>
          <w:p w14:paraId="59ECB540">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1.1.2.6</w:t>
            </w:r>
          </w:p>
        </w:tc>
        <w:tc>
          <w:tcPr>
            <w:tcW w:w="7707" w:type="dxa"/>
            <w:tcBorders>
              <w:top w:val="single" w:color="auto" w:sz="4" w:space="0"/>
              <w:left w:val="single" w:color="auto" w:sz="4" w:space="0"/>
              <w:bottom w:val="single" w:color="auto" w:sz="4" w:space="0"/>
              <w:right w:val="single" w:color="auto" w:sz="4" w:space="0"/>
            </w:tcBorders>
            <w:noWrap/>
            <w:vAlign w:val="center"/>
          </w:tcPr>
          <w:p w14:paraId="58C87A68">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w:t>
            </w:r>
            <w:r>
              <w:rPr>
                <w:rFonts w:hint="eastAsia" w:ascii="宋体" w:hAnsi="宋体" w:eastAsia="宋体" w:cs="宋体"/>
                <w:color w:val="auto"/>
                <w:sz w:val="24"/>
                <w:szCs w:val="24"/>
                <w:highlight w:val="none"/>
                <w:lang w:eastAsia="zh-CN"/>
              </w:rPr>
              <w:t>招标确定</w:t>
            </w:r>
            <w:r>
              <w:rPr>
                <w:rFonts w:hint="eastAsia" w:ascii="宋体" w:hAnsi="宋体" w:eastAsia="宋体" w:cs="宋体"/>
                <w:color w:val="auto"/>
                <w:sz w:val="24"/>
                <w:szCs w:val="24"/>
                <w:highlight w:val="none"/>
              </w:rPr>
              <w:t xml:space="preserve">       </w:t>
            </w:r>
          </w:p>
          <w:p w14:paraId="7BB77BB2">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待定</w:t>
            </w:r>
            <w:r>
              <w:rPr>
                <w:rFonts w:hint="eastAsia" w:ascii="宋体" w:hAnsi="宋体" w:eastAsia="宋体" w:cs="宋体"/>
                <w:color w:val="auto"/>
                <w:sz w:val="24"/>
                <w:szCs w:val="24"/>
                <w:highlight w:val="none"/>
              </w:rPr>
              <w:t xml:space="preserve">                </w:t>
            </w:r>
          </w:p>
          <w:p w14:paraId="4808FC6A">
            <w:pPr>
              <w:autoSpaceDE w:val="0"/>
              <w:adjustRightInd w:val="0"/>
              <w:snapToGrid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编：</w:t>
            </w:r>
            <w:r>
              <w:rPr>
                <w:rFonts w:hint="eastAsia" w:ascii="宋体" w:hAnsi="宋体" w:eastAsia="宋体" w:cs="宋体"/>
                <w:color w:val="auto"/>
                <w:sz w:val="24"/>
                <w:szCs w:val="24"/>
                <w:highlight w:val="none"/>
                <w:lang w:eastAsia="zh-CN"/>
              </w:rPr>
              <w:t>待定</w:t>
            </w:r>
          </w:p>
        </w:tc>
      </w:tr>
      <w:tr w14:paraId="2824F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39DFB5F">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29" w:type="dxa"/>
            <w:tcBorders>
              <w:top w:val="single" w:color="auto" w:sz="4" w:space="0"/>
              <w:left w:val="single" w:color="auto" w:sz="4" w:space="0"/>
              <w:bottom w:val="single" w:color="auto" w:sz="4" w:space="0"/>
              <w:right w:val="single" w:color="auto" w:sz="4" w:space="0"/>
            </w:tcBorders>
            <w:noWrap/>
            <w:vAlign w:val="center"/>
          </w:tcPr>
          <w:p w14:paraId="67A9B227">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1.1.4.5</w:t>
            </w:r>
          </w:p>
        </w:tc>
        <w:tc>
          <w:tcPr>
            <w:tcW w:w="7707" w:type="dxa"/>
            <w:tcBorders>
              <w:top w:val="single" w:color="auto" w:sz="4" w:space="0"/>
              <w:left w:val="single" w:color="auto" w:sz="4" w:space="0"/>
              <w:bottom w:val="single" w:color="auto" w:sz="4" w:space="0"/>
              <w:right w:val="single" w:color="auto" w:sz="4" w:space="0"/>
            </w:tcBorders>
            <w:noWrap/>
            <w:vAlign w:val="center"/>
          </w:tcPr>
          <w:p w14:paraId="4AF3F4B3">
            <w:pPr>
              <w:autoSpaceD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缺陷责任期：自实际交工日期</w:t>
            </w:r>
            <w:r>
              <w:rPr>
                <w:rFonts w:hint="eastAsia" w:ascii="宋体" w:hAnsi="宋体" w:eastAsia="宋体" w:cs="宋体"/>
                <w:color w:val="000000" w:themeColor="text1"/>
                <w:sz w:val="24"/>
                <w:szCs w:val="24"/>
                <w:highlight w:val="none"/>
                <w14:textFill>
                  <w14:solidFill>
                    <w14:schemeClr w14:val="tx1"/>
                  </w14:solidFill>
                </w14:textFill>
              </w:rPr>
              <w:t>起计算</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auto"/>
                <w:sz w:val="24"/>
                <w:szCs w:val="24"/>
                <w:highlight w:val="none"/>
              </w:rPr>
              <w:t xml:space="preserve">          </w:t>
            </w:r>
          </w:p>
        </w:tc>
      </w:tr>
      <w:tr w14:paraId="1ECA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3C287DB">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229" w:type="dxa"/>
            <w:tcBorders>
              <w:top w:val="single" w:color="auto" w:sz="4" w:space="0"/>
              <w:left w:val="single" w:color="auto" w:sz="4" w:space="0"/>
              <w:bottom w:val="single" w:color="auto" w:sz="4" w:space="0"/>
              <w:right w:val="single" w:color="auto" w:sz="4" w:space="0"/>
            </w:tcBorders>
            <w:noWrap/>
            <w:vAlign w:val="center"/>
          </w:tcPr>
          <w:p w14:paraId="30427223">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w:t>
            </w:r>
          </w:p>
        </w:tc>
        <w:tc>
          <w:tcPr>
            <w:tcW w:w="7707" w:type="dxa"/>
            <w:tcBorders>
              <w:top w:val="single" w:color="auto" w:sz="4" w:space="0"/>
              <w:left w:val="single" w:color="auto" w:sz="4" w:space="0"/>
              <w:bottom w:val="single" w:color="auto" w:sz="4" w:space="0"/>
              <w:right w:val="single" w:color="auto" w:sz="4" w:space="0"/>
            </w:tcBorders>
            <w:noWrap/>
            <w:vAlign w:val="center"/>
          </w:tcPr>
          <w:p w14:paraId="76DE71EF">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图纸需要修改和补充的，应由监理人取得发包人同意后，在该工程或工程相应部位施工前</w:t>
            </w:r>
            <w:r>
              <w:rPr>
                <w:rFonts w:hint="eastAsia" w:ascii="宋体" w:hAnsi="宋体" w:eastAsia="宋体" w:cs="宋体"/>
                <w:color w:val="auto"/>
                <w:sz w:val="24"/>
                <w:szCs w:val="24"/>
                <w:highlight w:val="none"/>
                <w:u w:val="single"/>
              </w:rPr>
              <w:t>7</w:t>
            </w:r>
            <w:r>
              <w:rPr>
                <w:rFonts w:hint="eastAsia" w:ascii="宋体" w:hAnsi="宋体" w:eastAsia="宋体" w:cs="宋体"/>
                <w:color w:val="auto"/>
                <w:sz w:val="24"/>
                <w:szCs w:val="24"/>
                <w:highlight w:val="none"/>
              </w:rPr>
              <w:t>天签发图纸修改图给承包人</w:t>
            </w:r>
          </w:p>
        </w:tc>
      </w:tr>
      <w:tr w14:paraId="0F03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447FB29">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29" w:type="dxa"/>
            <w:tcBorders>
              <w:top w:val="single" w:color="auto" w:sz="4" w:space="0"/>
              <w:left w:val="single" w:color="auto" w:sz="4" w:space="0"/>
              <w:bottom w:val="single" w:color="auto" w:sz="4" w:space="0"/>
              <w:right w:val="single" w:color="auto" w:sz="4" w:space="0"/>
            </w:tcBorders>
            <w:noWrap/>
            <w:vAlign w:val="center"/>
          </w:tcPr>
          <w:p w14:paraId="045B4368">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w:t>
            </w:r>
          </w:p>
        </w:tc>
        <w:tc>
          <w:tcPr>
            <w:tcW w:w="7707" w:type="dxa"/>
            <w:tcBorders>
              <w:top w:val="single" w:color="auto" w:sz="4" w:space="0"/>
              <w:left w:val="single" w:color="auto" w:sz="4" w:space="0"/>
              <w:bottom w:val="single" w:color="auto" w:sz="4" w:space="0"/>
              <w:right w:val="single" w:color="auto" w:sz="4" w:space="0"/>
            </w:tcBorders>
            <w:noWrap/>
            <w:vAlign w:val="center"/>
          </w:tcPr>
          <w:p w14:paraId="56145DC6">
            <w:pPr>
              <w:autoSpaceDE w:val="0"/>
              <w:adjustRightInd w:val="0"/>
              <w:snapToGrid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所有变更按相关规定处理</w:t>
            </w:r>
          </w:p>
        </w:tc>
      </w:tr>
      <w:tr w14:paraId="3CBBE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1FD7854">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229" w:type="dxa"/>
            <w:tcBorders>
              <w:top w:val="single" w:color="auto" w:sz="4" w:space="0"/>
              <w:left w:val="single" w:color="auto" w:sz="4" w:space="0"/>
              <w:bottom w:val="single" w:color="auto" w:sz="4" w:space="0"/>
              <w:right w:val="single" w:color="auto" w:sz="4" w:space="0"/>
            </w:tcBorders>
            <w:noWrap/>
            <w:vAlign w:val="center"/>
          </w:tcPr>
          <w:p w14:paraId="37CCA2A6">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5.2.1</w:t>
            </w:r>
          </w:p>
        </w:tc>
        <w:tc>
          <w:tcPr>
            <w:tcW w:w="7707" w:type="dxa"/>
            <w:tcBorders>
              <w:top w:val="single" w:color="auto" w:sz="4" w:space="0"/>
              <w:left w:val="single" w:color="auto" w:sz="4" w:space="0"/>
              <w:bottom w:val="single" w:color="auto" w:sz="4" w:space="0"/>
              <w:right w:val="single" w:color="auto" w:sz="4" w:space="0"/>
            </w:tcBorders>
            <w:noWrap/>
            <w:vAlign w:val="center"/>
          </w:tcPr>
          <w:p w14:paraId="16BF7F37">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发包人是否提供材料或工程设备：</w:t>
            </w:r>
            <w:r>
              <w:rPr>
                <w:rFonts w:hint="eastAsia" w:ascii="宋体" w:hAnsi="宋体" w:eastAsia="宋体" w:cs="宋体"/>
                <w:color w:val="auto"/>
                <w:sz w:val="24"/>
                <w:szCs w:val="24"/>
                <w:highlight w:val="none"/>
                <w:u w:val="single"/>
              </w:rPr>
              <w:t xml:space="preserve"> 否 </w:t>
            </w:r>
          </w:p>
        </w:tc>
      </w:tr>
      <w:tr w14:paraId="7B7E1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F80D9EE">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229" w:type="dxa"/>
            <w:tcBorders>
              <w:top w:val="single" w:color="auto" w:sz="4" w:space="0"/>
              <w:left w:val="single" w:color="auto" w:sz="4" w:space="0"/>
              <w:bottom w:val="single" w:color="auto" w:sz="4" w:space="0"/>
              <w:right w:val="single" w:color="auto" w:sz="4" w:space="0"/>
            </w:tcBorders>
            <w:noWrap/>
            <w:vAlign w:val="center"/>
          </w:tcPr>
          <w:p w14:paraId="2862963C">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w:t>
            </w:r>
          </w:p>
        </w:tc>
        <w:tc>
          <w:tcPr>
            <w:tcW w:w="7707" w:type="dxa"/>
            <w:tcBorders>
              <w:top w:val="single" w:color="auto" w:sz="4" w:space="0"/>
              <w:left w:val="single" w:color="auto" w:sz="4" w:space="0"/>
              <w:bottom w:val="single" w:color="auto" w:sz="4" w:space="0"/>
              <w:right w:val="single" w:color="auto" w:sz="4" w:space="0"/>
            </w:tcBorders>
            <w:noWrap/>
            <w:vAlign w:val="center"/>
          </w:tcPr>
          <w:p w14:paraId="2B0AE5FE">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发包人是否提供施工设备和临时设施：</w:t>
            </w:r>
            <w:r>
              <w:rPr>
                <w:rFonts w:hint="eastAsia" w:ascii="宋体" w:hAnsi="宋体" w:eastAsia="宋体" w:cs="宋体"/>
                <w:color w:val="auto"/>
                <w:sz w:val="24"/>
                <w:szCs w:val="24"/>
                <w:highlight w:val="none"/>
                <w:u w:val="single"/>
              </w:rPr>
              <w:t xml:space="preserve"> 否 </w:t>
            </w:r>
          </w:p>
        </w:tc>
      </w:tr>
      <w:tr w14:paraId="23A8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 w:type="dxa"/>
            <w:tcBorders>
              <w:top w:val="single" w:color="auto" w:sz="4" w:space="0"/>
              <w:left w:val="single" w:color="auto" w:sz="4" w:space="0"/>
              <w:bottom w:val="single" w:color="auto" w:sz="4" w:space="0"/>
              <w:right w:val="single" w:color="auto" w:sz="4" w:space="0"/>
            </w:tcBorders>
            <w:noWrap/>
            <w:vAlign w:val="center"/>
          </w:tcPr>
          <w:p w14:paraId="1B4A284E">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229" w:type="dxa"/>
            <w:tcBorders>
              <w:top w:val="single" w:color="auto" w:sz="4" w:space="0"/>
              <w:left w:val="single" w:color="auto" w:sz="4" w:space="0"/>
              <w:bottom w:val="single" w:color="auto" w:sz="4" w:space="0"/>
              <w:right w:val="single" w:color="auto" w:sz="4" w:space="0"/>
            </w:tcBorders>
            <w:noWrap/>
            <w:vAlign w:val="center"/>
          </w:tcPr>
          <w:p w14:paraId="66558489">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8.1.1</w:t>
            </w:r>
          </w:p>
        </w:tc>
        <w:tc>
          <w:tcPr>
            <w:tcW w:w="7707" w:type="dxa"/>
            <w:tcBorders>
              <w:top w:val="single" w:color="auto" w:sz="4" w:space="0"/>
              <w:left w:val="single" w:color="auto" w:sz="4" w:space="0"/>
              <w:bottom w:val="single" w:color="auto" w:sz="4" w:space="0"/>
              <w:right w:val="single" w:color="auto" w:sz="4" w:space="0"/>
            </w:tcBorders>
            <w:noWrap/>
            <w:vAlign w:val="center"/>
          </w:tcPr>
          <w:p w14:paraId="49DE963A">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发包人提供测量基准点、基准线和水准点及其书面资料的期限：</w:t>
            </w:r>
            <w:r>
              <w:rPr>
                <w:rFonts w:hint="eastAsia" w:ascii="宋体" w:hAnsi="宋体" w:eastAsia="宋体" w:cs="宋体"/>
                <w:color w:val="auto"/>
                <w:sz w:val="24"/>
                <w:szCs w:val="24"/>
                <w:highlight w:val="none"/>
                <w:u w:val="single"/>
              </w:rPr>
              <w:t xml:space="preserve">开工日期7天前 </w:t>
            </w:r>
          </w:p>
          <w:p w14:paraId="62E53F87">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承包人将施工控制网资料报送监理人审批的期限：</w:t>
            </w:r>
            <w:r>
              <w:rPr>
                <w:rFonts w:hint="eastAsia" w:ascii="宋体" w:hAnsi="宋体" w:eastAsia="宋体" w:cs="宋体"/>
                <w:color w:val="auto"/>
                <w:sz w:val="24"/>
                <w:szCs w:val="24"/>
                <w:highlight w:val="none"/>
                <w:u w:val="single"/>
              </w:rPr>
              <w:t xml:space="preserve">承包人在与发包人签订合同协议后的28天内提交给监理人 </w:t>
            </w:r>
          </w:p>
        </w:tc>
      </w:tr>
      <w:tr w14:paraId="71D42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43F5A04">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229" w:type="dxa"/>
            <w:tcBorders>
              <w:top w:val="single" w:color="auto" w:sz="4" w:space="0"/>
              <w:left w:val="single" w:color="auto" w:sz="4" w:space="0"/>
              <w:bottom w:val="single" w:color="auto" w:sz="4" w:space="0"/>
              <w:right w:val="single" w:color="auto" w:sz="4" w:space="0"/>
            </w:tcBorders>
            <w:noWrap/>
            <w:vAlign w:val="center"/>
          </w:tcPr>
          <w:p w14:paraId="07BA2670">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11.5（3）</w:t>
            </w:r>
          </w:p>
        </w:tc>
        <w:tc>
          <w:tcPr>
            <w:tcW w:w="7707" w:type="dxa"/>
            <w:tcBorders>
              <w:top w:val="single" w:color="auto" w:sz="4" w:space="0"/>
              <w:left w:val="single" w:color="auto" w:sz="4" w:space="0"/>
              <w:bottom w:val="single" w:color="auto" w:sz="4" w:space="0"/>
              <w:right w:val="single" w:color="auto" w:sz="4" w:space="0"/>
            </w:tcBorders>
            <w:noWrap/>
            <w:vAlign w:val="center"/>
          </w:tcPr>
          <w:p w14:paraId="1351BE99">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逾期交工违约金：人民币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元/天</w:t>
            </w:r>
          </w:p>
        </w:tc>
      </w:tr>
      <w:tr w14:paraId="39D3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F729BFB">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229" w:type="dxa"/>
            <w:tcBorders>
              <w:top w:val="single" w:color="auto" w:sz="4" w:space="0"/>
              <w:left w:val="single" w:color="auto" w:sz="4" w:space="0"/>
              <w:bottom w:val="single" w:color="auto" w:sz="4" w:space="0"/>
              <w:right w:val="single" w:color="auto" w:sz="4" w:space="0"/>
            </w:tcBorders>
            <w:noWrap/>
            <w:vAlign w:val="center"/>
          </w:tcPr>
          <w:p w14:paraId="17F0CFAE">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11.5（3）</w:t>
            </w:r>
          </w:p>
        </w:tc>
        <w:tc>
          <w:tcPr>
            <w:tcW w:w="7707" w:type="dxa"/>
            <w:tcBorders>
              <w:top w:val="single" w:color="auto" w:sz="4" w:space="0"/>
              <w:left w:val="single" w:color="auto" w:sz="4" w:space="0"/>
              <w:bottom w:val="single" w:color="auto" w:sz="4" w:space="0"/>
              <w:right w:val="single" w:color="auto" w:sz="4" w:space="0"/>
            </w:tcBorders>
            <w:noWrap/>
            <w:vAlign w:val="center"/>
          </w:tcPr>
          <w:p w14:paraId="1DC0A4F9">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逾期交工违约金限额：</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签约合同价</w:t>
            </w:r>
          </w:p>
        </w:tc>
      </w:tr>
      <w:tr w14:paraId="77349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108EB28">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229" w:type="dxa"/>
            <w:tcBorders>
              <w:top w:val="single" w:color="auto" w:sz="4" w:space="0"/>
              <w:left w:val="single" w:color="auto" w:sz="4" w:space="0"/>
              <w:bottom w:val="single" w:color="auto" w:sz="4" w:space="0"/>
              <w:right w:val="single" w:color="auto" w:sz="4" w:space="0"/>
            </w:tcBorders>
            <w:noWrap/>
            <w:vAlign w:val="center"/>
          </w:tcPr>
          <w:p w14:paraId="565D2D96">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w:t>
            </w:r>
          </w:p>
        </w:tc>
        <w:tc>
          <w:tcPr>
            <w:tcW w:w="7707" w:type="dxa"/>
            <w:tcBorders>
              <w:top w:val="single" w:color="auto" w:sz="4" w:space="0"/>
              <w:left w:val="single" w:color="auto" w:sz="4" w:space="0"/>
              <w:bottom w:val="single" w:color="auto" w:sz="4" w:space="0"/>
              <w:right w:val="single" w:color="auto" w:sz="4" w:space="0"/>
            </w:tcBorders>
            <w:noWrap/>
            <w:vAlign w:val="center"/>
          </w:tcPr>
          <w:p w14:paraId="0FEC7728">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提前交工的奖金：不适用</w:t>
            </w:r>
          </w:p>
        </w:tc>
      </w:tr>
      <w:tr w14:paraId="134C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AD217DF">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229" w:type="dxa"/>
            <w:tcBorders>
              <w:top w:val="single" w:color="auto" w:sz="4" w:space="0"/>
              <w:left w:val="single" w:color="auto" w:sz="4" w:space="0"/>
              <w:bottom w:val="single" w:color="auto" w:sz="4" w:space="0"/>
              <w:right w:val="single" w:color="auto" w:sz="4" w:space="0"/>
            </w:tcBorders>
            <w:noWrap/>
            <w:vAlign w:val="center"/>
          </w:tcPr>
          <w:p w14:paraId="11B6F163">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w:t>
            </w:r>
          </w:p>
        </w:tc>
        <w:tc>
          <w:tcPr>
            <w:tcW w:w="7707" w:type="dxa"/>
            <w:tcBorders>
              <w:top w:val="single" w:color="auto" w:sz="4" w:space="0"/>
              <w:left w:val="single" w:color="auto" w:sz="4" w:space="0"/>
              <w:bottom w:val="single" w:color="auto" w:sz="4" w:space="0"/>
              <w:right w:val="single" w:color="auto" w:sz="4" w:space="0"/>
            </w:tcBorders>
            <w:noWrap/>
            <w:vAlign w:val="center"/>
          </w:tcPr>
          <w:p w14:paraId="56F5DA1D">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提前交工的奖金限额：不适用</w:t>
            </w:r>
          </w:p>
        </w:tc>
      </w:tr>
      <w:tr w14:paraId="504D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999824D">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229" w:type="dxa"/>
            <w:tcBorders>
              <w:top w:val="single" w:color="auto" w:sz="4" w:space="0"/>
              <w:left w:val="single" w:color="auto" w:sz="4" w:space="0"/>
              <w:bottom w:val="single" w:color="auto" w:sz="4" w:space="0"/>
              <w:right w:val="single" w:color="auto" w:sz="4" w:space="0"/>
            </w:tcBorders>
            <w:noWrap/>
            <w:vAlign w:val="center"/>
          </w:tcPr>
          <w:p w14:paraId="4180F006">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15.5.2</w:t>
            </w:r>
          </w:p>
        </w:tc>
        <w:tc>
          <w:tcPr>
            <w:tcW w:w="7707" w:type="dxa"/>
            <w:tcBorders>
              <w:top w:val="single" w:color="auto" w:sz="4" w:space="0"/>
              <w:left w:val="single" w:color="auto" w:sz="4" w:space="0"/>
              <w:bottom w:val="single" w:color="auto" w:sz="4" w:space="0"/>
              <w:right w:val="single" w:color="auto" w:sz="4" w:space="0"/>
            </w:tcBorders>
            <w:noWrap/>
            <w:vAlign w:val="center"/>
          </w:tcPr>
          <w:p w14:paraId="4EA0F298">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承包人提出的合理化建议降低了合同价格或者提高了工程经济效益的，发包人按所节约成本的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%或增加收益的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%给予奖励</w:t>
            </w:r>
          </w:p>
        </w:tc>
      </w:tr>
      <w:tr w14:paraId="1960B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363AACA">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1229" w:type="dxa"/>
            <w:tcBorders>
              <w:top w:val="single" w:color="auto" w:sz="4" w:space="0"/>
              <w:left w:val="single" w:color="auto" w:sz="4" w:space="0"/>
              <w:bottom w:val="single" w:color="auto" w:sz="4" w:space="0"/>
              <w:right w:val="single" w:color="auto" w:sz="4" w:space="0"/>
            </w:tcBorders>
            <w:noWrap/>
            <w:vAlign w:val="center"/>
          </w:tcPr>
          <w:p w14:paraId="30215AB6">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w:t>
            </w:r>
          </w:p>
        </w:tc>
        <w:tc>
          <w:tcPr>
            <w:tcW w:w="7707" w:type="dxa"/>
            <w:tcBorders>
              <w:top w:val="single" w:color="auto" w:sz="4" w:space="0"/>
              <w:left w:val="single" w:color="auto" w:sz="4" w:space="0"/>
              <w:bottom w:val="single" w:color="auto" w:sz="4" w:space="0"/>
              <w:right w:val="single" w:color="auto" w:sz="4" w:space="0"/>
            </w:tcBorders>
            <w:noWrap/>
            <w:vAlign w:val="center"/>
          </w:tcPr>
          <w:p w14:paraId="3795314B">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☑合同期内不调价</w:t>
            </w:r>
          </w:p>
        </w:tc>
      </w:tr>
      <w:tr w14:paraId="4BF0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F591728">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229" w:type="dxa"/>
            <w:tcBorders>
              <w:top w:val="single" w:color="auto" w:sz="4" w:space="0"/>
              <w:left w:val="single" w:color="auto" w:sz="4" w:space="0"/>
              <w:bottom w:val="single" w:color="auto" w:sz="4" w:space="0"/>
              <w:right w:val="single" w:color="auto" w:sz="4" w:space="0"/>
            </w:tcBorders>
            <w:noWrap/>
            <w:vAlign w:val="center"/>
          </w:tcPr>
          <w:p w14:paraId="7D46E9E2">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17.2.1（1）</w:t>
            </w:r>
          </w:p>
        </w:tc>
        <w:tc>
          <w:tcPr>
            <w:tcW w:w="7707" w:type="dxa"/>
            <w:tcBorders>
              <w:top w:val="single" w:color="auto" w:sz="4" w:space="0"/>
              <w:left w:val="single" w:color="auto" w:sz="4" w:space="0"/>
              <w:bottom w:val="single" w:color="auto" w:sz="4" w:space="0"/>
              <w:right w:val="single" w:color="auto" w:sz="4" w:space="0"/>
            </w:tcBorders>
            <w:noWrap/>
            <w:vAlign w:val="center"/>
          </w:tcPr>
          <w:p w14:paraId="7310B583">
            <w:pPr>
              <w:autoSpaceDE w:val="0"/>
              <w:adjustRightInd w:val="0"/>
              <w:snapToGrid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开工预付款比例：</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%签约合同价</w:t>
            </w:r>
          </w:p>
        </w:tc>
      </w:tr>
      <w:tr w14:paraId="4853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17530AB">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1229" w:type="dxa"/>
            <w:tcBorders>
              <w:top w:val="single" w:color="auto" w:sz="4" w:space="0"/>
              <w:left w:val="single" w:color="auto" w:sz="4" w:space="0"/>
              <w:bottom w:val="single" w:color="auto" w:sz="4" w:space="0"/>
              <w:right w:val="single" w:color="auto" w:sz="4" w:space="0"/>
            </w:tcBorders>
            <w:noWrap/>
            <w:vAlign w:val="center"/>
          </w:tcPr>
          <w:p w14:paraId="21ECC609">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17.2.1（2）</w:t>
            </w:r>
          </w:p>
        </w:tc>
        <w:tc>
          <w:tcPr>
            <w:tcW w:w="7707" w:type="dxa"/>
            <w:tcBorders>
              <w:top w:val="single" w:color="auto" w:sz="4" w:space="0"/>
              <w:left w:val="single" w:color="auto" w:sz="4" w:space="0"/>
              <w:bottom w:val="single" w:color="auto" w:sz="4" w:space="0"/>
              <w:right w:val="single" w:color="auto" w:sz="4" w:space="0"/>
            </w:tcBorders>
            <w:noWrap/>
            <w:vAlign w:val="center"/>
          </w:tcPr>
          <w:p w14:paraId="069448AB">
            <w:pPr>
              <w:autoSpaceDE w:val="0"/>
              <w:adjustRightInd w:val="0"/>
              <w:snapToGrid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材料、设备预付款比例：</w:t>
            </w:r>
            <w:r>
              <w:rPr>
                <w:rFonts w:hint="eastAsia" w:ascii="宋体" w:hAnsi="宋体" w:eastAsia="宋体" w:cs="宋体"/>
                <w:color w:val="000000" w:themeColor="text1"/>
                <w:sz w:val="24"/>
                <w:szCs w:val="24"/>
                <w:highlight w:val="none"/>
                <w:u w:val="single"/>
                <w14:textFill>
                  <w14:solidFill>
                    <w14:schemeClr w14:val="tx1"/>
                  </w14:solidFill>
                </w14:textFill>
              </w:rPr>
              <w:t>进场的主要</w:t>
            </w:r>
            <w:r>
              <w:rPr>
                <w:rFonts w:hint="eastAsia" w:ascii="宋体" w:hAnsi="宋体" w:eastAsia="宋体" w:cs="宋体"/>
                <w:color w:val="000000" w:themeColor="text1"/>
                <w:sz w:val="24"/>
                <w:szCs w:val="24"/>
                <w:highlight w:val="none"/>
                <w14:textFill>
                  <w14:solidFill>
                    <w14:schemeClr w14:val="tx1"/>
                  </w14:solidFill>
                </w14:textFill>
              </w:rPr>
              <w:t>材料、设备单据所列费用的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tc>
      </w:tr>
      <w:tr w14:paraId="4CE3B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4B8AE15">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1229" w:type="dxa"/>
            <w:tcBorders>
              <w:top w:val="single" w:color="auto" w:sz="4" w:space="0"/>
              <w:left w:val="single" w:color="auto" w:sz="4" w:space="0"/>
              <w:bottom w:val="single" w:color="auto" w:sz="4" w:space="0"/>
              <w:right w:val="single" w:color="auto" w:sz="4" w:space="0"/>
            </w:tcBorders>
            <w:noWrap/>
            <w:vAlign w:val="center"/>
          </w:tcPr>
          <w:p w14:paraId="238AC78A">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17.3.2</w:t>
            </w:r>
          </w:p>
        </w:tc>
        <w:tc>
          <w:tcPr>
            <w:tcW w:w="7707" w:type="dxa"/>
            <w:tcBorders>
              <w:top w:val="single" w:color="auto" w:sz="4" w:space="0"/>
              <w:left w:val="single" w:color="auto" w:sz="4" w:space="0"/>
              <w:bottom w:val="single" w:color="auto" w:sz="4" w:space="0"/>
              <w:right w:val="single" w:color="auto" w:sz="4" w:space="0"/>
            </w:tcBorders>
            <w:noWrap/>
            <w:vAlign w:val="center"/>
          </w:tcPr>
          <w:p w14:paraId="0DE7C541">
            <w:pPr>
              <w:pStyle w:val="32"/>
              <w:autoSpaceDN/>
              <w:spacing w:line="360" w:lineRule="exact"/>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承包人在每个付款周期末向监理人提交进度付款申请单的份数：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tc>
      </w:tr>
      <w:tr w14:paraId="735FF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7820C92">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1229" w:type="dxa"/>
            <w:tcBorders>
              <w:top w:val="single" w:color="auto" w:sz="4" w:space="0"/>
              <w:left w:val="single" w:color="auto" w:sz="4" w:space="0"/>
              <w:bottom w:val="single" w:color="auto" w:sz="4" w:space="0"/>
              <w:right w:val="single" w:color="auto" w:sz="4" w:space="0"/>
            </w:tcBorders>
            <w:noWrap/>
            <w:vAlign w:val="center"/>
          </w:tcPr>
          <w:p w14:paraId="08382C57">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17.3.3（1）</w:t>
            </w:r>
          </w:p>
        </w:tc>
        <w:tc>
          <w:tcPr>
            <w:tcW w:w="7707" w:type="dxa"/>
            <w:tcBorders>
              <w:top w:val="single" w:color="auto" w:sz="4" w:space="0"/>
              <w:left w:val="single" w:color="auto" w:sz="4" w:space="0"/>
              <w:bottom w:val="single" w:color="auto" w:sz="4" w:space="0"/>
              <w:right w:val="single" w:color="auto" w:sz="4" w:space="0"/>
            </w:tcBorders>
            <w:noWrap/>
            <w:vAlign w:val="center"/>
          </w:tcPr>
          <w:p w14:paraId="5153846B">
            <w:pPr>
              <w:autoSpaceDE w:val="0"/>
              <w:adjustRightInd w:val="0"/>
              <w:snapToGrid w:val="0"/>
              <w:spacing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进度付款申请证书最低限额：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 </w:t>
            </w:r>
          </w:p>
        </w:tc>
      </w:tr>
      <w:tr w14:paraId="71152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4DBC85B">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1229" w:type="dxa"/>
            <w:tcBorders>
              <w:top w:val="single" w:color="auto" w:sz="4" w:space="0"/>
              <w:left w:val="single" w:color="auto" w:sz="4" w:space="0"/>
              <w:bottom w:val="single" w:color="auto" w:sz="4" w:space="0"/>
              <w:right w:val="single" w:color="auto" w:sz="4" w:space="0"/>
            </w:tcBorders>
            <w:noWrap/>
            <w:vAlign w:val="center"/>
          </w:tcPr>
          <w:p w14:paraId="24E3AC1F">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17.3.3（2）</w:t>
            </w:r>
          </w:p>
        </w:tc>
        <w:tc>
          <w:tcPr>
            <w:tcW w:w="7707" w:type="dxa"/>
            <w:tcBorders>
              <w:top w:val="single" w:color="auto" w:sz="4" w:space="0"/>
              <w:left w:val="single" w:color="auto" w:sz="4" w:space="0"/>
              <w:bottom w:val="single" w:color="auto" w:sz="4" w:space="0"/>
              <w:right w:val="single" w:color="auto" w:sz="4" w:space="0"/>
            </w:tcBorders>
            <w:noWrap/>
            <w:vAlign w:val="center"/>
          </w:tcPr>
          <w:p w14:paraId="347D8425">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逾期付款违约金的利率：</w:t>
            </w:r>
            <w:r>
              <w:rPr>
                <w:rFonts w:hint="eastAsia" w:ascii="宋体" w:hAnsi="宋体" w:eastAsia="宋体" w:cs="宋体"/>
                <w:color w:val="auto"/>
                <w:sz w:val="24"/>
                <w:szCs w:val="24"/>
                <w:highlight w:val="none"/>
                <w:u w:val="single"/>
              </w:rPr>
              <w:t>按同期贷款市场报价利率（LPR）一年期利率计算。</w:t>
            </w:r>
          </w:p>
        </w:tc>
      </w:tr>
      <w:tr w14:paraId="55EA0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739D646">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1229" w:type="dxa"/>
            <w:tcBorders>
              <w:top w:val="single" w:color="auto" w:sz="4" w:space="0"/>
              <w:left w:val="single" w:color="auto" w:sz="4" w:space="0"/>
              <w:bottom w:val="single" w:color="auto" w:sz="4" w:space="0"/>
              <w:right w:val="single" w:color="auto" w:sz="4" w:space="0"/>
            </w:tcBorders>
            <w:noWrap/>
            <w:vAlign w:val="center"/>
          </w:tcPr>
          <w:p w14:paraId="462FAC33">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17.4.1</w:t>
            </w:r>
          </w:p>
        </w:tc>
        <w:tc>
          <w:tcPr>
            <w:tcW w:w="7707" w:type="dxa"/>
            <w:tcBorders>
              <w:top w:val="single" w:color="auto" w:sz="4" w:space="0"/>
              <w:left w:val="single" w:color="auto" w:sz="4" w:space="0"/>
              <w:bottom w:val="single" w:color="auto" w:sz="4" w:space="0"/>
              <w:right w:val="single" w:color="auto" w:sz="4" w:space="0"/>
            </w:tcBorders>
            <w:noWrap/>
            <w:vAlign w:val="center"/>
          </w:tcPr>
          <w:p w14:paraId="73155D6B">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w:t>
            </w:r>
            <w:r>
              <w:rPr>
                <w:rFonts w:hint="eastAsia" w:ascii="宋体" w:hAnsi="宋体" w:eastAsia="宋体" w:cs="宋体"/>
                <w:color w:val="000000" w:themeColor="text1"/>
                <w:sz w:val="24"/>
                <w:szCs w:val="24"/>
                <w:highlight w:val="none"/>
                <w14:textFill>
                  <w14:solidFill>
                    <w14:schemeClr w14:val="tx1"/>
                  </w14:solidFill>
                </w14:textFill>
              </w:rPr>
              <w:t>金额：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3  </w:t>
            </w:r>
            <w:r>
              <w:rPr>
                <w:rFonts w:hint="eastAsia" w:ascii="宋体" w:hAnsi="宋体" w:eastAsia="宋体" w:cs="宋体"/>
                <w:color w:val="000000" w:themeColor="text1"/>
                <w:sz w:val="24"/>
                <w:szCs w:val="24"/>
                <w:highlight w:val="none"/>
                <w14:textFill>
                  <w14:solidFill>
                    <w14:schemeClr w14:val="tx1"/>
                  </w14:solidFill>
                </w14:textFill>
              </w:rPr>
              <w:t>%合同</w:t>
            </w:r>
            <w:r>
              <w:rPr>
                <w:rFonts w:hint="eastAsia" w:ascii="宋体" w:hAnsi="宋体" w:eastAsia="宋体" w:cs="宋体"/>
                <w:color w:val="auto"/>
                <w:sz w:val="24"/>
                <w:szCs w:val="24"/>
                <w:highlight w:val="none"/>
              </w:rPr>
              <w:t>价格</w:t>
            </w:r>
          </w:p>
          <w:p w14:paraId="11B71514">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质量保证金是否计付利息：否</w:t>
            </w:r>
          </w:p>
        </w:tc>
      </w:tr>
      <w:tr w14:paraId="7D25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CEA364F">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229" w:type="dxa"/>
            <w:tcBorders>
              <w:top w:val="single" w:color="auto" w:sz="4" w:space="0"/>
              <w:left w:val="single" w:color="auto" w:sz="4" w:space="0"/>
              <w:bottom w:val="single" w:color="auto" w:sz="4" w:space="0"/>
              <w:right w:val="single" w:color="auto" w:sz="4" w:space="0"/>
            </w:tcBorders>
            <w:noWrap/>
            <w:vAlign w:val="center"/>
          </w:tcPr>
          <w:p w14:paraId="1DDCC6B1">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17.5.1（1）</w:t>
            </w:r>
          </w:p>
        </w:tc>
        <w:tc>
          <w:tcPr>
            <w:tcW w:w="7707" w:type="dxa"/>
            <w:tcBorders>
              <w:top w:val="single" w:color="auto" w:sz="4" w:space="0"/>
              <w:left w:val="single" w:color="auto" w:sz="4" w:space="0"/>
              <w:bottom w:val="single" w:color="auto" w:sz="4" w:space="0"/>
              <w:right w:val="single" w:color="auto" w:sz="4" w:space="0"/>
            </w:tcBorders>
            <w:noWrap/>
            <w:vAlign w:val="center"/>
          </w:tcPr>
          <w:p w14:paraId="068AB2E7">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承包人向监理人提交交工付款申请单（包括相关证明材料）的份数：</w:t>
            </w:r>
            <w:r>
              <w:rPr>
                <w:rFonts w:hint="eastAsia" w:ascii="宋体" w:hAnsi="宋体" w:eastAsia="宋体" w:cs="宋体"/>
                <w:color w:val="auto"/>
                <w:sz w:val="24"/>
                <w:szCs w:val="24"/>
                <w:highlight w:val="none"/>
                <w:u w:val="single"/>
              </w:rPr>
              <w:t xml:space="preserve"> 6</w:t>
            </w:r>
            <w:r>
              <w:rPr>
                <w:rFonts w:hint="eastAsia" w:ascii="宋体" w:hAnsi="宋体" w:eastAsia="宋体" w:cs="宋体"/>
                <w:color w:val="auto"/>
                <w:sz w:val="24"/>
                <w:szCs w:val="24"/>
                <w:highlight w:val="none"/>
              </w:rPr>
              <w:t>份</w:t>
            </w:r>
          </w:p>
        </w:tc>
      </w:tr>
      <w:tr w14:paraId="3ECF7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6D20F82">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229" w:type="dxa"/>
            <w:tcBorders>
              <w:top w:val="single" w:color="auto" w:sz="4" w:space="0"/>
              <w:left w:val="single" w:color="auto" w:sz="4" w:space="0"/>
              <w:bottom w:val="single" w:color="auto" w:sz="4" w:space="0"/>
              <w:right w:val="single" w:color="auto" w:sz="4" w:space="0"/>
            </w:tcBorders>
            <w:noWrap/>
            <w:vAlign w:val="center"/>
          </w:tcPr>
          <w:p w14:paraId="28E97E47">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17.6.1（1）</w:t>
            </w:r>
          </w:p>
        </w:tc>
        <w:tc>
          <w:tcPr>
            <w:tcW w:w="7707" w:type="dxa"/>
            <w:tcBorders>
              <w:top w:val="single" w:color="auto" w:sz="4" w:space="0"/>
              <w:left w:val="single" w:color="auto" w:sz="4" w:space="0"/>
              <w:bottom w:val="single" w:color="auto" w:sz="4" w:space="0"/>
              <w:right w:val="single" w:color="auto" w:sz="4" w:space="0"/>
            </w:tcBorders>
            <w:noWrap/>
            <w:vAlign w:val="center"/>
          </w:tcPr>
          <w:p w14:paraId="7BBD101B">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承包人向监理人提交最终结清申请单（包括相关证明材料）的份数：</w:t>
            </w:r>
            <w:r>
              <w:rPr>
                <w:rFonts w:hint="eastAsia" w:ascii="宋体" w:hAnsi="宋体" w:eastAsia="宋体" w:cs="宋体"/>
                <w:color w:val="auto"/>
                <w:sz w:val="24"/>
                <w:szCs w:val="24"/>
                <w:highlight w:val="none"/>
                <w:u w:val="single"/>
              </w:rPr>
              <w:t xml:space="preserve"> 6 </w:t>
            </w:r>
            <w:r>
              <w:rPr>
                <w:rFonts w:hint="eastAsia" w:ascii="宋体" w:hAnsi="宋体" w:eastAsia="宋体" w:cs="宋体"/>
                <w:color w:val="auto"/>
                <w:sz w:val="24"/>
                <w:szCs w:val="24"/>
                <w:highlight w:val="none"/>
              </w:rPr>
              <w:t>份</w:t>
            </w:r>
          </w:p>
        </w:tc>
      </w:tr>
      <w:tr w14:paraId="578F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1EA419E">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229" w:type="dxa"/>
            <w:tcBorders>
              <w:top w:val="single" w:color="auto" w:sz="4" w:space="0"/>
              <w:left w:val="single" w:color="auto" w:sz="4" w:space="0"/>
              <w:bottom w:val="single" w:color="auto" w:sz="4" w:space="0"/>
              <w:right w:val="single" w:color="auto" w:sz="4" w:space="0"/>
            </w:tcBorders>
            <w:noWrap/>
            <w:vAlign w:val="center"/>
          </w:tcPr>
          <w:p w14:paraId="6D90CA5A">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18.2（2）</w:t>
            </w:r>
          </w:p>
        </w:tc>
        <w:tc>
          <w:tcPr>
            <w:tcW w:w="7707" w:type="dxa"/>
            <w:tcBorders>
              <w:top w:val="single" w:color="auto" w:sz="4" w:space="0"/>
              <w:left w:val="single" w:color="auto" w:sz="4" w:space="0"/>
              <w:bottom w:val="single" w:color="auto" w:sz="4" w:space="0"/>
              <w:right w:val="single" w:color="auto" w:sz="4" w:space="0"/>
            </w:tcBorders>
            <w:noWrap/>
            <w:vAlign w:val="center"/>
          </w:tcPr>
          <w:p w14:paraId="06F57829">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竣工资料的份数：</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份</w:t>
            </w:r>
          </w:p>
        </w:tc>
      </w:tr>
      <w:tr w14:paraId="1E44F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F435E40">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1229" w:type="dxa"/>
            <w:tcBorders>
              <w:top w:val="single" w:color="auto" w:sz="4" w:space="0"/>
              <w:left w:val="single" w:color="auto" w:sz="4" w:space="0"/>
              <w:bottom w:val="single" w:color="auto" w:sz="4" w:space="0"/>
              <w:right w:val="single" w:color="auto" w:sz="4" w:space="0"/>
            </w:tcBorders>
            <w:noWrap/>
            <w:vAlign w:val="center"/>
          </w:tcPr>
          <w:p w14:paraId="4428FE38">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18.5.1</w:t>
            </w:r>
          </w:p>
        </w:tc>
        <w:tc>
          <w:tcPr>
            <w:tcW w:w="7707" w:type="dxa"/>
            <w:tcBorders>
              <w:top w:val="single" w:color="auto" w:sz="4" w:space="0"/>
              <w:left w:val="single" w:color="auto" w:sz="4" w:space="0"/>
              <w:bottom w:val="single" w:color="auto" w:sz="4" w:space="0"/>
              <w:right w:val="single" w:color="auto" w:sz="4" w:space="0"/>
            </w:tcBorders>
            <w:noWrap/>
            <w:vAlign w:val="center"/>
          </w:tcPr>
          <w:p w14:paraId="3B94FE57">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单位工程或工程设备是否需投入施工期运行：</w:t>
            </w:r>
            <w:r>
              <w:rPr>
                <w:rFonts w:hint="eastAsia" w:ascii="宋体" w:hAnsi="宋体" w:eastAsia="宋体" w:cs="宋体"/>
                <w:color w:val="auto"/>
                <w:sz w:val="24"/>
                <w:szCs w:val="24"/>
                <w:highlight w:val="none"/>
                <w:u w:val="single"/>
              </w:rPr>
              <w:t>否</w:t>
            </w:r>
          </w:p>
        </w:tc>
      </w:tr>
      <w:tr w14:paraId="0283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10D7904">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229" w:type="dxa"/>
            <w:tcBorders>
              <w:top w:val="single" w:color="auto" w:sz="4" w:space="0"/>
              <w:left w:val="single" w:color="auto" w:sz="4" w:space="0"/>
              <w:bottom w:val="single" w:color="auto" w:sz="4" w:space="0"/>
              <w:right w:val="single" w:color="auto" w:sz="4" w:space="0"/>
            </w:tcBorders>
            <w:noWrap/>
            <w:vAlign w:val="center"/>
          </w:tcPr>
          <w:p w14:paraId="340283BA">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18.6.1</w:t>
            </w:r>
          </w:p>
        </w:tc>
        <w:tc>
          <w:tcPr>
            <w:tcW w:w="7707" w:type="dxa"/>
            <w:tcBorders>
              <w:top w:val="single" w:color="auto" w:sz="4" w:space="0"/>
              <w:left w:val="single" w:color="auto" w:sz="4" w:space="0"/>
              <w:bottom w:val="single" w:color="auto" w:sz="4" w:space="0"/>
              <w:right w:val="single" w:color="auto" w:sz="4" w:space="0"/>
            </w:tcBorders>
            <w:noWrap/>
            <w:vAlign w:val="center"/>
          </w:tcPr>
          <w:p w14:paraId="64B3DF29">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本工程及工程设备是否进行试运行：</w:t>
            </w:r>
            <w:r>
              <w:rPr>
                <w:rFonts w:hint="eastAsia" w:ascii="宋体" w:hAnsi="宋体" w:eastAsia="宋体" w:cs="宋体"/>
                <w:color w:val="auto"/>
                <w:sz w:val="24"/>
                <w:szCs w:val="24"/>
                <w:highlight w:val="none"/>
                <w:u w:val="single"/>
              </w:rPr>
              <w:t>否</w:t>
            </w:r>
          </w:p>
        </w:tc>
      </w:tr>
      <w:tr w14:paraId="3FC6E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38F79C2">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p>
        </w:tc>
        <w:tc>
          <w:tcPr>
            <w:tcW w:w="1229" w:type="dxa"/>
            <w:tcBorders>
              <w:top w:val="single" w:color="auto" w:sz="4" w:space="0"/>
              <w:left w:val="single" w:color="auto" w:sz="4" w:space="0"/>
              <w:bottom w:val="single" w:color="auto" w:sz="4" w:space="0"/>
              <w:right w:val="single" w:color="auto" w:sz="4" w:space="0"/>
            </w:tcBorders>
            <w:noWrap/>
            <w:vAlign w:val="center"/>
          </w:tcPr>
          <w:p w14:paraId="35584A36">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19.7（1）</w:t>
            </w:r>
          </w:p>
        </w:tc>
        <w:tc>
          <w:tcPr>
            <w:tcW w:w="7707" w:type="dxa"/>
            <w:tcBorders>
              <w:top w:val="single" w:color="auto" w:sz="4" w:space="0"/>
              <w:left w:val="single" w:color="auto" w:sz="4" w:space="0"/>
              <w:bottom w:val="single" w:color="auto" w:sz="4" w:space="0"/>
              <w:right w:val="single" w:color="auto" w:sz="4" w:space="0"/>
            </w:tcBorders>
            <w:noWrap/>
            <w:vAlign w:val="center"/>
          </w:tcPr>
          <w:p w14:paraId="1C63CDD0">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保修期：</w:t>
            </w:r>
            <w:r>
              <w:rPr>
                <w:rFonts w:hint="eastAsia" w:ascii="宋体" w:hAnsi="宋体" w:eastAsia="宋体" w:cs="宋体"/>
                <w:color w:val="auto"/>
                <w:sz w:val="24"/>
                <w:szCs w:val="24"/>
                <w:highlight w:val="none"/>
                <w:u w:val="single"/>
              </w:rPr>
              <w:t>不适用</w:t>
            </w:r>
          </w:p>
        </w:tc>
      </w:tr>
      <w:tr w14:paraId="6309E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375A6F4">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p>
        </w:tc>
        <w:tc>
          <w:tcPr>
            <w:tcW w:w="1229" w:type="dxa"/>
            <w:tcBorders>
              <w:top w:val="single" w:color="auto" w:sz="4" w:space="0"/>
              <w:left w:val="single" w:color="auto" w:sz="4" w:space="0"/>
              <w:bottom w:val="single" w:color="auto" w:sz="4" w:space="0"/>
              <w:right w:val="single" w:color="auto" w:sz="4" w:space="0"/>
            </w:tcBorders>
            <w:noWrap/>
            <w:vAlign w:val="center"/>
          </w:tcPr>
          <w:p w14:paraId="589B0431">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p>
        </w:tc>
        <w:tc>
          <w:tcPr>
            <w:tcW w:w="7707" w:type="dxa"/>
            <w:tcBorders>
              <w:top w:val="single" w:color="auto" w:sz="4" w:space="0"/>
              <w:left w:val="single" w:color="auto" w:sz="4" w:space="0"/>
              <w:bottom w:val="single" w:color="auto" w:sz="4" w:space="0"/>
              <w:right w:val="single" w:color="auto" w:sz="4" w:space="0"/>
            </w:tcBorders>
            <w:noWrap/>
            <w:vAlign w:val="center"/>
          </w:tcPr>
          <w:p w14:paraId="7CCC8464">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建筑</w:t>
            </w:r>
            <w:r>
              <w:rPr>
                <w:rFonts w:hint="eastAsia" w:ascii="宋体" w:hAnsi="宋体" w:eastAsia="宋体" w:cs="宋体"/>
                <w:color w:val="auto"/>
                <w:sz w:val="24"/>
                <w:szCs w:val="24"/>
                <w:highlight w:val="none"/>
              </w:rPr>
              <w:t>工程一切险的保险费率：</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F94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13439AD">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p>
        </w:tc>
        <w:tc>
          <w:tcPr>
            <w:tcW w:w="1229" w:type="dxa"/>
            <w:tcBorders>
              <w:top w:val="single" w:color="auto" w:sz="4" w:space="0"/>
              <w:left w:val="single" w:color="auto" w:sz="4" w:space="0"/>
              <w:bottom w:val="single" w:color="auto" w:sz="4" w:space="0"/>
              <w:right w:val="single" w:color="auto" w:sz="4" w:space="0"/>
            </w:tcBorders>
            <w:noWrap/>
            <w:vAlign w:val="center"/>
          </w:tcPr>
          <w:p w14:paraId="0140CD3F">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20.4.2</w:t>
            </w:r>
          </w:p>
        </w:tc>
        <w:tc>
          <w:tcPr>
            <w:tcW w:w="7707" w:type="dxa"/>
            <w:tcBorders>
              <w:top w:val="single" w:color="auto" w:sz="4" w:space="0"/>
              <w:left w:val="single" w:color="auto" w:sz="4" w:space="0"/>
              <w:bottom w:val="single" w:color="auto" w:sz="4" w:space="0"/>
              <w:right w:val="single" w:color="auto" w:sz="4" w:space="0"/>
            </w:tcBorders>
            <w:noWrap/>
            <w:vAlign w:val="center"/>
          </w:tcPr>
          <w:p w14:paraId="5427A97B">
            <w:pPr>
              <w:autoSpaceDE w:val="0"/>
              <w:adjustRightInd w:val="0"/>
              <w:snapToGrid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第三者责任的最低投保金额：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万元人民币，事故次数不限（不计免赔额）保险费率：</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3B84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F1D4618">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p>
        </w:tc>
        <w:tc>
          <w:tcPr>
            <w:tcW w:w="1229" w:type="dxa"/>
            <w:tcBorders>
              <w:top w:val="single" w:color="auto" w:sz="4" w:space="0"/>
              <w:left w:val="single" w:color="auto" w:sz="4" w:space="0"/>
              <w:bottom w:val="single" w:color="auto" w:sz="4" w:space="0"/>
              <w:right w:val="single" w:color="auto" w:sz="4" w:space="0"/>
            </w:tcBorders>
            <w:noWrap/>
            <w:vAlign w:val="center"/>
          </w:tcPr>
          <w:p w14:paraId="2D7926F7">
            <w:pPr>
              <w:autoSpaceDE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w:t>
            </w:r>
          </w:p>
        </w:tc>
        <w:tc>
          <w:tcPr>
            <w:tcW w:w="7707" w:type="dxa"/>
            <w:tcBorders>
              <w:top w:val="single" w:color="auto" w:sz="4" w:space="0"/>
              <w:left w:val="single" w:color="auto" w:sz="4" w:space="0"/>
              <w:bottom w:val="single" w:color="auto" w:sz="4" w:space="0"/>
              <w:right w:val="single" w:color="auto" w:sz="4" w:space="0"/>
            </w:tcBorders>
            <w:noWrap/>
            <w:vAlign w:val="center"/>
          </w:tcPr>
          <w:p w14:paraId="4F88F1FE">
            <w:pPr>
              <w:autoSpaceDE w:val="0"/>
              <w:adjustRightInd w:val="0"/>
              <w:snapToGrid w:val="0"/>
              <w:spacing w:line="360" w:lineRule="exac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争议的最终解决方式：</w:t>
            </w:r>
            <w:r>
              <w:rPr>
                <w:rFonts w:hint="eastAsia" w:ascii="宋体" w:hAnsi="宋体" w:eastAsia="宋体" w:cs="宋体"/>
                <w:color w:val="auto"/>
                <w:sz w:val="24"/>
                <w:szCs w:val="24"/>
                <w:highlight w:val="none"/>
                <w:u w:val="single"/>
              </w:rPr>
              <w:t>诉讼</w:t>
            </w:r>
            <w:r>
              <w:rPr>
                <w:rFonts w:hint="eastAsia" w:ascii="宋体" w:hAnsi="宋体" w:cs="宋体"/>
                <w:color w:val="auto"/>
                <w:sz w:val="24"/>
                <w:szCs w:val="24"/>
                <w:highlight w:val="none"/>
                <w:u w:val="single"/>
                <w:lang w:val="en-US" w:eastAsia="zh-CN"/>
              </w:rPr>
              <w:t>或仲裁</w:t>
            </w:r>
          </w:p>
        </w:tc>
      </w:tr>
    </w:tbl>
    <w:p w14:paraId="60E67F7D">
      <w:pPr>
        <w:adjustRightInd w:val="0"/>
        <w:snapToGrid w:val="0"/>
        <w:spacing w:beforeLines="50" w:afterLines="50"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p>
    <w:p w14:paraId="09883CD4">
      <w:pPr>
        <w:autoSpaceDE w:val="0"/>
        <w:adjustRightInd w:val="0"/>
        <w:snapToGrid w:val="0"/>
        <w:spacing w:beforeLines="50" w:afterLines="50" w:line="348" w:lineRule="auto"/>
        <w:jc w:val="center"/>
        <w:rPr>
          <w:rFonts w:ascii="宋体" w:hAnsi="宋体"/>
          <w:color w:val="auto"/>
          <w:sz w:val="32"/>
          <w:szCs w:val="32"/>
          <w:highlight w:val="none"/>
        </w:rPr>
      </w:pPr>
      <w:r>
        <w:rPr>
          <w:rFonts w:hint="eastAsia" w:ascii="宋体" w:hAnsi="宋体"/>
          <w:color w:val="auto"/>
          <w:sz w:val="28"/>
          <w:szCs w:val="28"/>
          <w:highlight w:val="none"/>
        </w:rPr>
        <w:br w:type="page"/>
      </w:r>
      <w:r>
        <w:rPr>
          <w:rFonts w:hint="eastAsia" w:ascii="宋体" w:hAnsi="宋体"/>
          <w:b/>
          <w:bCs/>
          <w:color w:val="auto"/>
          <w:sz w:val="28"/>
          <w:szCs w:val="28"/>
          <w:highlight w:val="none"/>
        </w:rPr>
        <w:t>项目专用合同条款</w:t>
      </w:r>
    </w:p>
    <w:p w14:paraId="05D13186">
      <w:pPr>
        <w:keepNext w:val="0"/>
        <w:keepLines w:val="0"/>
        <w:pageBreakBefore w:val="0"/>
        <w:widowControl w:val="0"/>
        <w:kinsoku/>
        <w:wordWrap/>
        <w:overflowPunct/>
        <w:topLinePunct w:val="0"/>
        <w:autoSpaceDE w:val="0"/>
        <w:autoSpaceDN/>
        <w:bidi w:val="0"/>
        <w:adjustRightInd w:val="0"/>
        <w:snapToGrid w:val="0"/>
        <w:spacing w:after="0" w:afterLines="100" w:line="40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说明：本部分所列的项目专用合同条款是对“公路工程专用合同条款”中规定必须在项目专用合同条款中明确的内容的集中，招标人编制的“项目专用合同条款”不限于本部分所列内容。</w:t>
      </w:r>
    </w:p>
    <w:p w14:paraId="23B0A287">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4.1 承包人的一般义务</w:t>
      </w:r>
    </w:p>
    <w:p w14:paraId="56C238B6">
      <w:pPr>
        <w:keepNext w:val="0"/>
        <w:keepLines w:val="0"/>
        <w:pageBreakBefore w:val="0"/>
        <w:widowControl w:val="0"/>
        <w:kinsoku/>
        <w:wordWrap/>
        <w:overflowPunct/>
        <w:topLinePunct w:val="0"/>
        <w:autoSpaceDE w:val="0"/>
        <w:autoSpaceDN/>
        <w:bidi w:val="0"/>
        <w:adjustRightInd w:val="0"/>
        <w:snapToGrid w:val="0"/>
        <w:spacing w:line="360" w:lineRule="auto"/>
        <w:ind w:firstLine="482" w:firstLineChars="200"/>
        <w:textAlignment w:val="auto"/>
        <w:rPr>
          <w:rFonts w:ascii="宋体" w:hAnsi="宋体"/>
          <w:b/>
          <w:bCs/>
          <w:color w:val="auto"/>
          <w:sz w:val="24"/>
          <w:szCs w:val="24"/>
          <w:highlight w:val="none"/>
        </w:rPr>
      </w:pPr>
      <w:r>
        <w:rPr>
          <w:rFonts w:hint="eastAsia" w:ascii="宋体" w:hAnsi="宋体"/>
          <w:b/>
          <w:bCs/>
          <w:color w:val="auto"/>
          <w:sz w:val="24"/>
          <w:szCs w:val="24"/>
          <w:highlight w:val="none"/>
        </w:rPr>
        <w:t>4.1.10 其他义务</w:t>
      </w:r>
    </w:p>
    <w:p w14:paraId="26D1D042">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（4）承包人应履行的其他义务：</w:t>
      </w:r>
      <w:r>
        <w:rPr>
          <w:rFonts w:hint="eastAsia" w:ascii="宋体" w:hAnsi="宋体"/>
          <w:color w:val="auto"/>
          <w:sz w:val="24"/>
          <w:szCs w:val="24"/>
          <w:highlight w:val="none"/>
          <w:u w:val="single"/>
        </w:rPr>
        <w:t>承包人应主动维护发包人和监理人的一切合法权利，不得损害发包人和监理人的利益</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ab/>
      </w:r>
    </w:p>
    <w:p w14:paraId="36C2EE99">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u w:val="single"/>
        </w:rPr>
      </w:pPr>
      <w:r>
        <w:rPr>
          <w:rFonts w:hint="eastAsia" w:ascii="宋体" w:hAnsi="宋体"/>
          <w:color w:val="auto"/>
          <w:sz w:val="24"/>
          <w:szCs w:val="24"/>
          <w:highlight w:val="none"/>
        </w:rPr>
        <w:t>4.11 不利物质条件</w:t>
      </w:r>
    </w:p>
    <w:p w14:paraId="50A059CE">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4.11.1 不利物质条件的范围：</w:t>
      </w:r>
      <w:r>
        <w:rPr>
          <w:rFonts w:hint="eastAsia" w:ascii="宋体" w:hAnsi="宋体"/>
          <w:color w:val="auto"/>
          <w:sz w:val="24"/>
          <w:szCs w:val="24"/>
          <w:highlight w:val="none"/>
          <w:u w:val="single"/>
        </w:rPr>
        <w:t xml:space="preserve"> 山体滑坡和泥石流，软弱路基和高填方沉降，地下水影响和溶洞涌流、流沙</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 xml:space="preserve"> </w:t>
      </w:r>
    </w:p>
    <w:p w14:paraId="30D80120">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10.1 合同进度计划</w:t>
      </w:r>
    </w:p>
    <w:p w14:paraId="1408F441">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承包人编制施工方案的内容：</w:t>
      </w:r>
      <w:r>
        <w:rPr>
          <w:rFonts w:hint="eastAsia" w:ascii="宋体" w:hAnsi="宋体"/>
          <w:color w:val="auto"/>
          <w:sz w:val="24"/>
          <w:szCs w:val="24"/>
          <w:highlight w:val="none"/>
          <w:u w:val="single"/>
        </w:rPr>
        <w:t xml:space="preserve"> 按照部颁公路工程施工技术操作规程和资格后审文件中规定的机械设备型号编制的符合本工程特点的详细的施工组织设计内容实施</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ab/>
      </w:r>
    </w:p>
    <w:p w14:paraId="28976487">
      <w:pPr>
        <w:pStyle w:val="14"/>
        <w:keepNext w:val="0"/>
        <w:keepLines w:val="0"/>
        <w:pageBreakBefore w:val="0"/>
        <w:widowControl w:val="0"/>
        <w:kinsoku/>
        <w:wordWrap/>
        <w:overflowPunct/>
        <w:topLinePunct w:val="0"/>
        <w:autoSpaceDE w:val="0"/>
        <w:autoSpaceDN/>
        <w:bidi w:val="0"/>
        <w:spacing w:line="360" w:lineRule="auto"/>
        <w:ind w:firstLine="0" w:firstLineChars="0"/>
        <w:jc w:val="both"/>
        <w:textAlignment w:val="auto"/>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11.4 异常恶劣的气候条件</w:t>
      </w:r>
    </w:p>
    <w:p w14:paraId="3FA1E0E7">
      <w:pPr>
        <w:pStyle w:val="14"/>
        <w:keepNext w:val="0"/>
        <w:keepLines w:val="0"/>
        <w:pageBreakBefore w:val="0"/>
        <w:widowControl w:val="0"/>
        <w:kinsoku/>
        <w:wordWrap/>
        <w:overflowPunct/>
        <w:topLinePunct w:val="0"/>
        <w:autoSpaceDE w:val="0"/>
        <w:autoSpaceDN/>
        <w:bidi w:val="0"/>
        <w:spacing w:line="360" w:lineRule="auto"/>
        <w:ind w:firstLine="480" w:firstLineChars="200"/>
        <w:jc w:val="both"/>
        <w:textAlignment w:val="auto"/>
        <w:rPr>
          <w:rFonts w:ascii="宋体" w:hAnsi="宋体" w:eastAsia="宋体"/>
          <w:b w:val="0"/>
          <w:bCs/>
          <w:color w:val="auto"/>
          <w:sz w:val="24"/>
          <w:szCs w:val="24"/>
          <w:highlight w:val="none"/>
          <w:u w:val="single"/>
        </w:rPr>
      </w:pPr>
      <w:r>
        <w:rPr>
          <w:rFonts w:hint="eastAsia" w:ascii="宋体" w:hAnsi="宋体" w:eastAsia="宋体"/>
          <w:b w:val="0"/>
          <w:bCs/>
          <w:color w:val="auto"/>
          <w:sz w:val="24"/>
          <w:szCs w:val="24"/>
          <w:highlight w:val="none"/>
        </w:rPr>
        <w:t>异常恶劣的气候条件的范围：</w:t>
      </w:r>
      <w:r>
        <w:rPr>
          <w:rFonts w:hint="eastAsia" w:ascii="宋体" w:hAnsi="宋体" w:eastAsia="宋体"/>
          <w:b w:val="0"/>
          <w:bCs/>
          <w:color w:val="auto"/>
          <w:sz w:val="24"/>
          <w:szCs w:val="24"/>
          <w:highlight w:val="none"/>
          <w:u w:val="single"/>
        </w:rPr>
        <w:t xml:space="preserve"> / </w:t>
      </w:r>
    </w:p>
    <w:p w14:paraId="66996A01">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12.1 承包人暂停</w:t>
      </w:r>
      <w:r>
        <w:rPr>
          <w:rFonts w:hint="eastAsia" w:ascii="宋体" w:hAnsi="宋体"/>
          <w:color w:val="auto"/>
          <w:sz w:val="24"/>
          <w:szCs w:val="24"/>
          <w:highlight w:val="none"/>
          <w:lang w:eastAsia="zh-CN"/>
        </w:rPr>
        <w:t>施</w:t>
      </w:r>
      <w:r>
        <w:rPr>
          <w:rFonts w:hint="eastAsia" w:ascii="宋体" w:hAnsi="宋体"/>
          <w:color w:val="auto"/>
          <w:sz w:val="24"/>
          <w:szCs w:val="24"/>
          <w:highlight w:val="none"/>
        </w:rPr>
        <w:t xml:space="preserve">工的责任  </w:t>
      </w:r>
    </w:p>
    <w:p w14:paraId="1F847B95">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12.1（6）由承包人承担的其他暂停施工</w:t>
      </w:r>
      <w:r>
        <w:rPr>
          <w:rFonts w:hint="eastAsia" w:ascii="宋体" w:hAnsi="宋体"/>
          <w:color w:val="auto"/>
          <w:sz w:val="24"/>
          <w:szCs w:val="24"/>
          <w:highlight w:val="none"/>
          <w:u w:val="single"/>
        </w:rPr>
        <w:t>影响分项工程进度计划的按照11.5项处罚</w:t>
      </w:r>
      <w:r>
        <w:rPr>
          <w:rFonts w:hint="eastAsia" w:ascii="宋体" w:hAnsi="宋体"/>
          <w:color w:val="auto"/>
          <w:sz w:val="24"/>
          <w:szCs w:val="24"/>
          <w:highlight w:val="none"/>
          <w:u w:val="single"/>
          <w:lang w:eastAsia="zh-CN"/>
        </w:rPr>
        <w:t>。</w:t>
      </w:r>
    </w:p>
    <w:p w14:paraId="18128C85">
      <w:pPr>
        <w:pStyle w:val="14"/>
        <w:keepNext w:val="0"/>
        <w:keepLines w:val="0"/>
        <w:pageBreakBefore w:val="0"/>
        <w:widowControl w:val="0"/>
        <w:tabs>
          <w:tab w:val="center" w:pos="4538"/>
        </w:tabs>
        <w:kinsoku/>
        <w:wordWrap/>
        <w:overflowPunct/>
        <w:topLinePunct w:val="0"/>
        <w:autoSpaceDE w:val="0"/>
        <w:autoSpaceDN/>
        <w:bidi w:val="0"/>
        <w:spacing w:line="360" w:lineRule="auto"/>
        <w:ind w:firstLine="0" w:firstLineChars="0"/>
        <w:jc w:val="both"/>
        <w:textAlignment w:val="auto"/>
        <w:rPr>
          <w:rFonts w:hint="eastAsia" w:ascii="宋体" w:hAnsi="宋体" w:eastAsia="宋体"/>
          <w:b w:val="0"/>
          <w:bCs/>
          <w:color w:val="auto"/>
          <w:sz w:val="24"/>
          <w:szCs w:val="24"/>
          <w:highlight w:val="none"/>
          <w:lang w:eastAsia="zh-CN"/>
        </w:rPr>
      </w:pPr>
      <w:r>
        <w:rPr>
          <w:rFonts w:hint="eastAsia" w:ascii="宋体" w:hAnsi="宋体" w:eastAsia="宋体"/>
          <w:b w:val="0"/>
          <w:bCs/>
          <w:color w:val="auto"/>
          <w:sz w:val="24"/>
          <w:szCs w:val="24"/>
          <w:highlight w:val="none"/>
        </w:rPr>
        <w:t>17.1 计量</w:t>
      </w:r>
      <w:r>
        <w:rPr>
          <w:rFonts w:hint="eastAsia" w:ascii="宋体" w:hAnsi="宋体" w:eastAsia="宋体"/>
          <w:b w:val="0"/>
          <w:bCs/>
          <w:color w:val="auto"/>
          <w:sz w:val="24"/>
          <w:szCs w:val="24"/>
          <w:highlight w:val="none"/>
          <w:lang w:eastAsia="zh-CN"/>
        </w:rPr>
        <w:tab/>
      </w:r>
    </w:p>
    <w:p w14:paraId="63A5B302">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auto"/>
          <w:sz w:val="24"/>
          <w:szCs w:val="24"/>
          <w:highlight w:val="none"/>
        </w:rPr>
        <w:t>17.1.5 本项目工程量清单中总额价子目的支付原</w:t>
      </w:r>
      <w:r>
        <w:rPr>
          <w:rFonts w:hint="eastAsia" w:ascii="宋体" w:hAnsi="宋体"/>
          <w:color w:val="000000" w:themeColor="text1"/>
          <w:sz w:val="24"/>
          <w:szCs w:val="24"/>
          <w:highlight w:val="none"/>
          <w14:textFill>
            <w14:solidFill>
              <w14:schemeClr w14:val="tx1"/>
            </w14:solidFill>
          </w14:textFill>
        </w:rPr>
        <w:t>则和支付进度：</w:t>
      </w:r>
      <w:r>
        <w:rPr>
          <w:rFonts w:hint="eastAsia" w:ascii="宋体" w:hAnsi="宋体"/>
          <w:color w:val="000000" w:themeColor="text1"/>
          <w:sz w:val="24"/>
          <w:szCs w:val="24"/>
          <w:highlight w:val="none"/>
          <w:u w:val="single"/>
          <w14:textFill>
            <w14:solidFill>
              <w14:schemeClr w14:val="tx1"/>
            </w14:solidFill>
          </w14:textFill>
        </w:rPr>
        <w:t>按通用条款</w:t>
      </w:r>
      <w:r>
        <w:rPr>
          <w:rFonts w:hint="eastAsia" w:ascii="宋体" w:hAnsi="宋体"/>
          <w:color w:val="000000" w:themeColor="text1"/>
          <w:sz w:val="24"/>
          <w:szCs w:val="24"/>
          <w:highlight w:val="none"/>
          <w:u w:val="single"/>
          <w:lang w:eastAsia="zh-CN"/>
          <w14:textFill>
            <w14:solidFill>
              <w14:schemeClr w14:val="tx1"/>
            </w14:solidFill>
          </w14:textFill>
        </w:rPr>
        <w:t>。</w:t>
      </w:r>
    </w:p>
    <w:p w14:paraId="408D4630">
      <w:pPr>
        <w:pStyle w:val="14"/>
        <w:keepNext w:val="0"/>
        <w:keepLines w:val="0"/>
        <w:pageBreakBefore w:val="0"/>
        <w:widowControl w:val="0"/>
        <w:kinsoku/>
        <w:wordWrap/>
        <w:overflowPunct/>
        <w:topLinePunct w:val="0"/>
        <w:autoSpaceDE w:val="0"/>
        <w:autoSpaceDN/>
        <w:bidi w:val="0"/>
        <w:spacing w:line="360" w:lineRule="auto"/>
        <w:ind w:firstLine="0" w:firstLineChars="0"/>
        <w:jc w:val="both"/>
        <w:textAlignment w:val="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14:textFill>
            <w14:solidFill>
              <w14:schemeClr w14:val="tx1"/>
            </w14:solidFill>
          </w14:textFill>
        </w:rPr>
        <w:t>17.3 工程进度付款</w:t>
      </w:r>
    </w:p>
    <w:p w14:paraId="4CA594EC">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17.3.5 农民工工资保证金的缴存时间：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eastAsia="zh-CN"/>
          <w14:textFill>
            <w14:solidFill>
              <w14:schemeClr w14:val="tx1"/>
            </w14:solidFill>
          </w14:textFill>
        </w:rPr>
        <w:t>开工报告批复之日起20个工作日内</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p>
    <w:p w14:paraId="5EE82318">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default" w:ascii="宋体" w:hAnsi="宋体" w:eastAsia="宋体"/>
          <w:color w:val="000000" w:themeColor="text1"/>
          <w:sz w:val="24"/>
          <w:szCs w:val="24"/>
          <w:highlight w:val="none"/>
          <w:u w:val="singl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农民工工资保证金的缴存金额：</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签约合同价的2%。 </w:t>
      </w:r>
    </w:p>
    <w:p w14:paraId="0904E9CA">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农民工工资保证金的扣留条件：</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eastAsia="zh-CN"/>
          <w14:textFill>
            <w14:solidFill>
              <w14:schemeClr w14:val="tx1"/>
            </w14:solidFill>
          </w14:textFill>
        </w:rPr>
        <w:t>存在拖欠农民工工资的情况。</w:t>
      </w:r>
      <w:r>
        <w:rPr>
          <w:rFonts w:hint="eastAsia" w:ascii="宋体" w:hAnsi="宋体"/>
          <w:color w:val="000000" w:themeColor="text1"/>
          <w:sz w:val="24"/>
          <w:szCs w:val="24"/>
          <w:highlight w:val="none"/>
          <w:u w:val="single"/>
          <w14:textFill>
            <w14:solidFill>
              <w14:schemeClr w14:val="tx1"/>
            </w14:solidFill>
          </w14:textFill>
        </w:rPr>
        <w:t xml:space="preserve"> </w:t>
      </w:r>
    </w:p>
    <w:p w14:paraId="27E87AAC">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color w:val="auto"/>
          <w:sz w:val="24"/>
          <w:szCs w:val="24"/>
          <w:highlight w:val="none"/>
          <w:u w:val="single"/>
        </w:rPr>
      </w:pPr>
      <w:r>
        <w:rPr>
          <w:rFonts w:hint="eastAsia" w:ascii="宋体" w:hAnsi="宋体"/>
          <w:color w:val="000000" w:themeColor="text1"/>
          <w:sz w:val="24"/>
          <w:szCs w:val="24"/>
          <w:highlight w:val="none"/>
          <w14:textFill>
            <w14:solidFill>
              <w14:schemeClr w14:val="tx1"/>
            </w14:solidFill>
          </w14:textFill>
        </w:rPr>
        <w:t>农民工工资保证金的返还时间：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eastAsia="zh-CN"/>
          <w14:textFill>
            <w14:solidFill>
              <w14:schemeClr w14:val="tx1"/>
            </w14:solidFill>
          </w14:textFill>
        </w:rPr>
        <w:t>按照</w:t>
      </w:r>
      <w:r>
        <w:rPr>
          <w:rFonts w:hint="eastAsia" w:ascii="宋体" w:hAnsi="宋体"/>
          <w:color w:val="000000" w:themeColor="text1"/>
          <w:sz w:val="24"/>
          <w:szCs w:val="24"/>
          <w:highlight w:val="none"/>
          <w:u w:val="single"/>
          <w14:textFill>
            <w14:solidFill>
              <w14:schemeClr w14:val="tx1"/>
            </w14:solidFill>
          </w14:textFill>
        </w:rPr>
        <w:t>人社部发〔2021〕65号</w:t>
      </w:r>
      <w:r>
        <w:rPr>
          <w:rFonts w:hint="eastAsia" w:ascii="宋体" w:hAnsi="宋体"/>
          <w:color w:val="000000" w:themeColor="text1"/>
          <w:sz w:val="24"/>
          <w:szCs w:val="24"/>
          <w:highlight w:val="none"/>
          <w:u w:val="single"/>
          <w:lang w:eastAsia="zh-CN"/>
          <w14:textFill>
            <w14:solidFill>
              <w14:schemeClr w14:val="tx1"/>
            </w14:solidFill>
          </w14:textFill>
        </w:rPr>
        <w:t>《工程建设领域农民</w:t>
      </w:r>
      <w:r>
        <w:rPr>
          <w:rFonts w:hint="eastAsia" w:ascii="宋体" w:hAnsi="宋体"/>
          <w:color w:val="auto"/>
          <w:sz w:val="24"/>
          <w:szCs w:val="24"/>
          <w:highlight w:val="none"/>
          <w:u w:val="single"/>
          <w:lang w:eastAsia="zh-CN"/>
        </w:rPr>
        <w:t>工工资保证金规定》执行。</w:t>
      </w:r>
      <w:r>
        <w:rPr>
          <w:rFonts w:hint="eastAsia" w:ascii="宋体" w:hAnsi="宋体"/>
          <w:color w:val="auto"/>
          <w:sz w:val="24"/>
          <w:szCs w:val="24"/>
          <w:highlight w:val="none"/>
          <w:u w:val="single"/>
        </w:rPr>
        <w:t xml:space="preserve"> </w:t>
      </w:r>
    </w:p>
    <w:p w14:paraId="5BB027AE">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21.1不可抗力的确认</w:t>
      </w:r>
    </w:p>
    <w:p w14:paraId="51885477">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21.1.1（6）不可抗力的其他形式：</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p>
    <w:p w14:paraId="7C44A7FF">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22.1 承包人违约</w:t>
      </w:r>
    </w:p>
    <w:p w14:paraId="6B77435C">
      <w:pPr>
        <w:spacing w:line="400" w:lineRule="exact"/>
        <w:ind w:right="120" w:firstLine="480" w:firstLineChars="200"/>
        <w:rPr>
          <w:rFonts w:hint="eastAsia" w:ascii="宋体" w:hAnsi="宋体" w:cs="Times New Roman"/>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22.1.2 当承包人发生第22.1.1项约定的违约情况时，发包人有权向承包人课以违约金，具体约定如下：</w:t>
      </w:r>
      <w:r>
        <w:rPr>
          <w:rFonts w:hint="eastAsia" w:ascii="宋体" w:hAnsi="宋体" w:cs="Times New Roman"/>
          <w:color w:val="auto"/>
          <w:sz w:val="24"/>
          <w:szCs w:val="24"/>
          <w:highlight w:val="none"/>
        </w:rPr>
        <w:t>无论发包人是否解除合同，发包人均有权向承包人课以项目专用合同条款中规定的违约金，</w:t>
      </w:r>
      <w:r>
        <w:rPr>
          <w:rFonts w:hint="eastAsia" w:ascii="宋体" w:hAnsi="宋体" w:cs="Times New Roman"/>
          <w:color w:val="000000" w:themeColor="text1"/>
          <w:sz w:val="24"/>
          <w:szCs w:val="24"/>
          <w:highlight w:val="none"/>
          <w14:textFill>
            <w14:solidFill>
              <w14:schemeClr w14:val="tx1"/>
            </w14:solidFill>
          </w14:textFill>
        </w:rPr>
        <w:t>并由发包人将其违约行为上报省级交通运输主管部门，作为不良记录纳入公路建设市场信用信息管理系统。</w:t>
      </w:r>
    </w:p>
    <w:p w14:paraId="1DCE9DF1">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22.2 发包人违约</w:t>
      </w:r>
    </w:p>
    <w:p w14:paraId="77C6D0B4">
      <w:pPr>
        <w:keepNext w:val="0"/>
        <w:keepLines w:val="0"/>
        <w:pageBreakBefore w:val="0"/>
        <w:widowControl w:val="0"/>
        <w:kinsoku/>
        <w:wordWrap/>
        <w:overflowPunct/>
        <w:topLinePunct w:val="0"/>
        <w:autoSpaceDE w:val="0"/>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22.2.2 发包人无正当理由不按时返还履约保证金、质量保证金或农民工工资保证金的，发包人应向承包人支付的违约金如下：  </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w:t>
      </w:r>
      <w:r>
        <w:rPr>
          <w:rFonts w:hint="eastAsia" w:ascii="宋体" w:hAnsi="宋体"/>
          <w:color w:val="auto"/>
          <w:sz w:val="24"/>
          <w:szCs w:val="24"/>
          <w:highlight w:val="none"/>
          <w:u w:val="single"/>
        </w:rPr>
        <w:tab/>
      </w:r>
    </w:p>
    <w:p w14:paraId="2ECC0F96">
      <w:pPr>
        <w:pStyle w:val="16"/>
        <w:snapToGrid w:val="0"/>
        <w:spacing w:line="300" w:lineRule="auto"/>
        <w:jc w:val="center"/>
        <w:outlineLvl w:val="1"/>
        <w:rPr>
          <w:rFonts w:hAnsi="宋体"/>
          <w:b/>
          <w:bCs/>
          <w:color w:val="auto"/>
          <w:sz w:val="44"/>
          <w:szCs w:val="44"/>
          <w:highlight w:val="none"/>
        </w:rPr>
      </w:pPr>
      <w:r>
        <w:rPr>
          <w:rFonts w:hint="eastAsia" w:hAnsi="宋体"/>
          <w:bCs/>
          <w:color w:val="auto"/>
          <w:sz w:val="36"/>
          <w:szCs w:val="36"/>
          <w:highlight w:val="none"/>
        </w:rPr>
        <w:br w:type="page"/>
      </w:r>
      <w:bookmarkStart w:id="414" w:name="_Toc391"/>
      <w:bookmarkEnd w:id="414"/>
      <w:bookmarkStart w:id="415" w:name="_Toc16683"/>
      <w:r>
        <w:rPr>
          <w:rStyle w:val="38"/>
          <w:rFonts w:hint="eastAsia" w:ascii="宋体" w:hAnsi="宋体" w:eastAsia="宋体"/>
          <w:b/>
          <w:bCs/>
          <w:color w:val="auto"/>
          <w:sz w:val="44"/>
          <w:szCs w:val="44"/>
          <w:highlight w:val="none"/>
        </w:rPr>
        <w:t>第三节  合同附件格式</w:t>
      </w:r>
      <w:bookmarkEnd w:id="415"/>
    </w:p>
    <w:p w14:paraId="1B4ABA00">
      <w:pPr>
        <w:pStyle w:val="16"/>
        <w:snapToGrid w:val="0"/>
        <w:spacing w:line="300" w:lineRule="auto"/>
        <w:rPr>
          <w:rFonts w:ascii="宋体" w:hAnsi="宋体"/>
          <w:color w:val="auto"/>
          <w:sz w:val="24"/>
          <w:szCs w:val="24"/>
          <w:highlight w:val="none"/>
        </w:rPr>
      </w:pPr>
      <w:r>
        <w:rPr>
          <w:rFonts w:hint="eastAsia" w:hAnsi="宋体"/>
          <w:b/>
          <w:bCs/>
          <w:color w:val="auto"/>
          <w:sz w:val="44"/>
          <w:szCs w:val="44"/>
          <w:highlight w:val="none"/>
        </w:rPr>
        <w:t xml:space="preserve"> </w:t>
      </w:r>
      <w:r>
        <w:rPr>
          <w:rFonts w:hint="eastAsia" w:ascii="宋体" w:hAnsi="宋体"/>
          <w:b/>
          <w:bCs/>
          <w:color w:val="auto"/>
          <w:sz w:val="24"/>
          <w:szCs w:val="24"/>
          <w:highlight w:val="none"/>
        </w:rPr>
        <w:t>附件一 合同协议书</w:t>
      </w:r>
    </w:p>
    <w:p w14:paraId="2C9EBD81">
      <w:pPr>
        <w:keepNext w:val="0"/>
        <w:keepLines w:val="0"/>
        <w:pageBreakBefore w:val="0"/>
        <w:widowControl w:val="0"/>
        <w:kinsoku/>
        <w:wordWrap/>
        <w:overflowPunct/>
        <w:topLinePunct w:val="0"/>
        <w:autoSpaceDE/>
        <w:autoSpaceDN/>
        <w:bidi w:val="0"/>
        <w:adjustRightInd w:val="0"/>
        <w:snapToGrid w:val="0"/>
        <w:spacing w:beforeLines="100" w:afterLines="100"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合同协议书</w:t>
      </w:r>
    </w:p>
    <w:p w14:paraId="720F60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（发包人名称，以下简称“发包人”）为实施</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（项目名称），已接受</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（承包人名称，以下简称“承包人”）对该项目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标段施工的投标。发包人和承包人共同达成如下协议。</w:t>
      </w:r>
    </w:p>
    <w:p w14:paraId="0A6673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标段由K</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至K</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，长约</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km，公路等级为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，设计速度为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路面。有</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立交</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处；特大桥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座，计长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m,大中桥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座，计长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m；隧道</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座，计长</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m以及其他构造物工程等。</w:t>
      </w:r>
    </w:p>
    <w:p w14:paraId="6567E9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2．下列文件应视为构成合同文件的组成部分：</w:t>
      </w:r>
    </w:p>
    <w:p w14:paraId="348250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（1）本协议书及各种合同附件（含评标期间和合同谈判过程中的澄清文件和补充资料）；</w:t>
      </w:r>
    </w:p>
    <w:p w14:paraId="38071750">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（2）中标通知书；</w:t>
      </w:r>
    </w:p>
    <w:p w14:paraId="55FCD62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（3）投标函及投标函附录；</w:t>
      </w:r>
    </w:p>
    <w:p w14:paraId="4D25B71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（4）项目专用合同条款；</w:t>
      </w:r>
    </w:p>
    <w:p w14:paraId="61B85B0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（5）公路工程专用合同条款；</w:t>
      </w:r>
    </w:p>
    <w:p w14:paraId="529B245F">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（6）通用合同条款；</w:t>
      </w:r>
    </w:p>
    <w:p w14:paraId="09ED89EE">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（7）工程量清单计量规则；</w:t>
      </w:r>
    </w:p>
    <w:p w14:paraId="5117BB3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（8）技术规范；</w:t>
      </w:r>
    </w:p>
    <w:p w14:paraId="698CC3C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（9）图纸；</w:t>
      </w:r>
    </w:p>
    <w:p w14:paraId="3DFEEF8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（10）已标价工程量清单；</w:t>
      </w:r>
    </w:p>
    <w:p w14:paraId="2624A2A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（11）承包人有关人员、设备投入的承诺及投标文件中的施工组织设计；</w:t>
      </w:r>
    </w:p>
    <w:p w14:paraId="212F6434">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（12）其他合同文件。</w:t>
      </w:r>
    </w:p>
    <w:p w14:paraId="50F55343">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上述合同文件互相补充和解释。如果合同文件之间存在矛盾或不一致之处，以上述文件的排列顺序在先者为准。</w:t>
      </w:r>
    </w:p>
    <w:p w14:paraId="71A3277F">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3．根据工程量清单所列的预计数量和单价或总额价计算的签约合同价：人民币（大写）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5770CF0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4．承包人项目经理：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。承包人项目总工：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539E8B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5．工程质量符合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标准。工程安全目标：</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74169B6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6．承包人承诺按合同约定承担工程的实施、完成及缺陷修复。</w:t>
      </w:r>
    </w:p>
    <w:p w14:paraId="51FA46D4">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7．发包人承诺按合同约定的条件、时间和方式向承包人支付合同价款。</w:t>
      </w:r>
    </w:p>
    <w:p w14:paraId="2CD2843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8．承包人应按照监理人指示开工，工期为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日历天。</w:t>
      </w:r>
    </w:p>
    <w:p w14:paraId="4B06E4A3">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9．本协议书在承包人提供履约担保后，由双方法定代表人或其委托代理人签署与加盖公章后生效。全部工程完工后经交工验收合格、缺陷责任期满签发缺陷责任终止证书后失效。</w:t>
      </w:r>
    </w:p>
    <w:p w14:paraId="07307F6C">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10．本协议书正本二份、副本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份，合同双方各执正本一份，副本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份，当正本与副本的内容不一致时，以正本为准。</w:t>
      </w:r>
    </w:p>
    <w:p w14:paraId="296DDEB0">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11．合同未尽事宜，双方另行签订补充协议。补充协议是合同的组成部分。</w:t>
      </w:r>
    </w:p>
    <w:p w14:paraId="46C1382E">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02B2328C">
      <w:pPr>
        <w:autoSpaceDE w:val="0"/>
        <w:adjustRightInd w:val="0"/>
        <w:snapToGrid w:val="0"/>
        <w:spacing w:line="360" w:lineRule="auto"/>
        <w:ind w:right="-693" w:rightChars="-330"/>
        <w:rPr>
          <w:rFonts w:ascii="宋体" w:hAnsi="宋体"/>
          <w:color w:val="auto"/>
          <w:sz w:val="24"/>
          <w:szCs w:val="24"/>
          <w:highlight w:val="none"/>
        </w:rPr>
      </w:pPr>
      <w:r>
        <w:rPr>
          <w:rFonts w:hint="eastAsia" w:ascii="宋体" w:hAnsi="宋体"/>
          <w:color w:val="auto"/>
          <w:sz w:val="24"/>
          <w:szCs w:val="24"/>
          <w:highlight w:val="none"/>
        </w:rPr>
        <w:t>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  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（盖单位公章）</w:t>
      </w:r>
    </w:p>
    <w:p w14:paraId="147725A9">
      <w:pPr>
        <w:autoSpaceDE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  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5C06D0E0">
      <w:pPr>
        <w:autoSpaceDE w:val="0"/>
        <w:adjustRightInd w:val="0"/>
        <w:snapToGrid w:val="0"/>
        <w:spacing w:line="360" w:lineRule="auto"/>
        <w:ind w:firstLine="1680" w:firstLineChars="7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0448A4C">
      <w:pPr>
        <w:adjustRightInd w:val="0"/>
        <w:snapToGrid w:val="0"/>
        <w:spacing w:line="360" w:lineRule="auto"/>
        <w:ind w:firstLine="480" w:firstLineChars="200"/>
        <w:rPr>
          <w:rFonts w:ascii="宋体" w:hAnsi="宋体"/>
          <w:color w:val="auto"/>
          <w:sz w:val="24"/>
          <w:szCs w:val="24"/>
          <w:highlight w:val="none"/>
        </w:rPr>
      </w:pPr>
    </w:p>
    <w:p w14:paraId="4EF50C6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0D505AF6">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4A01647E">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D0EFB22">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4E773E3">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1EB91F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493ECE7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5657089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14BD3339">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0A3A13A3">
      <w:pPr>
        <w:adjustRightInd w:val="0"/>
        <w:snapToGrid w:val="0"/>
        <w:spacing w:line="360" w:lineRule="auto"/>
        <w:rPr>
          <w:rFonts w:hint="eastAsia" w:ascii="宋体" w:hAnsi="宋体"/>
          <w:color w:val="auto"/>
          <w:sz w:val="24"/>
          <w:szCs w:val="24"/>
          <w:highlight w:val="none"/>
        </w:rPr>
      </w:pPr>
    </w:p>
    <w:p w14:paraId="0C6CD2CF">
      <w:pPr>
        <w:adjustRightInd w:val="0"/>
        <w:snapToGrid w:val="0"/>
        <w:spacing w:line="360" w:lineRule="auto"/>
        <w:rPr>
          <w:rFonts w:hint="eastAsia" w:ascii="宋体" w:hAnsi="宋体"/>
          <w:color w:val="auto"/>
          <w:sz w:val="24"/>
          <w:szCs w:val="24"/>
          <w:highlight w:val="none"/>
        </w:rPr>
      </w:pPr>
    </w:p>
    <w:p w14:paraId="074B7ECE">
      <w:pPr>
        <w:adjustRightInd w:val="0"/>
        <w:snapToGrid w:val="0"/>
        <w:spacing w:line="360" w:lineRule="auto"/>
        <w:rPr>
          <w:rFonts w:hint="eastAsia" w:ascii="宋体" w:hAnsi="宋体"/>
          <w:color w:val="auto"/>
          <w:sz w:val="24"/>
          <w:szCs w:val="24"/>
          <w:highlight w:val="none"/>
        </w:rPr>
      </w:pPr>
    </w:p>
    <w:p w14:paraId="6127C7E4">
      <w:pPr>
        <w:adjustRightInd w:val="0"/>
        <w:snapToGrid w:val="0"/>
        <w:spacing w:line="360" w:lineRule="auto"/>
        <w:rPr>
          <w:rFonts w:hint="eastAsia" w:ascii="宋体" w:hAnsi="宋体"/>
          <w:color w:val="auto"/>
          <w:sz w:val="24"/>
          <w:szCs w:val="24"/>
          <w:highlight w:val="none"/>
        </w:rPr>
      </w:pPr>
    </w:p>
    <w:p w14:paraId="775C7753">
      <w:pPr>
        <w:adjustRightInd w:val="0"/>
        <w:snapToGrid w:val="0"/>
        <w:spacing w:line="360" w:lineRule="auto"/>
        <w:rPr>
          <w:rFonts w:hint="eastAsia" w:ascii="宋体" w:hAnsi="宋体"/>
          <w:color w:val="auto"/>
          <w:sz w:val="24"/>
          <w:szCs w:val="24"/>
          <w:highlight w:val="none"/>
        </w:rPr>
      </w:pPr>
    </w:p>
    <w:p w14:paraId="102F0E8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color w:val="auto"/>
          <w:sz w:val="24"/>
          <w:szCs w:val="24"/>
          <w:highlight w:val="none"/>
        </w:rPr>
      </w:pPr>
      <w:r>
        <w:rPr>
          <w:rFonts w:hint="eastAsia" w:ascii="宋体" w:hAnsi="宋体"/>
          <w:b/>
          <w:bCs/>
          <w:color w:val="auto"/>
          <w:sz w:val="24"/>
          <w:szCs w:val="24"/>
          <w:highlight w:val="none"/>
        </w:rPr>
        <w:t>附件二 廉政合同</w:t>
      </w:r>
    </w:p>
    <w:p w14:paraId="76ACC48D">
      <w:pPr>
        <w:keepNext w:val="0"/>
        <w:keepLines w:val="0"/>
        <w:pageBreakBefore w:val="0"/>
        <w:widowControl w:val="0"/>
        <w:kinsoku/>
        <w:wordWrap/>
        <w:overflowPunct/>
        <w:topLinePunct w:val="0"/>
        <w:autoSpaceDE/>
        <w:autoSpaceDN/>
        <w:bidi w:val="0"/>
        <w:adjustRightInd w:val="0"/>
        <w:snapToGrid w:val="0"/>
        <w:spacing w:after="0" w:afterLines="50" w:line="240" w:lineRule="auto"/>
        <w:jc w:val="center"/>
        <w:textAlignment w:val="auto"/>
        <w:rPr>
          <w:rFonts w:ascii="宋体" w:hAnsi="宋体"/>
          <w:color w:val="auto"/>
          <w:sz w:val="28"/>
          <w:szCs w:val="28"/>
          <w:highlight w:val="none"/>
        </w:rPr>
      </w:pPr>
      <w:r>
        <w:rPr>
          <w:rFonts w:hint="eastAsia" w:ascii="宋体" w:hAnsi="宋体"/>
          <w:b/>
          <w:bCs/>
          <w:color w:val="auto"/>
          <w:sz w:val="28"/>
          <w:szCs w:val="28"/>
          <w:highlight w:val="none"/>
        </w:rPr>
        <w:t>廉 政 合 同</w:t>
      </w:r>
    </w:p>
    <w:p w14:paraId="522A5C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（项目名称）的项目法人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（项目法人名称，以下简称“发包人”）与该项目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标段的施工单位（施工单位，以下简称“承包人”），特订立如下合同。</w:t>
      </w:r>
    </w:p>
    <w:p w14:paraId="247F32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1．发包人和承包人双方的权利和义务</w:t>
      </w:r>
    </w:p>
    <w:p w14:paraId="0EBE6F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（1）严格遵守党的政策规定和国家有关法律法规及交通部的有关规定。</w:t>
      </w:r>
    </w:p>
    <w:p w14:paraId="300787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（2）严格执行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标段施工的合同文件，自觉按合同办事。</w:t>
      </w:r>
    </w:p>
    <w:p w14:paraId="08208E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（3）双方的业务活动坚持公开、公正、诚信、透明的原则（法律认定的商业秘密和合同文件另有规定除外），不得损害国家和集体利益，违反工程建设管理规章制度。</w:t>
      </w:r>
    </w:p>
    <w:p w14:paraId="263642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（4）建立健全廉政制度，开展廉政教育，设立廉政告示牌，公布举报电话，监督并认真查处违法违纪行为。</w:t>
      </w:r>
    </w:p>
    <w:p w14:paraId="631B6D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（5）发现对方在业务活动中有违反廉政规定的行为，有及时提醒对方纠正的权利和义务。</w:t>
      </w:r>
    </w:p>
    <w:p w14:paraId="3ABA2E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（6）发现对方严重违反本合同义务条款的行为，有向其上级有关部门举报、建议给予处理并要求告知处理结果的权利；</w:t>
      </w:r>
    </w:p>
    <w:p w14:paraId="3B0388D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2．发包人的义务</w:t>
      </w:r>
    </w:p>
    <w:p w14:paraId="63064D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（1）发包人及其工作人员不得索要或接受承包人的礼金、有价证券和贵重物品，不得</w:t>
      </w:r>
      <w:r>
        <w:rPr>
          <w:rFonts w:hint="eastAsia" w:ascii="宋体" w:hAnsi="宋体"/>
          <w:color w:val="auto"/>
          <w:sz w:val="24"/>
          <w:szCs w:val="24"/>
          <w:highlight w:val="none"/>
          <w:lang w:eastAsia="zh-CN"/>
        </w:rPr>
        <w:t>让</w:t>
      </w:r>
      <w:r>
        <w:rPr>
          <w:rFonts w:hint="eastAsia" w:ascii="宋体" w:hAnsi="宋体"/>
          <w:color w:val="auto"/>
          <w:sz w:val="24"/>
          <w:szCs w:val="24"/>
          <w:highlight w:val="none"/>
        </w:rPr>
        <w:t>承包人报销任何应由发包人或发包人工作人员个人支付的费用等。</w:t>
      </w:r>
    </w:p>
    <w:p w14:paraId="53F275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（2）发包人工作人员不得参加承包人安排的超标准宴请和娱乐活动；不得接受承包人提供的通讯工具、交通工具和高档办公用品等。</w:t>
      </w:r>
    </w:p>
    <w:p w14:paraId="73F185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（3）发包人及其工作人员不得要求或者接受承包人为其住房装修、婚丧嫁娶活动、配偶子女的工作安排以及出国出境、旅游等提供方便等。</w:t>
      </w:r>
    </w:p>
    <w:p w14:paraId="4DAD66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（4）发包人工作人员及其配偶、子女不得从事与发包</w:t>
      </w:r>
      <w:r>
        <w:rPr>
          <w:rFonts w:hint="eastAsia" w:ascii="宋体" w:hAnsi="宋体"/>
          <w:color w:val="auto"/>
          <w:sz w:val="24"/>
          <w:szCs w:val="24"/>
          <w:highlight w:val="none"/>
          <w:lang w:eastAsia="zh-CN"/>
        </w:rPr>
        <w:t>人</w:t>
      </w:r>
      <w:r>
        <w:rPr>
          <w:rFonts w:hint="eastAsia" w:ascii="宋体" w:hAnsi="宋体"/>
          <w:color w:val="auto"/>
          <w:sz w:val="24"/>
          <w:szCs w:val="24"/>
          <w:highlight w:val="none"/>
        </w:rPr>
        <w:t>工程有关的材料设备供应、工程分包、劳务等经济活动等。</w:t>
      </w:r>
    </w:p>
    <w:p w14:paraId="76D608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（5）发包人及其工作人员不得以任何理由向承包人推荐分包单位或推销材料，不得要求承包人购买合同规定外的材料和设备。</w:t>
      </w:r>
    </w:p>
    <w:p w14:paraId="01A626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（6）发包人工作人员要秉公办事，不准营私舞弊，不准利用职权从事各种个人有偿中介活动和安排个人施工队伍。</w:t>
      </w:r>
    </w:p>
    <w:p w14:paraId="5A9E56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3．承包人的义务</w:t>
      </w:r>
    </w:p>
    <w:p w14:paraId="5018CD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（1）承包人不得以任何理由向发包人及其工作人员行贿或馈赠礼金、有价证券、贵重礼品。</w:t>
      </w:r>
    </w:p>
    <w:p w14:paraId="1A4A2D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（2）承包人不得以任何名义为发包人及其工作人员报销应由发包人单位或个人支付的任何费用。</w:t>
      </w:r>
    </w:p>
    <w:p w14:paraId="68849B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（3）承包人不得以任何理由安排发包人工作人员参加超标准宴请及娱乐活动。</w:t>
      </w:r>
    </w:p>
    <w:p w14:paraId="54A4C4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（4）承包人不得为发包人单位和个人购置或提供通讯工具、交通工具和高档办公用品等。</w:t>
      </w:r>
    </w:p>
    <w:p w14:paraId="3384EA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4．违约责任</w:t>
      </w:r>
    </w:p>
    <w:p w14:paraId="0AF9E1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（1）发包人及其工作人员违反本合同第1、2条，按管理权限，依据有关规定给予党纪、政纪或组织处理；涉嫌犯罪的，移交司法机关追究刑事责任；给承包人单位造成经济损失的，应予以赔偿。</w:t>
      </w:r>
    </w:p>
    <w:p w14:paraId="24CBEA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527711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1009CD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6．本合同有效期为发包人和承包人签署之日起至该工程项目竣工验收后止。</w:t>
      </w:r>
    </w:p>
    <w:p w14:paraId="5AF1D4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7．本合同作为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标段施工合同的附件，与工程施工合同具有同等的法律效力，经合同双方签署立即生效。</w:t>
      </w:r>
    </w:p>
    <w:p w14:paraId="121BE6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8．本合同一式四份，由发包人和承包人双方各执一份，送交发包人和承包人的监督单位各一份。</w:t>
      </w:r>
    </w:p>
    <w:p w14:paraId="14725A7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  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1BEBE6F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  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2645729D">
      <w:pPr>
        <w:keepNext w:val="0"/>
        <w:keepLines w:val="0"/>
        <w:pageBreakBefore w:val="0"/>
        <w:widowControl w:val="0"/>
        <w:kinsoku/>
        <w:wordWrap/>
        <w:overflowPunct/>
        <w:topLinePunct w:val="0"/>
        <w:autoSpaceDE/>
        <w:autoSpaceDN/>
        <w:bidi w:val="0"/>
        <w:adjustRightInd w:val="0"/>
        <w:snapToGrid w:val="0"/>
        <w:spacing w:line="360" w:lineRule="auto"/>
        <w:ind w:firstLine="2160" w:firstLineChars="900"/>
        <w:textAlignment w:val="auto"/>
        <w:rPr>
          <w:rFonts w:ascii="宋体" w:hAnsi="宋体"/>
          <w:color w:val="auto"/>
          <w:sz w:val="24"/>
          <w:szCs w:val="24"/>
          <w:highlight w:val="none"/>
        </w:rPr>
      </w:pPr>
      <w:r>
        <w:rPr>
          <w:rFonts w:hint="eastAsia" w:ascii="宋体" w:hAnsi="宋体"/>
          <w:color w:val="auto"/>
          <w:sz w:val="24"/>
          <w:szCs w:val="24"/>
          <w:highlight w:val="none"/>
        </w:rPr>
        <w:t>_____年____月____日                  _____年_____月____日</w:t>
      </w:r>
    </w:p>
    <w:p w14:paraId="1FB4823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4"/>
          <w:szCs w:val="24"/>
          <w:highlight w:val="none"/>
        </w:rPr>
      </w:pPr>
      <w:r>
        <w:rPr>
          <w:rFonts w:hint="eastAsia" w:ascii="宋体" w:hAnsi="宋体"/>
          <w:color w:val="auto"/>
          <w:sz w:val="24"/>
          <w:szCs w:val="24"/>
          <w:highlight w:val="none"/>
        </w:rPr>
        <w:t>发包人监督单位：</w:t>
      </w:r>
      <w:r>
        <w:rPr>
          <w:rFonts w:hint="eastAsia" w:ascii="宋体" w:hAnsi="宋体"/>
          <w:color w:val="auto"/>
          <w:sz w:val="24"/>
          <w:szCs w:val="24"/>
          <w:highlight w:val="none"/>
          <w:u w:val="single"/>
        </w:rPr>
        <w:t>（全称）（盖单位章）</w:t>
      </w:r>
      <w:r>
        <w:rPr>
          <w:rFonts w:hint="eastAsia" w:ascii="宋体" w:hAnsi="宋体"/>
          <w:color w:val="auto"/>
          <w:sz w:val="24"/>
          <w:szCs w:val="24"/>
          <w:highlight w:val="none"/>
        </w:rPr>
        <w:t xml:space="preserve">    </w:t>
      </w:r>
      <w:r>
        <w:rPr>
          <w:rFonts w:hint="eastAsia" w:ascii="宋体" w:hAnsi="宋体"/>
          <w:color w:val="auto"/>
          <w:sz w:val="24"/>
          <w:szCs w:val="24"/>
          <w:highlight w:val="none"/>
          <w:u w:val="none"/>
        </w:rPr>
        <w:t>承包人监督单位：</w:t>
      </w:r>
      <w:r>
        <w:rPr>
          <w:rFonts w:hint="eastAsia" w:ascii="宋体" w:hAnsi="宋体"/>
          <w:color w:val="auto"/>
          <w:sz w:val="24"/>
          <w:szCs w:val="24"/>
          <w:highlight w:val="none"/>
          <w:u w:val="single"/>
        </w:rPr>
        <w:t>（全称）（盖单位章）</w:t>
      </w:r>
      <w:r>
        <w:rPr>
          <w:rFonts w:hint="eastAsia" w:ascii="宋体" w:hAnsi="宋体"/>
          <w:color w:val="auto"/>
          <w:sz w:val="24"/>
          <w:szCs w:val="24"/>
          <w:highlight w:val="none"/>
        </w:rPr>
        <w:br w:type="page"/>
      </w:r>
      <w:r>
        <w:rPr>
          <w:rFonts w:hint="eastAsia" w:ascii="宋体" w:hAnsi="宋体"/>
          <w:b/>
          <w:bCs/>
          <w:color w:val="auto"/>
          <w:sz w:val="24"/>
          <w:szCs w:val="24"/>
          <w:highlight w:val="none"/>
        </w:rPr>
        <w:t>附件三 安全生产合同</w:t>
      </w:r>
    </w:p>
    <w:p w14:paraId="461E2615">
      <w:pPr>
        <w:autoSpaceDE w:val="0"/>
        <w:adjustRightInd w:val="0"/>
        <w:snapToGrid w:val="0"/>
        <w:spacing w:afterLines="50" w:line="331" w:lineRule="auto"/>
        <w:jc w:val="center"/>
        <w:rPr>
          <w:rFonts w:ascii="宋体" w:hAnsi="宋体"/>
          <w:color w:val="auto"/>
          <w:sz w:val="28"/>
          <w:szCs w:val="28"/>
          <w:highlight w:val="none"/>
        </w:rPr>
      </w:pPr>
      <w:r>
        <w:rPr>
          <w:rFonts w:hint="eastAsia" w:ascii="宋体" w:hAnsi="宋体"/>
          <w:b/>
          <w:bCs/>
          <w:color w:val="auto"/>
          <w:sz w:val="28"/>
          <w:szCs w:val="28"/>
          <w:highlight w:val="none"/>
        </w:rPr>
        <w:t>安全生产合同</w:t>
      </w:r>
    </w:p>
    <w:p w14:paraId="28D9A29B">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为在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标段施工合同的实施过程中创造安全、高效的施工环境，切实搞好本项目的安全管理工作，本项目发包人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（发包人名称，以下简称“发包人”）与承包人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（承包人名称，以下简称“承包人” ）特此签订安全生产合同。</w:t>
      </w:r>
    </w:p>
    <w:p w14:paraId="6DBBCBC1">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1、发包人职责</w:t>
      </w:r>
    </w:p>
    <w:p w14:paraId="52DF2941">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（1）严格遵守国家有关安全生产的法律法规，认真执行工程承包合同中的有关安全要求。</w:t>
      </w:r>
    </w:p>
    <w:p w14:paraId="61DAD3B4">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（2）按照“安全第一、预防为主”和坚持“管生产必须管安全”的原则进行安全生产管理，做到生产与安全工作同时计划、布置、检查、总结和评比。</w:t>
      </w:r>
    </w:p>
    <w:p w14:paraId="1F95E6A1">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（3）重要的安全设施必须坚持与主体工程“三同时”的原则，即：同时设计、审批，同时施工，同时验收，投入使用。</w:t>
      </w:r>
    </w:p>
    <w:p w14:paraId="686CFE13">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（4）定期召开安全生产调度会，及时传达中央及地方有关安全生产的精神。</w:t>
      </w:r>
    </w:p>
    <w:p w14:paraId="77F7FCB5">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（5）组织对承包人施工现场安全生产检查，监督承包人及时处理发现的各种安全隐患。</w:t>
      </w:r>
    </w:p>
    <w:p w14:paraId="5FFE7068">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2、承包人职责</w:t>
      </w:r>
    </w:p>
    <w:p w14:paraId="3F6C8D5B">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p>
    <w:p w14:paraId="5EF98C07">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29EC14E7">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4FE05957">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（4）承包人在任何时候都应采取各种合理的预防措施，防止其员工发生任何违法、违禁、暴力或妨碍治安的行为。</w:t>
      </w:r>
    </w:p>
    <w:p w14:paraId="4FF17F01">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A4F8F96">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4A2BFB4">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（7）操作人员上岗，必须按规定穿戴防护用品。施工负责人和安全检查员应随时检查劳动防护用品的穿戴情况，不按规定穿戴防护用品的人员不得上岗。</w:t>
      </w:r>
    </w:p>
    <w:p w14:paraId="449AD58E">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（8）所有施工机具设备和高空作业的设备均应定期检查，并有安全员的签字记录，保证其经常处于完好状态；不合格的机具、设备和劳动保护用品严禁使用。</w:t>
      </w:r>
    </w:p>
    <w:p w14:paraId="5F39B0E9">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（9）施工中采用新技术、新工艺、新设备、新材料时，必须制定相应的安全技术措施，施工现场必须具有相关的安全标志牌。</w:t>
      </w:r>
    </w:p>
    <w:p w14:paraId="4AAF7F5D">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3A21D5B2">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（11）安全生产费用按照《公路水运工程安全生产监督管理办法》的规定使用和管理。</w:t>
      </w:r>
    </w:p>
    <w:p w14:paraId="7F9C8EDA">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3、违约责任</w:t>
      </w:r>
    </w:p>
    <w:p w14:paraId="4024C6D6">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如因发包人或承包人违约造成安全事故，将依法追究责任。</w:t>
      </w:r>
    </w:p>
    <w:p w14:paraId="7D752DB6">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4、本合同由双方法定代表人或其授权的代理人签署与加盖公章后生效，全部工程竣工验收后失效。</w:t>
      </w:r>
    </w:p>
    <w:p w14:paraId="479DE230">
      <w:pPr>
        <w:autoSpaceDE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5、本合同正本二份，副本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份，合同双方各执正本一份，副本</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份，当正本与副本的内容不一致时，以正本为准。</w:t>
      </w:r>
    </w:p>
    <w:p w14:paraId="36963AE8">
      <w:pPr>
        <w:pStyle w:val="12"/>
        <w:ind w:firstLine="240"/>
        <w:rPr>
          <w:rFonts w:ascii="宋体"/>
          <w:color w:val="auto"/>
          <w:highlight w:val="none"/>
        </w:rPr>
      </w:pPr>
      <w:r>
        <w:rPr>
          <w:rFonts w:hint="eastAsia" w:ascii="宋体"/>
          <w:color w:val="auto"/>
          <w:highlight w:val="none"/>
        </w:rPr>
        <w:t xml:space="preserve"> </w:t>
      </w:r>
    </w:p>
    <w:p w14:paraId="0F4DE233">
      <w:pPr>
        <w:rPr>
          <w:rFonts w:ascii="宋体" w:hAnsi="宋体"/>
          <w:color w:val="auto"/>
          <w:highlight w:val="none"/>
        </w:rPr>
      </w:pPr>
      <w:r>
        <w:rPr>
          <w:rFonts w:hint="eastAsia" w:ascii="宋体" w:hAnsi="宋体"/>
          <w:color w:val="auto"/>
          <w:highlight w:val="none"/>
        </w:rPr>
        <w:t xml:space="preserve"> </w:t>
      </w:r>
    </w:p>
    <w:p w14:paraId="2B7D3DAA">
      <w:pPr>
        <w:autoSpaceDE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    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616244DC">
      <w:pPr>
        <w:autoSpaceDE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法定代表人或其委托代理人：___（签字）   法定代表人或其委托代理人：___（签字）</w:t>
      </w:r>
    </w:p>
    <w:p w14:paraId="07B0B17C">
      <w:pPr>
        <w:autoSpaceDE w:val="0"/>
        <w:adjustRightInd w:val="0"/>
        <w:snapToGrid w:val="0"/>
        <w:spacing w:line="360" w:lineRule="auto"/>
        <w:ind w:firstLine="2160" w:firstLineChars="9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年___月___日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年___月___日</w:t>
      </w:r>
    </w:p>
    <w:p w14:paraId="45886FB5">
      <w:pPr>
        <w:pStyle w:val="12"/>
        <w:ind w:firstLine="240"/>
        <w:rPr>
          <w:rFonts w:ascii="宋体"/>
          <w:color w:val="auto"/>
          <w:highlight w:val="none"/>
        </w:rPr>
      </w:pPr>
      <w:r>
        <w:rPr>
          <w:rFonts w:hint="eastAsia" w:ascii="宋体"/>
          <w:color w:val="auto"/>
          <w:highlight w:val="none"/>
        </w:rPr>
        <w:t xml:space="preserve"> </w:t>
      </w:r>
    </w:p>
    <w:p w14:paraId="102D8D76">
      <w:pPr>
        <w:rPr>
          <w:rFonts w:ascii="宋体" w:hAnsi="宋体"/>
          <w:color w:val="auto"/>
          <w:sz w:val="24"/>
          <w:szCs w:val="24"/>
          <w:highlight w:val="none"/>
        </w:rPr>
      </w:pPr>
      <w:r>
        <w:rPr>
          <w:rFonts w:hint="eastAsia" w:ascii="宋体" w:hAnsi="宋体"/>
          <w:color w:val="auto"/>
          <w:sz w:val="24"/>
          <w:szCs w:val="24"/>
          <w:highlight w:val="none"/>
        </w:rPr>
        <w:t xml:space="preserve"> </w:t>
      </w:r>
    </w:p>
    <w:p w14:paraId="1CD9EACB">
      <w:pPr>
        <w:pStyle w:val="12"/>
        <w:ind w:firstLine="240"/>
        <w:rPr>
          <w:rFonts w:ascii="宋体"/>
          <w:color w:val="auto"/>
          <w:highlight w:val="none"/>
        </w:rPr>
      </w:pPr>
      <w:r>
        <w:rPr>
          <w:rFonts w:hint="eastAsia" w:ascii="宋体"/>
          <w:color w:val="auto"/>
          <w:highlight w:val="none"/>
        </w:rPr>
        <w:t xml:space="preserve"> </w:t>
      </w:r>
    </w:p>
    <w:p w14:paraId="4E7798C3">
      <w:pPr>
        <w:rPr>
          <w:rFonts w:ascii="宋体" w:hAnsi="宋体"/>
          <w:color w:val="auto"/>
          <w:sz w:val="24"/>
          <w:szCs w:val="24"/>
          <w:highlight w:val="none"/>
        </w:rPr>
      </w:pPr>
      <w:r>
        <w:rPr>
          <w:rFonts w:hint="eastAsia" w:ascii="宋体" w:hAnsi="宋体"/>
          <w:color w:val="auto"/>
          <w:sz w:val="24"/>
          <w:szCs w:val="24"/>
          <w:highlight w:val="none"/>
        </w:rPr>
        <w:t xml:space="preserve"> </w:t>
      </w:r>
    </w:p>
    <w:p w14:paraId="7F7A2FC3">
      <w:pPr>
        <w:pStyle w:val="12"/>
        <w:ind w:firstLine="240"/>
        <w:rPr>
          <w:rFonts w:ascii="宋体"/>
          <w:color w:val="auto"/>
          <w:highlight w:val="none"/>
        </w:rPr>
      </w:pPr>
      <w:r>
        <w:rPr>
          <w:rFonts w:hint="eastAsia" w:ascii="宋体"/>
          <w:color w:val="auto"/>
          <w:highlight w:val="none"/>
        </w:rPr>
        <w:t xml:space="preserve"> </w:t>
      </w:r>
    </w:p>
    <w:p w14:paraId="1FD676FA">
      <w:pPr>
        <w:rPr>
          <w:rFonts w:ascii="宋体" w:hAnsi="宋体"/>
          <w:color w:val="auto"/>
          <w:sz w:val="24"/>
          <w:szCs w:val="24"/>
          <w:highlight w:val="none"/>
        </w:rPr>
      </w:pPr>
      <w:r>
        <w:rPr>
          <w:rFonts w:hint="eastAsia" w:ascii="宋体" w:hAnsi="宋体"/>
          <w:color w:val="auto"/>
          <w:sz w:val="24"/>
          <w:szCs w:val="24"/>
          <w:highlight w:val="none"/>
        </w:rPr>
        <w:t xml:space="preserve"> </w:t>
      </w:r>
    </w:p>
    <w:p w14:paraId="431FB0F8">
      <w:pPr>
        <w:pStyle w:val="12"/>
        <w:ind w:firstLine="240"/>
        <w:rPr>
          <w:rFonts w:ascii="宋体"/>
          <w:color w:val="auto"/>
          <w:highlight w:val="none"/>
        </w:rPr>
      </w:pPr>
      <w:r>
        <w:rPr>
          <w:rFonts w:hint="eastAsia" w:ascii="宋体"/>
          <w:color w:val="auto"/>
          <w:highlight w:val="none"/>
        </w:rPr>
        <w:t xml:space="preserve"> </w:t>
      </w:r>
    </w:p>
    <w:p w14:paraId="671FDB62">
      <w:pPr>
        <w:rPr>
          <w:rFonts w:ascii="宋体" w:hAnsi="宋体"/>
          <w:color w:val="auto"/>
          <w:sz w:val="24"/>
          <w:szCs w:val="24"/>
          <w:highlight w:val="none"/>
        </w:rPr>
      </w:pPr>
      <w:r>
        <w:rPr>
          <w:rFonts w:hint="eastAsia" w:ascii="宋体" w:hAnsi="宋体"/>
          <w:color w:val="auto"/>
          <w:sz w:val="24"/>
          <w:szCs w:val="24"/>
          <w:highlight w:val="none"/>
        </w:rPr>
        <w:t xml:space="preserve"> </w:t>
      </w:r>
    </w:p>
    <w:p w14:paraId="7B8E110F">
      <w:pPr>
        <w:pStyle w:val="12"/>
        <w:ind w:firstLine="240"/>
        <w:rPr>
          <w:rFonts w:ascii="宋体"/>
          <w:color w:val="auto"/>
          <w:highlight w:val="none"/>
        </w:rPr>
      </w:pPr>
      <w:r>
        <w:rPr>
          <w:rFonts w:hint="eastAsia" w:ascii="宋体"/>
          <w:color w:val="auto"/>
          <w:highlight w:val="none"/>
        </w:rPr>
        <w:t xml:space="preserve"> </w:t>
      </w:r>
    </w:p>
    <w:p w14:paraId="0CBDA3F3">
      <w:pPr>
        <w:rPr>
          <w:rFonts w:ascii="宋体" w:hAnsi="宋体"/>
          <w:color w:val="auto"/>
          <w:sz w:val="24"/>
          <w:szCs w:val="24"/>
          <w:highlight w:val="none"/>
        </w:rPr>
      </w:pPr>
      <w:r>
        <w:rPr>
          <w:rFonts w:hint="eastAsia" w:ascii="宋体" w:hAnsi="宋体"/>
          <w:color w:val="auto"/>
          <w:sz w:val="24"/>
          <w:szCs w:val="24"/>
          <w:highlight w:val="none"/>
        </w:rPr>
        <w:t xml:space="preserve"> </w:t>
      </w:r>
    </w:p>
    <w:p w14:paraId="36F39B79">
      <w:pPr>
        <w:pStyle w:val="12"/>
        <w:ind w:firstLine="240"/>
        <w:rPr>
          <w:rFonts w:ascii="宋体"/>
          <w:color w:val="auto"/>
          <w:highlight w:val="none"/>
        </w:rPr>
      </w:pPr>
      <w:r>
        <w:rPr>
          <w:rFonts w:hint="eastAsia" w:ascii="宋体"/>
          <w:color w:val="auto"/>
          <w:highlight w:val="none"/>
        </w:rPr>
        <w:t xml:space="preserve"> </w:t>
      </w:r>
    </w:p>
    <w:p w14:paraId="513A83A7">
      <w:pPr>
        <w:rPr>
          <w:rFonts w:ascii="宋体" w:hAnsi="宋体"/>
          <w:color w:val="auto"/>
          <w:sz w:val="24"/>
          <w:szCs w:val="24"/>
          <w:highlight w:val="none"/>
        </w:rPr>
      </w:pPr>
      <w:r>
        <w:rPr>
          <w:rFonts w:hint="eastAsia" w:ascii="宋体" w:hAnsi="宋体"/>
          <w:color w:val="auto"/>
          <w:sz w:val="24"/>
          <w:szCs w:val="24"/>
          <w:highlight w:val="none"/>
        </w:rPr>
        <w:t xml:space="preserve"> </w:t>
      </w:r>
    </w:p>
    <w:p w14:paraId="3AE4D0A8">
      <w:pPr>
        <w:pStyle w:val="12"/>
        <w:ind w:firstLine="240"/>
        <w:rPr>
          <w:rFonts w:ascii="宋体"/>
          <w:color w:val="auto"/>
          <w:highlight w:val="none"/>
        </w:rPr>
      </w:pPr>
      <w:r>
        <w:rPr>
          <w:rFonts w:hint="eastAsia" w:ascii="宋体"/>
          <w:color w:val="auto"/>
          <w:highlight w:val="none"/>
        </w:rPr>
        <w:t xml:space="preserve"> </w:t>
      </w:r>
    </w:p>
    <w:p w14:paraId="7DCEF99B">
      <w:pPr>
        <w:rPr>
          <w:rFonts w:ascii="宋体" w:hAnsi="宋体"/>
          <w:color w:val="auto"/>
          <w:sz w:val="24"/>
          <w:szCs w:val="24"/>
          <w:highlight w:val="none"/>
        </w:rPr>
      </w:pPr>
      <w:r>
        <w:rPr>
          <w:rFonts w:hint="eastAsia" w:ascii="宋体" w:hAnsi="宋体"/>
          <w:color w:val="auto"/>
          <w:sz w:val="24"/>
          <w:szCs w:val="24"/>
          <w:highlight w:val="none"/>
        </w:rPr>
        <w:t xml:space="preserve"> </w:t>
      </w:r>
    </w:p>
    <w:p w14:paraId="323C1A55">
      <w:pPr>
        <w:pStyle w:val="12"/>
        <w:ind w:firstLine="240"/>
        <w:rPr>
          <w:rFonts w:ascii="宋体"/>
          <w:color w:val="auto"/>
          <w:highlight w:val="none"/>
        </w:rPr>
      </w:pPr>
      <w:r>
        <w:rPr>
          <w:rFonts w:hint="eastAsia" w:ascii="宋体"/>
          <w:color w:val="auto"/>
          <w:highlight w:val="none"/>
        </w:rPr>
        <w:t xml:space="preserve"> </w:t>
      </w:r>
    </w:p>
    <w:p w14:paraId="0ECC00F3">
      <w:pPr>
        <w:rPr>
          <w:rFonts w:ascii="宋体" w:hAnsi="宋体"/>
          <w:color w:val="auto"/>
          <w:sz w:val="24"/>
          <w:szCs w:val="24"/>
          <w:highlight w:val="none"/>
        </w:rPr>
      </w:pPr>
      <w:r>
        <w:rPr>
          <w:rFonts w:hint="eastAsia" w:ascii="宋体" w:hAnsi="宋体"/>
          <w:color w:val="auto"/>
          <w:sz w:val="24"/>
          <w:szCs w:val="24"/>
          <w:highlight w:val="none"/>
        </w:rPr>
        <w:t xml:space="preserve"> </w:t>
      </w:r>
    </w:p>
    <w:p w14:paraId="355A756E">
      <w:pPr>
        <w:pStyle w:val="12"/>
        <w:ind w:firstLine="240"/>
        <w:rPr>
          <w:rFonts w:ascii="宋体"/>
          <w:color w:val="auto"/>
          <w:highlight w:val="none"/>
        </w:rPr>
      </w:pPr>
      <w:r>
        <w:rPr>
          <w:rFonts w:hint="eastAsia" w:ascii="宋体"/>
          <w:color w:val="auto"/>
          <w:highlight w:val="none"/>
        </w:rPr>
        <w:t xml:space="preserve"> </w:t>
      </w:r>
    </w:p>
    <w:p w14:paraId="390C2027">
      <w:pPr>
        <w:rPr>
          <w:rFonts w:ascii="宋体" w:hAnsi="宋体"/>
          <w:color w:val="auto"/>
          <w:sz w:val="24"/>
          <w:szCs w:val="24"/>
          <w:highlight w:val="none"/>
        </w:rPr>
      </w:pPr>
      <w:r>
        <w:rPr>
          <w:rFonts w:hint="eastAsia" w:ascii="宋体" w:hAnsi="宋体"/>
          <w:color w:val="auto"/>
          <w:sz w:val="24"/>
          <w:szCs w:val="24"/>
          <w:highlight w:val="none"/>
        </w:rPr>
        <w:t xml:space="preserve"> </w:t>
      </w:r>
    </w:p>
    <w:p w14:paraId="615673BA">
      <w:pPr>
        <w:pStyle w:val="12"/>
        <w:ind w:firstLine="240"/>
        <w:rPr>
          <w:rFonts w:ascii="宋体"/>
          <w:color w:val="auto"/>
          <w:highlight w:val="none"/>
        </w:rPr>
      </w:pPr>
      <w:r>
        <w:rPr>
          <w:rFonts w:hint="eastAsia" w:ascii="宋体"/>
          <w:color w:val="auto"/>
          <w:highlight w:val="none"/>
        </w:rPr>
        <w:t xml:space="preserve"> </w:t>
      </w:r>
    </w:p>
    <w:p w14:paraId="674EEA9F">
      <w:pPr>
        <w:rPr>
          <w:rFonts w:ascii="宋体" w:hAnsi="宋体"/>
          <w:color w:val="auto"/>
          <w:sz w:val="24"/>
          <w:szCs w:val="24"/>
          <w:highlight w:val="none"/>
        </w:rPr>
      </w:pPr>
      <w:r>
        <w:rPr>
          <w:rFonts w:hint="eastAsia" w:ascii="宋体" w:hAnsi="宋体"/>
          <w:color w:val="auto"/>
          <w:sz w:val="24"/>
          <w:szCs w:val="24"/>
          <w:highlight w:val="none"/>
        </w:rPr>
        <w:t xml:space="preserve"> </w:t>
      </w:r>
    </w:p>
    <w:p w14:paraId="58E6098A">
      <w:pPr>
        <w:pStyle w:val="12"/>
        <w:ind w:firstLine="240"/>
        <w:rPr>
          <w:rFonts w:ascii="宋体"/>
          <w:color w:val="auto"/>
          <w:highlight w:val="none"/>
        </w:rPr>
      </w:pPr>
      <w:r>
        <w:rPr>
          <w:rFonts w:hint="eastAsia" w:ascii="宋体"/>
          <w:color w:val="auto"/>
          <w:highlight w:val="none"/>
        </w:rPr>
        <w:t xml:space="preserve"> </w:t>
      </w:r>
    </w:p>
    <w:p w14:paraId="50C307F9">
      <w:pPr>
        <w:rPr>
          <w:rFonts w:ascii="宋体" w:hAnsi="宋体"/>
          <w:color w:val="auto"/>
          <w:sz w:val="24"/>
          <w:szCs w:val="24"/>
          <w:highlight w:val="none"/>
        </w:rPr>
      </w:pPr>
      <w:r>
        <w:rPr>
          <w:rFonts w:hint="eastAsia" w:ascii="宋体" w:hAnsi="宋体"/>
          <w:color w:val="auto"/>
          <w:sz w:val="24"/>
          <w:szCs w:val="24"/>
          <w:highlight w:val="none"/>
        </w:rPr>
        <w:t xml:space="preserve"> </w:t>
      </w:r>
    </w:p>
    <w:p w14:paraId="626A2303">
      <w:pPr>
        <w:pStyle w:val="12"/>
        <w:ind w:firstLine="240"/>
        <w:rPr>
          <w:rFonts w:ascii="宋体"/>
          <w:color w:val="auto"/>
          <w:highlight w:val="none"/>
        </w:rPr>
      </w:pPr>
      <w:r>
        <w:rPr>
          <w:rFonts w:hint="eastAsia" w:ascii="宋体"/>
          <w:color w:val="auto"/>
          <w:highlight w:val="none"/>
        </w:rPr>
        <w:t xml:space="preserve"> </w:t>
      </w:r>
    </w:p>
    <w:p w14:paraId="3D443DC6">
      <w:pPr>
        <w:rPr>
          <w:rFonts w:ascii="宋体" w:hAnsi="宋体"/>
          <w:color w:val="auto"/>
          <w:sz w:val="24"/>
          <w:szCs w:val="24"/>
          <w:highlight w:val="none"/>
        </w:rPr>
      </w:pPr>
      <w:r>
        <w:rPr>
          <w:rFonts w:hint="eastAsia" w:ascii="宋体" w:hAnsi="宋体"/>
          <w:color w:val="auto"/>
          <w:sz w:val="24"/>
          <w:szCs w:val="24"/>
          <w:highlight w:val="none"/>
        </w:rPr>
        <w:t xml:space="preserve"> </w:t>
      </w:r>
    </w:p>
    <w:p w14:paraId="106FDBF4">
      <w:pPr>
        <w:pStyle w:val="12"/>
        <w:ind w:firstLine="240"/>
        <w:rPr>
          <w:rFonts w:ascii="宋体"/>
          <w:color w:val="auto"/>
          <w:highlight w:val="none"/>
        </w:rPr>
      </w:pPr>
      <w:r>
        <w:rPr>
          <w:rFonts w:hint="eastAsia" w:ascii="宋体"/>
          <w:color w:val="auto"/>
          <w:highlight w:val="none"/>
        </w:rPr>
        <w:t xml:space="preserve"> </w:t>
      </w:r>
    </w:p>
    <w:p w14:paraId="21650ADF">
      <w:pPr>
        <w:rPr>
          <w:rFonts w:ascii="宋体" w:hAnsi="宋体"/>
          <w:color w:val="auto"/>
          <w:sz w:val="24"/>
          <w:szCs w:val="24"/>
          <w:highlight w:val="none"/>
        </w:rPr>
      </w:pPr>
      <w:r>
        <w:rPr>
          <w:rFonts w:hint="eastAsia" w:ascii="宋体" w:hAnsi="宋体"/>
          <w:color w:val="auto"/>
          <w:sz w:val="24"/>
          <w:szCs w:val="24"/>
          <w:highlight w:val="none"/>
        </w:rPr>
        <w:t xml:space="preserve"> </w:t>
      </w:r>
    </w:p>
    <w:p w14:paraId="303145F7">
      <w:pPr>
        <w:adjustRightInd w:val="0"/>
        <w:snapToGrid w:val="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 </w:t>
      </w:r>
      <w:r>
        <w:rPr>
          <w:rFonts w:hint="eastAsia" w:ascii="宋体" w:hAnsi="宋体"/>
          <w:b/>
          <w:color w:val="auto"/>
          <w:sz w:val="24"/>
          <w:szCs w:val="24"/>
          <w:highlight w:val="none"/>
        </w:rPr>
        <w:t>附件</w:t>
      </w:r>
      <w:r>
        <w:rPr>
          <w:rFonts w:hint="eastAsia" w:ascii="宋体" w:hAnsi="宋体"/>
          <w:b/>
          <w:color w:val="auto"/>
          <w:sz w:val="24"/>
          <w:szCs w:val="24"/>
          <w:highlight w:val="none"/>
          <w:lang w:eastAsia="zh-CN"/>
        </w:rPr>
        <w:t>四</w:t>
      </w:r>
      <w:r>
        <w:rPr>
          <w:rFonts w:hint="eastAsia" w:ascii="宋体" w:hAnsi="宋体"/>
          <w:b/>
          <w:color w:val="auto"/>
          <w:sz w:val="24"/>
          <w:szCs w:val="24"/>
          <w:highlight w:val="none"/>
        </w:rPr>
        <w:t xml:space="preserve"> 项目经理委任书</w:t>
      </w:r>
    </w:p>
    <w:p w14:paraId="0FDD1BB2">
      <w:pPr>
        <w:adjustRightInd w:val="0"/>
        <w:snapToGrid w:val="0"/>
        <w:spacing w:line="360" w:lineRule="auto"/>
        <w:jc w:val="center"/>
        <w:rPr>
          <w:rFonts w:ascii="宋体" w:hAnsi="宋体"/>
          <w:color w:val="auto"/>
          <w:sz w:val="28"/>
          <w:szCs w:val="28"/>
          <w:highlight w:val="none"/>
          <w:u w:val="single"/>
        </w:rPr>
      </w:pPr>
      <w:r>
        <w:rPr>
          <w:rFonts w:hint="eastAsia" w:ascii="宋体" w:hAnsi="宋体"/>
          <w:color w:val="auto"/>
          <w:sz w:val="28"/>
          <w:szCs w:val="28"/>
          <w:highlight w:val="none"/>
          <w:u w:val="single"/>
        </w:rPr>
        <w:t>（承包人全称）</w:t>
      </w:r>
    </w:p>
    <w:p w14:paraId="75F476B1">
      <w:pPr>
        <w:adjustRightInd w:val="0"/>
        <w:snapToGrid w:val="0"/>
        <w:spacing w:line="360" w:lineRule="auto"/>
        <w:jc w:val="center"/>
        <w:rPr>
          <w:rFonts w:ascii="宋体" w:hAnsi="宋体"/>
          <w:color w:val="auto"/>
          <w:sz w:val="24"/>
          <w:szCs w:val="24"/>
          <w:highlight w:val="none"/>
        </w:rPr>
      </w:pPr>
      <w:r>
        <w:rPr>
          <w:rFonts w:hint="eastAsia" w:ascii="宋体" w:hAnsi="宋体"/>
          <w:color w:val="auto"/>
          <w:sz w:val="28"/>
          <w:szCs w:val="28"/>
          <w:highlight w:val="none"/>
          <w:u w:val="single"/>
        </w:rPr>
        <w:t>（合同工程名称）</w:t>
      </w:r>
      <w:r>
        <w:rPr>
          <w:rFonts w:hint="eastAsia" w:ascii="宋体" w:hAnsi="宋体"/>
          <w:color w:val="auto"/>
          <w:sz w:val="28"/>
          <w:szCs w:val="28"/>
          <w:highlight w:val="none"/>
        </w:rPr>
        <w:t>项目经理委任书</w:t>
      </w:r>
    </w:p>
    <w:p w14:paraId="4DC8160A">
      <w:pPr>
        <w:adjustRightInd w:val="0"/>
        <w:snapToGrid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 xml:space="preserve"> </w:t>
      </w:r>
    </w:p>
    <w:p w14:paraId="70A463E2">
      <w:pPr>
        <w:adjustRightInd w:val="0"/>
        <w:snapToGrid w:val="0"/>
        <w:spacing w:line="360" w:lineRule="auto"/>
        <w:jc w:val="left"/>
        <w:rPr>
          <w:rFonts w:ascii="宋体" w:hAnsi="宋体"/>
          <w:color w:val="auto"/>
          <w:sz w:val="24"/>
          <w:szCs w:val="24"/>
          <w:highlight w:val="none"/>
        </w:rPr>
      </w:pPr>
      <w:r>
        <w:rPr>
          <w:rFonts w:hint="eastAsia" w:ascii="宋体" w:hAnsi="宋体"/>
          <w:color w:val="auto"/>
          <w:sz w:val="24"/>
          <w:szCs w:val="24"/>
          <w:highlight w:val="none"/>
        </w:rPr>
        <w:t>致：</w:t>
      </w:r>
      <w:r>
        <w:rPr>
          <w:rFonts w:hint="eastAsia" w:ascii="宋体" w:hAnsi="宋体"/>
          <w:color w:val="auto"/>
          <w:sz w:val="24"/>
          <w:szCs w:val="24"/>
          <w:highlight w:val="none"/>
          <w:u w:val="single"/>
        </w:rPr>
        <w:t>（发包人全称）</w:t>
      </w:r>
    </w:p>
    <w:p w14:paraId="1CDE3873">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rPr>
        <w:t xml:space="preserve">  （承包人全称）  </w:t>
      </w:r>
      <w:r>
        <w:rPr>
          <w:rFonts w:hint="eastAsia" w:ascii="宋体" w:hAnsi="宋体"/>
          <w:color w:val="auto"/>
          <w:sz w:val="24"/>
          <w:szCs w:val="24"/>
          <w:highlight w:val="none"/>
        </w:rPr>
        <w:t>法定代表人</w:t>
      </w:r>
      <w:r>
        <w:rPr>
          <w:rFonts w:hint="eastAsia" w:ascii="宋体" w:hAnsi="宋体"/>
          <w:color w:val="auto"/>
          <w:sz w:val="24"/>
          <w:szCs w:val="24"/>
          <w:highlight w:val="none"/>
          <w:u w:val="single"/>
        </w:rPr>
        <w:t xml:space="preserve">  （职务、姓名）  </w:t>
      </w:r>
      <w:r>
        <w:rPr>
          <w:rFonts w:hint="eastAsia" w:ascii="宋体" w:hAnsi="宋体"/>
          <w:color w:val="auto"/>
          <w:sz w:val="24"/>
          <w:szCs w:val="24"/>
          <w:highlight w:val="none"/>
        </w:rPr>
        <w:t>代表本单位委任</w:t>
      </w:r>
      <w:r>
        <w:rPr>
          <w:rFonts w:hint="eastAsia" w:ascii="宋体" w:hAnsi="宋体"/>
          <w:color w:val="auto"/>
          <w:sz w:val="24"/>
          <w:szCs w:val="24"/>
          <w:highlight w:val="none"/>
          <w:u w:val="single"/>
        </w:rPr>
        <w:t xml:space="preserve">  （职务、姓名）  </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（合同工程名称）  </w:t>
      </w:r>
      <w:r>
        <w:rPr>
          <w:rFonts w:hint="eastAsia" w:ascii="宋体" w:hAnsi="宋体"/>
          <w:color w:val="auto"/>
          <w:sz w:val="24"/>
          <w:szCs w:val="24"/>
          <w:highlight w:val="none"/>
        </w:rPr>
        <w:t>的项目经理。凡本合同执行中的有关技术、工程进度、现场管理、质量检验、结算与支付等方面工作，由</w:t>
      </w:r>
      <w:r>
        <w:rPr>
          <w:rFonts w:hint="eastAsia" w:ascii="宋体" w:hAnsi="宋体"/>
          <w:color w:val="auto"/>
          <w:sz w:val="24"/>
          <w:szCs w:val="24"/>
          <w:highlight w:val="none"/>
          <w:u w:val="single"/>
        </w:rPr>
        <w:t xml:space="preserve">   （姓名）  </w:t>
      </w:r>
      <w:r>
        <w:rPr>
          <w:rFonts w:hint="eastAsia" w:ascii="宋体" w:hAnsi="宋体"/>
          <w:color w:val="auto"/>
          <w:sz w:val="24"/>
          <w:szCs w:val="24"/>
          <w:highlight w:val="none"/>
        </w:rPr>
        <w:t>代表本单位全面负责。</w:t>
      </w:r>
    </w:p>
    <w:p w14:paraId="3439ED1F">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52ED02D2">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60BD88B6">
      <w:pPr>
        <w:adjustRightInd w:val="0"/>
        <w:snapToGrid w:val="0"/>
        <w:spacing w:line="360" w:lineRule="auto"/>
        <w:ind w:firstLine="4800" w:firstLineChars="2000"/>
        <w:rPr>
          <w:rFonts w:ascii="宋体" w:hAnsi="宋体"/>
          <w:color w:val="auto"/>
          <w:sz w:val="24"/>
          <w:szCs w:val="24"/>
          <w:highlight w:val="none"/>
        </w:rPr>
      </w:pPr>
      <w:r>
        <w:rPr>
          <w:rFonts w:hint="eastAsia" w:ascii="宋体" w:hAnsi="宋体"/>
          <w:color w:val="auto"/>
          <w:sz w:val="24"/>
          <w:szCs w:val="24"/>
          <w:highlight w:val="none"/>
        </w:rPr>
        <w:t xml:space="preserve">承 包 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（盖单位章） </w:t>
      </w:r>
    </w:p>
    <w:p w14:paraId="6BB57DD1">
      <w:pPr>
        <w:adjustRightInd w:val="0"/>
        <w:snapToGrid w:val="0"/>
        <w:spacing w:line="360" w:lineRule="auto"/>
        <w:ind w:firstLine="4800" w:firstLineChars="2000"/>
        <w:rPr>
          <w:rFonts w:ascii="宋体" w:hAnsi="宋体"/>
          <w:color w:val="auto"/>
          <w:sz w:val="24"/>
          <w:szCs w:val="24"/>
          <w:highlight w:val="none"/>
        </w:rPr>
      </w:pPr>
      <w:r>
        <w:rPr>
          <w:rFonts w:hint="eastAsia" w:ascii="宋体" w:hAnsi="宋体"/>
          <w:color w:val="auto"/>
          <w:sz w:val="24"/>
          <w:szCs w:val="24"/>
          <w:highlight w:val="none"/>
        </w:rPr>
        <w:t>法定代表人：</w:t>
      </w:r>
      <w:r>
        <w:rPr>
          <w:rFonts w:hint="eastAsia" w:ascii="宋体" w:hAnsi="宋体"/>
          <w:color w:val="auto"/>
          <w:sz w:val="24"/>
          <w:szCs w:val="24"/>
          <w:highlight w:val="none"/>
          <w:u w:val="single"/>
        </w:rPr>
        <w:t xml:space="preserve">       （职务）       </w:t>
      </w:r>
    </w:p>
    <w:p w14:paraId="5901D85D">
      <w:pPr>
        <w:adjustRightInd w:val="0"/>
        <w:snapToGrid w:val="0"/>
        <w:spacing w:line="360" w:lineRule="auto"/>
        <w:ind w:firstLine="6240" w:firstLineChars="2600"/>
        <w:rPr>
          <w:rFonts w:ascii="宋体" w:hAnsi="宋体"/>
          <w:color w:val="auto"/>
          <w:sz w:val="24"/>
          <w:szCs w:val="24"/>
          <w:highlight w:val="none"/>
          <w:u w:val="single"/>
        </w:rPr>
      </w:pPr>
      <w:r>
        <w:rPr>
          <w:rFonts w:hint="eastAsia" w:ascii="宋体" w:hAnsi="宋体"/>
          <w:color w:val="auto"/>
          <w:sz w:val="24"/>
          <w:szCs w:val="24"/>
          <w:highlight w:val="none"/>
          <w:u w:val="single"/>
        </w:rPr>
        <w:t xml:space="preserve">       （姓名）       </w:t>
      </w:r>
    </w:p>
    <w:p w14:paraId="6FABD312">
      <w:pPr>
        <w:adjustRightInd w:val="0"/>
        <w:snapToGrid w:val="0"/>
        <w:spacing w:line="360" w:lineRule="auto"/>
        <w:ind w:firstLine="6240" w:firstLineChars="2600"/>
        <w:rPr>
          <w:rFonts w:ascii="宋体" w:hAnsi="宋体"/>
          <w:color w:val="auto"/>
          <w:sz w:val="24"/>
          <w:szCs w:val="24"/>
          <w:highlight w:val="none"/>
        </w:rPr>
      </w:pPr>
      <w:r>
        <w:rPr>
          <w:rFonts w:hint="eastAsia" w:ascii="宋体" w:hAnsi="宋体"/>
          <w:color w:val="auto"/>
          <w:sz w:val="24"/>
          <w:szCs w:val="24"/>
          <w:highlight w:val="none"/>
          <w:u w:val="single"/>
        </w:rPr>
        <w:t xml:space="preserve">       （签字）       </w:t>
      </w:r>
    </w:p>
    <w:p w14:paraId="45B98964">
      <w:pPr>
        <w:adjustRightInd w:val="0"/>
        <w:snapToGrid w:val="0"/>
        <w:spacing w:line="360" w:lineRule="auto"/>
        <w:ind w:firstLine="6960" w:firstLineChars="29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1CC7DF2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8B26F23">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p>
    <w:p w14:paraId="2DD4DC3E">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抄送：</w:t>
      </w:r>
      <w:r>
        <w:rPr>
          <w:rFonts w:hint="eastAsia" w:ascii="宋体" w:hAnsi="宋体"/>
          <w:color w:val="auto"/>
          <w:sz w:val="24"/>
          <w:szCs w:val="24"/>
          <w:highlight w:val="none"/>
          <w:u w:val="single"/>
        </w:rPr>
        <w:t xml:space="preserve">   （监理人）   </w:t>
      </w:r>
    </w:p>
    <w:p w14:paraId="6C0874FF">
      <w:pPr>
        <w:adjustRightInd w:val="0"/>
        <w:snapToGrid w:val="0"/>
        <w:spacing w:line="360" w:lineRule="auto"/>
        <w:rPr>
          <w:rFonts w:ascii="宋体" w:hAnsi="宋体"/>
          <w:b/>
          <w:bCs/>
          <w:color w:val="auto"/>
          <w:sz w:val="24"/>
          <w:szCs w:val="24"/>
          <w:highlight w:val="none"/>
        </w:rPr>
      </w:pPr>
      <w:r>
        <w:rPr>
          <w:rFonts w:hint="eastAsia" w:ascii="宋体" w:hAnsi="宋体"/>
          <w:color w:val="auto"/>
          <w:sz w:val="24"/>
          <w:szCs w:val="24"/>
          <w:highlight w:val="none"/>
        </w:rPr>
        <w:br w:type="page"/>
      </w:r>
      <w:r>
        <w:rPr>
          <w:rFonts w:hint="eastAsia" w:ascii="宋体" w:hAnsi="宋体"/>
          <w:b/>
          <w:bCs/>
          <w:color w:val="auto"/>
          <w:sz w:val="24"/>
          <w:szCs w:val="24"/>
          <w:highlight w:val="none"/>
        </w:rPr>
        <w:t>附件</w:t>
      </w:r>
      <w:r>
        <w:rPr>
          <w:rFonts w:hint="eastAsia" w:ascii="宋体" w:hAnsi="宋体"/>
          <w:b/>
          <w:bCs/>
          <w:color w:val="auto"/>
          <w:sz w:val="24"/>
          <w:szCs w:val="24"/>
          <w:highlight w:val="none"/>
          <w:lang w:eastAsia="zh-CN"/>
        </w:rPr>
        <w:t>五</w:t>
      </w:r>
      <w:r>
        <w:rPr>
          <w:rFonts w:hint="eastAsia" w:ascii="宋体" w:hAnsi="宋体"/>
          <w:b/>
          <w:bCs/>
          <w:color w:val="auto"/>
          <w:sz w:val="24"/>
          <w:szCs w:val="24"/>
          <w:highlight w:val="none"/>
        </w:rPr>
        <w:t xml:space="preserve"> 履约保证金格式</w:t>
      </w:r>
    </w:p>
    <w:p w14:paraId="66B3D83E">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如采用银行保函，格式如下。</w:t>
      </w:r>
    </w:p>
    <w:p w14:paraId="0BD1043E">
      <w:pPr>
        <w:adjustRightInd w:val="0"/>
        <w:snapToGrid w:val="0"/>
        <w:spacing w:beforeLines="100" w:afterLines="100" w:line="360" w:lineRule="auto"/>
        <w:jc w:val="center"/>
        <w:rPr>
          <w:rFonts w:ascii="宋体" w:hAnsi="宋体"/>
          <w:color w:val="auto"/>
          <w:sz w:val="32"/>
          <w:szCs w:val="32"/>
          <w:highlight w:val="none"/>
        </w:rPr>
      </w:pPr>
      <w:r>
        <w:rPr>
          <w:rFonts w:hint="eastAsia" w:ascii="宋体" w:hAnsi="宋体"/>
          <w:color w:val="auto"/>
          <w:sz w:val="32"/>
          <w:szCs w:val="32"/>
          <w:highlight w:val="none"/>
        </w:rPr>
        <w:t>履约保证金</w:t>
      </w:r>
    </w:p>
    <w:p w14:paraId="55AFD3D4">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（发包人名称）：</w:t>
      </w:r>
    </w:p>
    <w:p w14:paraId="6EB694F1">
      <w:pPr>
        <w:pStyle w:val="12"/>
        <w:ind w:firstLine="240"/>
        <w:rPr>
          <w:rFonts w:ascii="宋体"/>
          <w:color w:val="auto"/>
          <w:highlight w:val="none"/>
        </w:rPr>
      </w:pPr>
      <w:r>
        <w:rPr>
          <w:rFonts w:hint="eastAsia" w:ascii="宋体"/>
          <w:color w:val="auto"/>
          <w:highlight w:val="none"/>
        </w:rPr>
        <w:t xml:space="preserve"> </w:t>
      </w:r>
    </w:p>
    <w:p w14:paraId="7BED113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鉴于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（发包人名称，以下简称“发包人”）接受</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（承包人名称，以下称“承包人”）于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标段施工的投标。我方愿意无条件地、不可撤销地就承包人履行与你方订立的合同，向你方提供担保。</w:t>
      </w:r>
    </w:p>
    <w:p w14:paraId="1BF4EEF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1．担保金额人民币（大写）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6E42DDD">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2．担保有效期自发包人与承包人签订的合同生效之日起至发包人签发交工验收证书且承包人按照合同约定缴纳质量保证金之日止。</w:t>
      </w:r>
    </w:p>
    <w:p w14:paraId="348E45F7">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3．在本担保有效期内，因承包人违反合同约定的义务给你方造成经济损失时，我方在收到你方以书面形式提出的在担保金额内的赔偿要求后，在7天内无条件支付，无须你方出具证明或陈述理由。</w:t>
      </w:r>
    </w:p>
    <w:p w14:paraId="4BABEB1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4．发包人和承包人按合同条款第15条变更合同时，无论我方是否收到该变更，我方承担本担保规定的义务不变。</w:t>
      </w:r>
    </w:p>
    <w:p w14:paraId="44D95E5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521784D3">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47448D5B">
      <w:pPr>
        <w:adjustRightInd w:val="0"/>
        <w:snapToGrid w:val="0"/>
        <w:spacing w:line="360" w:lineRule="auto"/>
        <w:ind w:firstLine="3840" w:firstLineChars="1600"/>
        <w:rPr>
          <w:rFonts w:ascii="宋体" w:hAnsi="宋体"/>
          <w:color w:val="auto"/>
          <w:sz w:val="24"/>
          <w:szCs w:val="24"/>
          <w:highlight w:val="none"/>
        </w:rPr>
      </w:pPr>
      <w:r>
        <w:rPr>
          <w:rFonts w:hint="eastAsia" w:ascii="宋体" w:hAnsi="宋体"/>
          <w:color w:val="auto"/>
          <w:sz w:val="24"/>
          <w:szCs w:val="24"/>
          <w:highlight w:val="none"/>
        </w:rPr>
        <w:t>担保人名称：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（盖单位章）</w:t>
      </w:r>
    </w:p>
    <w:p w14:paraId="063A2622">
      <w:pPr>
        <w:adjustRightInd w:val="0"/>
        <w:snapToGrid w:val="0"/>
        <w:spacing w:line="360" w:lineRule="auto"/>
        <w:ind w:firstLine="3835" w:firstLineChars="1598"/>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（签字）</w:t>
      </w:r>
    </w:p>
    <w:p w14:paraId="3A739DE4">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xml:space="preserve">                                 </w:t>
      </w:r>
    </w:p>
    <w:p w14:paraId="0954A1E4">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邮政编码：</w:t>
      </w:r>
      <w:r>
        <w:rPr>
          <w:rFonts w:hint="eastAsia" w:ascii="宋体" w:hAnsi="宋体"/>
          <w:color w:val="auto"/>
          <w:sz w:val="24"/>
          <w:szCs w:val="24"/>
          <w:highlight w:val="none"/>
          <w:u w:val="single"/>
        </w:rPr>
        <w:t xml:space="preserve">                                 </w:t>
      </w:r>
    </w:p>
    <w:p w14:paraId="2E79ED23">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电    话：</w:t>
      </w:r>
      <w:r>
        <w:rPr>
          <w:rFonts w:hint="eastAsia" w:ascii="宋体" w:hAnsi="宋体"/>
          <w:color w:val="auto"/>
          <w:sz w:val="24"/>
          <w:szCs w:val="24"/>
          <w:highlight w:val="none"/>
          <w:u w:val="single"/>
        </w:rPr>
        <w:t xml:space="preserve">                                 </w:t>
      </w:r>
    </w:p>
    <w:p w14:paraId="40E7D767">
      <w:pPr>
        <w:adjustRightInd w:val="0"/>
        <w:snapToGrid w:val="0"/>
        <w:spacing w:line="360" w:lineRule="auto"/>
        <w:ind w:firstLine="3835" w:firstLineChars="1598"/>
        <w:rPr>
          <w:rFonts w:ascii="宋体" w:hAnsi="宋体"/>
          <w:color w:val="auto"/>
          <w:sz w:val="24"/>
          <w:szCs w:val="24"/>
          <w:highlight w:val="none"/>
          <w:u w:val="single"/>
        </w:rPr>
      </w:pPr>
      <w:r>
        <w:rPr>
          <w:rFonts w:hint="eastAsia" w:ascii="宋体" w:hAnsi="宋体"/>
          <w:color w:val="auto"/>
          <w:sz w:val="24"/>
          <w:szCs w:val="24"/>
          <w:highlight w:val="none"/>
        </w:rPr>
        <w:t>传    真：</w:t>
      </w:r>
      <w:r>
        <w:rPr>
          <w:rFonts w:hint="eastAsia" w:ascii="宋体" w:hAnsi="宋体"/>
          <w:color w:val="auto"/>
          <w:sz w:val="24"/>
          <w:szCs w:val="24"/>
          <w:highlight w:val="none"/>
          <w:u w:val="single"/>
        </w:rPr>
        <w:t xml:space="preserve">                                 </w:t>
      </w:r>
    </w:p>
    <w:p w14:paraId="7FD55F4E">
      <w:pPr>
        <w:adjustRightInd w:val="0"/>
        <w:snapToGrid w:val="0"/>
        <w:spacing w:line="360" w:lineRule="auto"/>
        <w:ind w:firstLine="6960" w:firstLineChars="29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7581D307">
      <w:pPr>
        <w:pStyle w:val="16"/>
        <w:autoSpaceDE w:val="0"/>
        <w:snapToGrid w:val="0"/>
        <w:spacing w:line="400" w:lineRule="exact"/>
        <w:ind w:firstLine="3360" w:firstLineChars="1400"/>
        <w:jc w:val="left"/>
        <w:rPr>
          <w:rFonts w:hAnsi="宋体"/>
          <w:color w:val="auto"/>
          <w:sz w:val="24"/>
          <w:szCs w:val="24"/>
          <w:highlight w:val="none"/>
        </w:rPr>
      </w:pPr>
      <w:r>
        <w:rPr>
          <w:rFonts w:hint="eastAsia" w:ascii="宋体" w:hAnsi="宋体"/>
          <w:color w:val="auto"/>
          <w:sz w:val="24"/>
          <w:szCs w:val="24"/>
          <w:highlight w:val="none"/>
        </w:rPr>
        <w:br w:type="page"/>
      </w:r>
    </w:p>
    <w:p w14:paraId="53166BA5">
      <w:pPr>
        <w:keepNext w:val="0"/>
        <w:keepLines w:val="0"/>
        <w:pageBreakBefore w:val="0"/>
        <w:widowControl w:val="0"/>
        <w:kinsoku/>
        <w:wordWrap/>
        <w:overflowPunct/>
        <w:topLinePunct w:val="0"/>
        <w:autoSpaceDE/>
        <w:autoSpaceDN/>
        <w:bidi w:val="0"/>
        <w:adjustRightInd w:val="0"/>
        <w:snapToGrid w:val="0"/>
        <w:spacing w:before="0" w:beforeLines="1800" w:line="360" w:lineRule="auto"/>
        <w:jc w:val="both"/>
        <w:textAlignment w:val="auto"/>
        <w:rPr>
          <w:rFonts w:hint="eastAsia" w:ascii="宋体" w:hAnsi="宋体"/>
          <w:b/>
          <w:bCs/>
          <w:color w:val="auto"/>
          <w:sz w:val="48"/>
          <w:szCs w:val="48"/>
          <w:highlight w:val="none"/>
        </w:rPr>
      </w:pPr>
      <w:bookmarkStart w:id="416" w:name="_Toc23375"/>
      <w:bookmarkEnd w:id="416"/>
    </w:p>
    <w:p w14:paraId="05BE9CD8">
      <w:pPr>
        <w:keepNext w:val="0"/>
        <w:keepLines w:val="0"/>
        <w:pageBreakBefore w:val="0"/>
        <w:widowControl w:val="0"/>
        <w:kinsoku/>
        <w:wordWrap/>
        <w:overflowPunct/>
        <w:topLinePunct w:val="0"/>
        <w:autoSpaceDE/>
        <w:autoSpaceDN/>
        <w:bidi w:val="0"/>
        <w:adjustRightInd w:val="0"/>
        <w:snapToGrid w:val="0"/>
        <w:spacing w:before="0" w:beforeLines="1800" w:line="360" w:lineRule="auto"/>
        <w:jc w:val="center"/>
        <w:textAlignment w:val="auto"/>
        <w:outlineLvl w:val="0"/>
        <w:rPr>
          <w:rFonts w:ascii="宋体" w:hAnsi="宋体"/>
          <w:color w:val="auto"/>
          <w:sz w:val="48"/>
          <w:szCs w:val="48"/>
          <w:highlight w:val="none"/>
        </w:rPr>
      </w:pPr>
      <w:bookmarkStart w:id="417" w:name="_Toc26755"/>
      <w:r>
        <w:rPr>
          <w:rFonts w:hint="eastAsia" w:ascii="宋体" w:hAnsi="宋体"/>
          <w:b/>
          <w:bCs/>
          <w:color w:val="auto"/>
          <w:sz w:val="48"/>
          <w:szCs w:val="48"/>
          <w:highlight w:val="none"/>
        </w:rPr>
        <w:t>第</w:t>
      </w:r>
      <w:r>
        <w:rPr>
          <w:rFonts w:hint="eastAsia" w:ascii="宋体" w:hAnsi="宋体"/>
          <w:b/>
          <w:bCs/>
          <w:color w:val="auto"/>
          <w:sz w:val="48"/>
          <w:szCs w:val="48"/>
          <w:highlight w:val="none"/>
          <w:lang w:val="en-US" w:eastAsia="zh-CN"/>
        </w:rPr>
        <w:t>六</w:t>
      </w:r>
      <w:r>
        <w:rPr>
          <w:rFonts w:hint="eastAsia" w:ascii="宋体" w:hAnsi="宋体"/>
          <w:b/>
          <w:bCs/>
          <w:color w:val="auto"/>
          <w:sz w:val="48"/>
          <w:szCs w:val="48"/>
          <w:highlight w:val="none"/>
        </w:rPr>
        <w:t>章  工程量清单（另册）</w:t>
      </w:r>
      <w:bookmarkEnd w:id="417"/>
    </w:p>
    <w:p w14:paraId="47A9E4D1">
      <w:pPr>
        <w:adjustRightInd w:val="0"/>
        <w:snapToGrid w:val="0"/>
        <w:spacing w:line="360" w:lineRule="auto"/>
        <w:jc w:val="center"/>
        <w:rPr>
          <w:rFonts w:ascii="宋体" w:hAnsi="宋体"/>
          <w:color w:val="auto"/>
          <w:sz w:val="30"/>
          <w:szCs w:val="30"/>
          <w:highlight w:val="none"/>
        </w:rPr>
      </w:pPr>
      <w:r>
        <w:rPr>
          <w:rFonts w:hint="eastAsia" w:ascii="宋体" w:hAnsi="宋体"/>
          <w:color w:val="auto"/>
          <w:sz w:val="30"/>
          <w:szCs w:val="30"/>
          <w:highlight w:val="none"/>
        </w:rPr>
        <w:t xml:space="preserve"> </w:t>
      </w:r>
    </w:p>
    <w:p w14:paraId="31270047">
      <w:pPr>
        <w:autoSpaceDE w:val="0"/>
        <w:autoSpaceDN w:val="0"/>
        <w:adjustRightInd w:val="0"/>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 </w:t>
      </w:r>
    </w:p>
    <w:p w14:paraId="29D4BEF5">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color w:val="auto"/>
          <w:sz w:val="24"/>
          <w:szCs w:val="24"/>
          <w:highlight w:val="none"/>
        </w:rPr>
      </w:pPr>
      <w:r>
        <w:rPr>
          <w:rFonts w:hint="eastAsia" w:ascii="宋体" w:hAnsi="宋体"/>
          <w:color w:val="auto"/>
          <w:sz w:val="28"/>
          <w:szCs w:val="28"/>
          <w:highlight w:val="none"/>
        </w:rPr>
        <w:br w:type="page"/>
      </w:r>
      <w:r>
        <w:rPr>
          <w:rFonts w:hint="eastAsia" w:ascii="宋体" w:hAnsi="宋体"/>
          <w:b/>
          <w:bCs/>
          <w:color w:val="auto"/>
          <w:sz w:val="24"/>
          <w:szCs w:val="24"/>
          <w:highlight w:val="none"/>
        </w:rPr>
        <w:t>1. 工程量清单说明</w:t>
      </w:r>
    </w:p>
    <w:p w14:paraId="258B2C4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1.1 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p>
    <w:p w14:paraId="074ADAF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1.2 本工程量清单应与招标文件中的投标人须知、通用合同条款、专用合同条款、工程量清单计量规则、技术规范及图纸等一起阅读和理解。</w:t>
      </w:r>
    </w:p>
    <w:p w14:paraId="61A3C41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1.3 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15.4款的规定，按监理人确定的单价或总额价计算支付额。</w:t>
      </w:r>
    </w:p>
    <w:p w14:paraId="3EF7B1E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1.4 工程量清单各章是按第</w:t>
      </w:r>
      <w:r>
        <w:rPr>
          <w:rFonts w:hint="eastAsia" w:ascii="宋体" w:hAnsi="宋体"/>
          <w:color w:val="auto"/>
          <w:sz w:val="24"/>
          <w:szCs w:val="24"/>
          <w:highlight w:val="none"/>
          <w:lang w:val="en-US" w:eastAsia="zh-CN"/>
        </w:rPr>
        <w:t>九</w:t>
      </w:r>
      <w:r>
        <w:rPr>
          <w:rFonts w:hint="eastAsia" w:ascii="宋体" w:hAnsi="宋体"/>
          <w:color w:val="auto"/>
          <w:sz w:val="24"/>
          <w:szCs w:val="24"/>
          <w:highlight w:val="none"/>
        </w:rPr>
        <w:t>章“工程量清单计量规则”、第</w:t>
      </w:r>
      <w:r>
        <w:rPr>
          <w:rFonts w:hint="eastAsia" w:ascii="宋体" w:hAnsi="宋体"/>
          <w:color w:val="auto"/>
          <w:sz w:val="24"/>
          <w:szCs w:val="24"/>
          <w:highlight w:val="none"/>
          <w:lang w:val="en-US" w:eastAsia="zh-CN"/>
        </w:rPr>
        <w:t>八</w:t>
      </w:r>
      <w:r>
        <w:rPr>
          <w:rFonts w:hint="eastAsia" w:ascii="宋体" w:hAnsi="宋体"/>
          <w:color w:val="auto"/>
          <w:sz w:val="24"/>
          <w:szCs w:val="24"/>
          <w:highlight w:val="none"/>
        </w:rPr>
        <w:t>章“技术规范”的相应章次编号的，因此，工程量清单中各章的工程子目的范围与计量等应与“工程量清单计量规则”、“技术规范”相应章节的范围、计量与支付条款结合起来理解或解释。</w:t>
      </w:r>
    </w:p>
    <w:p w14:paraId="5022AFB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 对作业和材料的一般说明或规定，未重复写入工程量清单内，在给工程量清单各子目标价前，应参阅第</w:t>
      </w:r>
      <w:r>
        <w:rPr>
          <w:rFonts w:hint="eastAsia" w:ascii="宋体" w:hAnsi="宋体"/>
          <w:color w:val="auto"/>
          <w:sz w:val="24"/>
          <w:szCs w:val="24"/>
          <w:highlight w:val="none"/>
          <w:lang w:val="en-US" w:eastAsia="zh-CN"/>
        </w:rPr>
        <w:t>八</w:t>
      </w:r>
      <w:r>
        <w:rPr>
          <w:rFonts w:hint="eastAsia" w:ascii="宋体" w:hAnsi="宋体"/>
          <w:color w:val="auto"/>
          <w:sz w:val="24"/>
          <w:szCs w:val="24"/>
          <w:highlight w:val="none"/>
        </w:rPr>
        <w:t>章“技术规范”的有关内容。</w:t>
      </w:r>
    </w:p>
    <w:p w14:paraId="4ECE2FE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1.6 工程量清单中所列工程量的变动，丝毫不会降低或影响合同条款的效力，也不免除承包人按规定的标准进行施工和修复缺陷的责任。</w:t>
      </w:r>
    </w:p>
    <w:p w14:paraId="7B9E270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1.7 图纸中所列的工程数量表及数量汇总表仅是提供资料，不是工程量清单的外延。当图纸与工程量清单所列数量不一致时，以工程量清单所列数量作为报价的依据。</w:t>
      </w:r>
    </w:p>
    <w:p w14:paraId="6C3AB8F0">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2. 投标报价说明</w:t>
      </w:r>
    </w:p>
    <w:p w14:paraId="02E7B4D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2.1 工程量清单中的每一子目须填入单价或价格，且只允许有一个报价。</w:t>
      </w:r>
    </w:p>
    <w:p w14:paraId="6D8EE05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2.2 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2668E7F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2.3 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14:paraId="3DC8EE8C">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2.4 符合合同条款规定的全部费用应认为已被计入有标价的工程量清单所列各子目之中，未列子目不予计量的工作，其费用应视为已分摊在本合同工程的有关子目的单价或总额价之中。</w:t>
      </w:r>
    </w:p>
    <w:p w14:paraId="0CE86569">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2.5 承包人用于本合同工程的各类装备的提供、运输、维护、拆卸、拼装等支付的费用，已包括在工程量清单的单价与总额价之中。</w:t>
      </w:r>
    </w:p>
    <w:p w14:paraId="67E7EE90">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2.6 工程量清单中各项金额均以人民币（元）结算。</w:t>
      </w:r>
    </w:p>
    <w:p w14:paraId="51A28834">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2.7 暂列金额（不含计日工总额）的数量及拟用子目的说明：</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lang w:val="en-US" w:eastAsia="zh-CN"/>
        </w:rPr>
        <w:t>/</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w:t>
      </w:r>
    </w:p>
    <w:p w14:paraId="1BA77082">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2.8 暂估价的数量及拟用子目的说明：</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lang w:val="en-US" w:eastAsia="zh-CN"/>
        </w:rPr>
        <w:t>/</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w:t>
      </w:r>
    </w:p>
    <w:p w14:paraId="19216E78">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kern w:val="0"/>
          <w:sz w:val="24"/>
          <w:szCs w:val="24"/>
          <w:highlight w:val="none"/>
        </w:rPr>
      </w:pPr>
      <w:r>
        <w:rPr>
          <w:rFonts w:hint="eastAsia" w:ascii="宋体" w:hAnsi="宋体"/>
          <w:b/>
          <w:bCs/>
          <w:color w:val="auto"/>
          <w:kern w:val="0"/>
          <w:sz w:val="24"/>
          <w:szCs w:val="24"/>
          <w:highlight w:val="none"/>
        </w:rPr>
        <w:t>3. 计日工说明</w:t>
      </w:r>
    </w:p>
    <w:p w14:paraId="61428CD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kern w:val="0"/>
          <w:sz w:val="24"/>
          <w:szCs w:val="24"/>
          <w:highlight w:val="none"/>
        </w:rPr>
      </w:pPr>
      <w:r>
        <w:rPr>
          <w:rFonts w:hint="eastAsia" w:ascii="宋体" w:hAnsi="宋体"/>
          <w:b/>
          <w:bCs/>
          <w:color w:val="auto"/>
          <w:kern w:val="0"/>
          <w:sz w:val="24"/>
          <w:szCs w:val="24"/>
          <w:highlight w:val="none"/>
        </w:rPr>
        <w:t>3.1 总则</w:t>
      </w:r>
    </w:p>
    <w:p w14:paraId="405030B7">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（1）本说明应参照通用合同条款第15.7款一并理解。</w:t>
      </w:r>
    </w:p>
    <w:p w14:paraId="1BB92FFD">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（2）未经监理人书面指令，任何工程不得按计日工施工；接到监理人按计日工施工的书面指令，承包人也不得拒绝。</w:t>
      </w:r>
    </w:p>
    <w:p w14:paraId="49B46EF2">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3）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p>
    <w:p w14:paraId="7F519E6F">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（4）计日工不调价。</w:t>
      </w:r>
    </w:p>
    <w:p w14:paraId="06A595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kern w:val="0"/>
          <w:sz w:val="24"/>
          <w:szCs w:val="24"/>
          <w:highlight w:val="none"/>
        </w:rPr>
      </w:pPr>
      <w:r>
        <w:rPr>
          <w:rFonts w:hint="eastAsia" w:ascii="宋体" w:hAnsi="宋体"/>
          <w:b/>
          <w:bCs/>
          <w:color w:val="auto"/>
          <w:kern w:val="0"/>
          <w:sz w:val="24"/>
          <w:szCs w:val="24"/>
          <w:highlight w:val="none"/>
        </w:rPr>
        <w:t>3.2 计日工劳务</w:t>
      </w:r>
    </w:p>
    <w:p w14:paraId="77F71C8D">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p>
    <w:p w14:paraId="1F17733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（2）承包人可以得到用于计日工劳务的全部工时的支付，此支付按承包人填报的“计日工劳务单价表”所列单价计算，该单价应包括基本单价及承包人的管理费、税费、利润等所有附加费，说明如下：</w:t>
      </w:r>
    </w:p>
    <w:p w14:paraId="70984E3E">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a.劳务基本单价包括：承包人劳务的全部直接费用，如：工资、加班费、津贴、福利费及劳动保护费等。</w:t>
      </w:r>
    </w:p>
    <w:p w14:paraId="334958E4">
      <w:pPr>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jc w:val="left"/>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b.承包人的利润、管理、质检、保险、税费；易耗品的使用，水电及照明费，工作台、脚手架、临时设施费，手动机具与工具的使用及维修，以及上述各项伴随而来的费用。</w:t>
      </w:r>
    </w:p>
    <w:p w14:paraId="522AD17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ascii="宋体" w:hAnsi="宋体"/>
          <w:b/>
          <w:bCs/>
          <w:color w:val="auto"/>
          <w:sz w:val="24"/>
          <w:szCs w:val="24"/>
          <w:highlight w:val="none"/>
        </w:rPr>
      </w:pPr>
      <w:r>
        <w:rPr>
          <w:rFonts w:hint="eastAsia" w:ascii="宋体" w:hAnsi="宋体"/>
          <w:b/>
          <w:bCs/>
          <w:color w:val="auto"/>
          <w:kern w:val="0"/>
          <w:sz w:val="24"/>
          <w:szCs w:val="24"/>
          <w:highlight w:val="none"/>
        </w:rPr>
        <w:t>3.3 计日工材料</w:t>
      </w:r>
    </w:p>
    <w:p w14:paraId="240C2E54">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承包人可以得到计日工使用的材料费用（上述3.2款已计入劳务费内的材料费用除外）的支付，此费用按承包人“计日工材料单价表”中所填报的单价计算，该单价应包括基本单价及承包人的管理费、税费、利润等所有附加费，说明如下：</w:t>
      </w:r>
    </w:p>
    <w:p w14:paraId="00DBFAD9">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（1）材料基本单价按供货价加运杂费（到达承包人现场仓库）、保险费、仓库管理费以及运输损耗等计算；</w:t>
      </w:r>
    </w:p>
    <w:p w14:paraId="7BBC9720">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（2）承包人的利润、管理、质检、保险、税费及其他附加费；</w:t>
      </w:r>
    </w:p>
    <w:p w14:paraId="2F251E68">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（3）从现场运至使用地点的人工费和施工机械使用费不包括在上述基本单价内。</w:t>
      </w:r>
    </w:p>
    <w:p w14:paraId="7010BF3A">
      <w:pPr>
        <w:pStyle w:val="32"/>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Ansi="宋体"/>
          <w:b/>
          <w:bCs/>
          <w:color w:val="auto"/>
          <w:sz w:val="24"/>
          <w:szCs w:val="24"/>
          <w:highlight w:val="none"/>
        </w:rPr>
      </w:pPr>
      <w:r>
        <w:rPr>
          <w:rFonts w:hint="eastAsia" w:hAnsi="宋体"/>
          <w:b/>
          <w:bCs/>
          <w:color w:val="auto"/>
          <w:sz w:val="24"/>
          <w:szCs w:val="24"/>
          <w:highlight w:val="none"/>
        </w:rPr>
        <w:t>3.4 计日工施工机械</w:t>
      </w:r>
    </w:p>
    <w:p w14:paraId="78A974ED">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1）承包人可以得到用于计日工作业的施工机械费用的支付，该费用按承包人填报的“计日工施工机械单价表”中的租价计算。该租价应包括施工机械的折旧、利息、维修、保养、零配件、油燃料、保险和其他消耗品的费用以及全部有关使用这些机械的管理费、税费、利润和司机与助手的劳务费等费用。</w:t>
      </w:r>
    </w:p>
    <w:p w14:paraId="62E24F4D">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566" w:firstLineChars="236"/>
        <w:textAlignment w:val="auto"/>
        <w:rPr>
          <w:rFonts w:hAnsi="宋体"/>
          <w:color w:val="auto"/>
          <w:sz w:val="24"/>
          <w:szCs w:val="24"/>
          <w:highlight w:val="none"/>
        </w:rPr>
      </w:pPr>
      <w:r>
        <w:rPr>
          <w:rFonts w:hint="eastAsia" w:hAnsi="宋体"/>
          <w:color w:val="auto"/>
          <w:sz w:val="24"/>
          <w:szCs w:val="24"/>
          <w:highlight w:val="none"/>
        </w:rPr>
        <w:t>（2）在计日工作业中，承包人计算所用的施工机械费用时，应按实际工作小时支付。除非经监理人的同意，计算的工作小时才能将施工机械从现场某处运到监理人指令的计日工作业的另一现场往返运送时间包括在内。</w:t>
      </w:r>
    </w:p>
    <w:p w14:paraId="04322185">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b/>
          <w:bCs/>
          <w:color w:val="auto"/>
          <w:sz w:val="24"/>
          <w:szCs w:val="24"/>
          <w:highlight w:val="none"/>
        </w:rPr>
      </w:pPr>
      <w:r>
        <w:rPr>
          <w:rFonts w:hint="eastAsia" w:ascii="宋体" w:hAnsi="宋体"/>
          <w:b/>
          <w:bCs/>
          <w:color w:val="auto"/>
          <w:sz w:val="24"/>
          <w:szCs w:val="24"/>
          <w:highlight w:val="none"/>
        </w:rPr>
        <w:t>4. 其他说明</w:t>
      </w:r>
    </w:p>
    <w:p w14:paraId="2AF263DC">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3AF70BDB">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2CA31A2C">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477B7E14">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64B1C7ED">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62AA98B6">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54E64AB7">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4CA27890">
      <w:pPr>
        <w:keepNext w:val="0"/>
        <w:keepLines w:val="0"/>
        <w:pageBreakBefore w:val="0"/>
        <w:widowControl w:val="0"/>
        <w:kinsoku/>
        <w:wordWrap/>
        <w:overflowPunct/>
        <w:topLinePunct w:val="0"/>
        <w:autoSpaceDE/>
        <w:autoSpaceDN/>
        <w:bidi w:val="0"/>
        <w:adjustRightInd/>
        <w:snapToGrid/>
        <w:spacing w:before="0" w:beforeLines="1800"/>
        <w:jc w:val="both"/>
        <w:textAlignment w:val="auto"/>
        <w:rPr>
          <w:rFonts w:hint="eastAsia" w:ascii="宋体" w:hAnsi="宋体"/>
          <w:b/>
          <w:color w:val="auto"/>
          <w:kern w:val="44"/>
          <w:sz w:val="52"/>
          <w:szCs w:val="52"/>
          <w:highlight w:val="none"/>
        </w:rPr>
      </w:pPr>
    </w:p>
    <w:p w14:paraId="3F8F2BA1">
      <w:pPr>
        <w:keepNext w:val="0"/>
        <w:keepLines w:val="0"/>
        <w:pageBreakBefore w:val="0"/>
        <w:widowControl w:val="0"/>
        <w:kinsoku/>
        <w:wordWrap/>
        <w:overflowPunct/>
        <w:topLinePunct w:val="0"/>
        <w:autoSpaceDE/>
        <w:autoSpaceDN/>
        <w:bidi w:val="0"/>
        <w:adjustRightInd/>
        <w:snapToGrid/>
        <w:spacing w:before="0" w:beforeLines="1700"/>
        <w:jc w:val="center"/>
        <w:textAlignment w:val="auto"/>
        <w:rPr>
          <w:rFonts w:ascii="宋体" w:hAnsi="宋体"/>
          <w:b/>
          <w:color w:val="auto"/>
          <w:kern w:val="44"/>
          <w:sz w:val="52"/>
          <w:szCs w:val="52"/>
          <w:highlight w:val="none"/>
        </w:rPr>
      </w:pPr>
      <w:r>
        <w:rPr>
          <w:rFonts w:hint="eastAsia" w:ascii="宋体" w:hAnsi="宋体" w:cs="Times New Roman"/>
          <w:b/>
          <w:bCs/>
          <w:color w:val="auto"/>
          <w:sz w:val="56"/>
          <w:szCs w:val="56"/>
          <w:highlight w:val="none"/>
          <w:lang w:eastAsia="zh-CN"/>
        </w:rPr>
        <w:t>第  二  卷</w:t>
      </w:r>
    </w:p>
    <w:p w14:paraId="3C983A93">
      <w:pPr>
        <w:autoSpaceDE w:val="0"/>
        <w:autoSpaceDN w:val="0"/>
        <w:adjustRightInd w:val="0"/>
        <w:spacing w:line="360" w:lineRule="auto"/>
        <w:ind w:firstLine="720" w:firstLineChars="200"/>
        <w:jc w:val="center"/>
        <w:rPr>
          <w:rFonts w:hint="eastAsia" w:ascii="宋体" w:hAnsi="宋体"/>
          <w:color w:val="auto"/>
          <w:sz w:val="48"/>
          <w:szCs w:val="48"/>
          <w:highlight w:val="none"/>
        </w:rPr>
      </w:pPr>
      <w:r>
        <w:rPr>
          <w:rFonts w:hint="eastAsia" w:ascii="宋体" w:hAnsi="宋体"/>
          <w:color w:val="auto"/>
          <w:sz w:val="36"/>
          <w:szCs w:val="36"/>
          <w:highlight w:val="none"/>
        </w:rPr>
        <w:br w:type="page"/>
      </w:r>
      <w:bookmarkStart w:id="418" w:name="_Toc6011"/>
      <w:bookmarkEnd w:id="418"/>
    </w:p>
    <w:p w14:paraId="5F3C57F4">
      <w:pPr>
        <w:pStyle w:val="2"/>
        <w:keepNext/>
        <w:keepLines/>
        <w:pageBreakBefore w:val="0"/>
        <w:widowControl w:val="0"/>
        <w:kinsoku/>
        <w:wordWrap/>
        <w:overflowPunct/>
        <w:topLinePunct w:val="0"/>
        <w:autoSpaceDE/>
        <w:autoSpaceDN/>
        <w:bidi w:val="0"/>
        <w:adjustRightInd/>
        <w:snapToGrid/>
        <w:spacing w:before="0" w:beforeLines="1800"/>
        <w:jc w:val="both"/>
        <w:textAlignment w:val="auto"/>
        <w:rPr>
          <w:rFonts w:hint="eastAsia" w:ascii="宋体" w:hAnsi="宋体"/>
          <w:color w:val="auto"/>
          <w:sz w:val="48"/>
          <w:szCs w:val="48"/>
          <w:highlight w:val="none"/>
        </w:rPr>
      </w:pPr>
    </w:p>
    <w:p w14:paraId="7CA0001B">
      <w:pPr>
        <w:pStyle w:val="2"/>
        <w:keepNext/>
        <w:keepLines/>
        <w:pageBreakBefore w:val="0"/>
        <w:widowControl w:val="0"/>
        <w:kinsoku/>
        <w:wordWrap/>
        <w:overflowPunct/>
        <w:topLinePunct w:val="0"/>
        <w:autoSpaceDE/>
        <w:autoSpaceDN/>
        <w:bidi w:val="0"/>
        <w:adjustRightInd/>
        <w:snapToGrid/>
        <w:spacing w:before="0" w:beforeLines="1700"/>
        <w:jc w:val="center"/>
        <w:textAlignment w:val="auto"/>
        <w:outlineLvl w:val="0"/>
        <w:rPr>
          <w:rFonts w:ascii="宋体" w:hAnsi="宋体"/>
          <w:color w:val="auto"/>
          <w:sz w:val="48"/>
          <w:szCs w:val="48"/>
          <w:highlight w:val="none"/>
        </w:rPr>
      </w:pPr>
      <w:bookmarkStart w:id="419" w:name="_Toc24395"/>
      <w:r>
        <w:rPr>
          <w:rFonts w:hint="eastAsia" w:ascii="宋体" w:hAnsi="宋体"/>
          <w:color w:val="auto"/>
          <w:sz w:val="48"/>
          <w:szCs w:val="48"/>
          <w:highlight w:val="none"/>
        </w:rPr>
        <w:t>第</w:t>
      </w:r>
      <w:r>
        <w:rPr>
          <w:rFonts w:hint="eastAsia" w:ascii="宋体" w:hAnsi="宋体"/>
          <w:color w:val="auto"/>
          <w:sz w:val="48"/>
          <w:szCs w:val="48"/>
          <w:highlight w:val="none"/>
          <w:lang w:val="en-US" w:eastAsia="zh-CN"/>
        </w:rPr>
        <w:t>七</w:t>
      </w:r>
      <w:r>
        <w:rPr>
          <w:rFonts w:hint="eastAsia" w:ascii="宋体" w:hAnsi="宋体"/>
          <w:color w:val="auto"/>
          <w:sz w:val="48"/>
          <w:szCs w:val="48"/>
          <w:highlight w:val="none"/>
        </w:rPr>
        <w:t>章  图纸（另册）</w:t>
      </w:r>
      <w:bookmarkEnd w:id="419"/>
    </w:p>
    <w:p w14:paraId="68C3F193">
      <w:pPr>
        <w:autoSpaceDE w:val="0"/>
        <w:autoSpaceDN w:val="0"/>
        <w:adjustRightInd w:val="0"/>
        <w:spacing w:line="360" w:lineRule="auto"/>
        <w:ind w:firstLine="883" w:firstLineChars="200"/>
        <w:jc w:val="center"/>
        <w:rPr>
          <w:rFonts w:ascii="宋体" w:hAnsi="宋体"/>
          <w:color w:val="auto"/>
          <w:sz w:val="36"/>
          <w:szCs w:val="36"/>
          <w:highlight w:val="none"/>
        </w:rPr>
      </w:pPr>
      <w:r>
        <w:rPr>
          <w:rFonts w:hint="eastAsia" w:ascii="宋体" w:hAnsi="宋体"/>
          <w:b/>
          <w:bCs/>
          <w:color w:val="auto"/>
          <w:sz w:val="44"/>
          <w:szCs w:val="44"/>
          <w:highlight w:val="none"/>
        </w:rPr>
        <w:br w:type="page"/>
      </w:r>
    </w:p>
    <w:p w14:paraId="33D545DF">
      <w:pPr>
        <w:keepNext w:val="0"/>
        <w:keepLines w:val="0"/>
        <w:pageBreakBefore w:val="0"/>
        <w:widowControl w:val="0"/>
        <w:kinsoku/>
        <w:wordWrap/>
        <w:overflowPunct/>
        <w:topLinePunct w:val="0"/>
        <w:autoSpaceDE w:val="0"/>
        <w:autoSpaceDN w:val="0"/>
        <w:bidi w:val="0"/>
        <w:adjustRightInd w:val="0"/>
        <w:snapToGrid/>
        <w:spacing w:before="0" w:beforeLines="1800" w:line="360" w:lineRule="auto"/>
        <w:jc w:val="both"/>
        <w:textAlignment w:val="auto"/>
        <w:rPr>
          <w:rFonts w:hint="eastAsia" w:ascii="宋体" w:hAnsi="宋体" w:cs="Times New Roman"/>
          <w:b/>
          <w:bCs/>
          <w:color w:val="auto"/>
          <w:sz w:val="56"/>
          <w:szCs w:val="56"/>
          <w:highlight w:val="none"/>
          <w:lang w:eastAsia="zh-CN"/>
        </w:rPr>
      </w:pPr>
    </w:p>
    <w:p w14:paraId="1A3BF6F6">
      <w:pPr>
        <w:keepNext w:val="0"/>
        <w:keepLines w:val="0"/>
        <w:pageBreakBefore w:val="0"/>
        <w:widowControl w:val="0"/>
        <w:kinsoku/>
        <w:wordWrap/>
        <w:overflowPunct/>
        <w:topLinePunct w:val="0"/>
        <w:autoSpaceDE w:val="0"/>
        <w:autoSpaceDN w:val="0"/>
        <w:bidi w:val="0"/>
        <w:adjustRightInd w:val="0"/>
        <w:snapToGrid/>
        <w:spacing w:before="0" w:beforeLines="1700" w:line="360" w:lineRule="auto"/>
        <w:jc w:val="center"/>
        <w:textAlignment w:val="auto"/>
        <w:rPr>
          <w:rFonts w:hint="eastAsia" w:ascii="宋体" w:hAnsi="宋体" w:cs="Times New Roman"/>
          <w:b/>
          <w:bCs/>
          <w:color w:val="auto"/>
          <w:sz w:val="56"/>
          <w:szCs w:val="56"/>
          <w:highlight w:val="none"/>
          <w:lang w:eastAsia="zh-CN"/>
        </w:rPr>
      </w:pPr>
      <w:r>
        <w:rPr>
          <w:rFonts w:hint="eastAsia" w:ascii="宋体" w:hAnsi="宋体" w:cs="Times New Roman"/>
          <w:b/>
          <w:bCs/>
          <w:color w:val="auto"/>
          <w:sz w:val="56"/>
          <w:szCs w:val="56"/>
          <w:highlight w:val="none"/>
          <w:lang w:eastAsia="zh-CN"/>
        </w:rPr>
        <w:t>第  三  卷</w:t>
      </w:r>
    </w:p>
    <w:p w14:paraId="1EC66F0E">
      <w:pPr>
        <w:autoSpaceDE w:val="0"/>
        <w:autoSpaceDN w:val="0"/>
        <w:adjustRightInd w:val="0"/>
        <w:spacing w:line="360" w:lineRule="auto"/>
        <w:ind w:firstLine="720" w:firstLineChars="200"/>
        <w:jc w:val="center"/>
        <w:rPr>
          <w:rFonts w:ascii="宋体" w:hAnsi="宋体"/>
          <w:color w:val="auto"/>
          <w:sz w:val="48"/>
          <w:szCs w:val="48"/>
          <w:highlight w:val="none"/>
        </w:rPr>
      </w:pPr>
      <w:r>
        <w:rPr>
          <w:rFonts w:hint="eastAsia" w:ascii="宋体" w:hAnsi="宋体"/>
          <w:color w:val="auto"/>
          <w:sz w:val="36"/>
          <w:szCs w:val="36"/>
          <w:highlight w:val="none"/>
        </w:rPr>
        <w:br w:type="page"/>
      </w:r>
      <w:bookmarkStart w:id="420" w:name="_Toc21024"/>
      <w:bookmarkEnd w:id="420"/>
    </w:p>
    <w:p w14:paraId="4A1E8362">
      <w:pPr>
        <w:pStyle w:val="2"/>
        <w:keepNext/>
        <w:keepLines/>
        <w:pageBreakBefore w:val="0"/>
        <w:widowControl w:val="0"/>
        <w:kinsoku/>
        <w:wordWrap/>
        <w:overflowPunct/>
        <w:topLinePunct w:val="0"/>
        <w:autoSpaceDE/>
        <w:autoSpaceDN/>
        <w:bidi w:val="0"/>
        <w:adjustRightInd/>
        <w:snapToGrid/>
        <w:spacing w:before="0" w:beforeLines="1600" w:line="360" w:lineRule="auto"/>
        <w:jc w:val="center"/>
        <w:textAlignment w:val="auto"/>
        <w:outlineLvl w:val="0"/>
        <w:rPr>
          <w:rFonts w:ascii="宋体" w:hAnsi="宋体"/>
          <w:color w:val="auto"/>
          <w:sz w:val="48"/>
          <w:szCs w:val="48"/>
          <w:highlight w:val="none"/>
        </w:rPr>
      </w:pPr>
      <w:bookmarkStart w:id="421" w:name="_Toc23649"/>
      <w:r>
        <w:rPr>
          <w:rFonts w:hint="eastAsia" w:ascii="宋体" w:hAnsi="宋体"/>
          <w:color w:val="auto"/>
          <w:sz w:val="48"/>
          <w:szCs w:val="48"/>
          <w:highlight w:val="none"/>
        </w:rPr>
        <w:t>第</w:t>
      </w:r>
      <w:r>
        <w:rPr>
          <w:rFonts w:hint="eastAsia" w:ascii="宋体" w:hAnsi="宋体"/>
          <w:color w:val="auto"/>
          <w:sz w:val="48"/>
          <w:szCs w:val="48"/>
          <w:highlight w:val="none"/>
          <w:lang w:val="en-US" w:eastAsia="zh-CN"/>
        </w:rPr>
        <w:t>八</w:t>
      </w:r>
      <w:r>
        <w:rPr>
          <w:rFonts w:hint="eastAsia" w:ascii="宋体" w:hAnsi="宋体"/>
          <w:color w:val="auto"/>
          <w:sz w:val="48"/>
          <w:szCs w:val="48"/>
          <w:highlight w:val="none"/>
        </w:rPr>
        <w:t>章  技术规范</w:t>
      </w:r>
      <w:bookmarkEnd w:id="421"/>
    </w:p>
    <w:p w14:paraId="3C761FC8">
      <w:pPr>
        <w:jc w:val="center"/>
        <w:rPr>
          <w:rFonts w:ascii="宋体" w:hAnsi="宋体"/>
          <w:color w:val="auto"/>
          <w:sz w:val="28"/>
          <w:szCs w:val="28"/>
          <w:highlight w:val="none"/>
        </w:rPr>
      </w:pPr>
      <w:bookmarkStart w:id="422" w:name="_Hlt233718691"/>
      <w:bookmarkEnd w:id="422"/>
      <w:r>
        <w:rPr>
          <w:rFonts w:hint="eastAsia" w:ascii="宋体" w:hAnsi="宋体"/>
          <w:color w:val="auto"/>
          <w:sz w:val="28"/>
          <w:szCs w:val="28"/>
          <w:highlight w:val="none"/>
        </w:rPr>
        <w:t>技术规范依据中华人民共和国交通运输部《公路工程标准施工招标文件（2018年版）》和施工图纸总说明执行。</w:t>
      </w:r>
    </w:p>
    <w:p w14:paraId="667F800F">
      <w:pPr>
        <w:adjustRightInd w:val="0"/>
        <w:snapToGrid w:val="0"/>
        <w:spacing w:line="360" w:lineRule="auto"/>
        <w:jc w:val="left"/>
        <w:rPr>
          <w:rFonts w:ascii="宋体" w:hAnsi="宋体"/>
          <w:b/>
          <w:color w:val="auto"/>
          <w:sz w:val="44"/>
          <w:szCs w:val="44"/>
          <w:highlight w:val="none"/>
        </w:rPr>
      </w:pPr>
      <w:r>
        <w:rPr>
          <w:rFonts w:hint="eastAsia" w:ascii="宋体" w:hAnsi="宋体"/>
          <w:b/>
          <w:color w:val="auto"/>
          <w:sz w:val="44"/>
          <w:szCs w:val="44"/>
          <w:highlight w:val="none"/>
        </w:rPr>
        <w:t xml:space="preserve"> </w:t>
      </w:r>
    </w:p>
    <w:p w14:paraId="7E288CBC">
      <w:pPr>
        <w:autoSpaceDE w:val="0"/>
        <w:autoSpaceDN w:val="0"/>
        <w:adjustRightInd w:val="0"/>
        <w:spacing w:line="360" w:lineRule="auto"/>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26AD151C">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4F9D594">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47E53A62">
      <w:pPr>
        <w:autoSpaceDE w:val="0"/>
        <w:autoSpaceDN w:val="0"/>
        <w:adjustRightInd w:val="0"/>
        <w:spacing w:line="360" w:lineRule="auto"/>
        <w:jc w:val="center"/>
        <w:rPr>
          <w:rFonts w:ascii="宋体" w:hAnsi="宋体"/>
          <w:bCs/>
          <w:color w:val="auto"/>
          <w:sz w:val="36"/>
          <w:szCs w:val="36"/>
          <w:highlight w:val="none"/>
        </w:rPr>
      </w:pPr>
      <w:r>
        <w:rPr>
          <w:rFonts w:hint="eastAsia" w:ascii="宋体" w:hAnsi="宋体"/>
          <w:bCs/>
          <w:color w:val="auto"/>
          <w:sz w:val="36"/>
          <w:szCs w:val="36"/>
          <w:highlight w:val="none"/>
        </w:rPr>
        <w:br w:type="page"/>
      </w:r>
    </w:p>
    <w:p w14:paraId="66C7747E">
      <w:pPr>
        <w:keepNext w:val="0"/>
        <w:keepLines w:val="0"/>
        <w:pageBreakBefore w:val="0"/>
        <w:widowControl w:val="0"/>
        <w:kinsoku/>
        <w:wordWrap/>
        <w:overflowPunct/>
        <w:topLinePunct w:val="0"/>
        <w:autoSpaceDE w:val="0"/>
        <w:autoSpaceDN w:val="0"/>
        <w:bidi w:val="0"/>
        <w:adjustRightInd w:val="0"/>
        <w:snapToGrid/>
        <w:spacing w:before="0" w:beforeLines="1550" w:line="360" w:lineRule="auto"/>
        <w:jc w:val="center"/>
        <w:textAlignment w:val="auto"/>
        <w:outlineLvl w:val="0"/>
        <w:rPr>
          <w:rFonts w:ascii="宋体" w:hAnsi="宋体"/>
          <w:color w:val="auto"/>
          <w:spacing w:val="12"/>
          <w:sz w:val="24"/>
          <w:szCs w:val="24"/>
          <w:highlight w:val="none"/>
        </w:rPr>
      </w:pPr>
      <w:bookmarkStart w:id="423" w:name="_Toc26593"/>
      <w:bookmarkEnd w:id="423"/>
      <w:bookmarkStart w:id="424" w:name="_Toc21572"/>
      <w:r>
        <w:rPr>
          <w:rFonts w:hint="eastAsia" w:ascii="宋体" w:hAnsi="宋体"/>
          <w:b/>
          <w:bCs/>
          <w:color w:val="auto"/>
          <w:sz w:val="48"/>
          <w:szCs w:val="48"/>
          <w:highlight w:val="none"/>
        </w:rPr>
        <w:t>第</w:t>
      </w:r>
      <w:r>
        <w:rPr>
          <w:rFonts w:hint="eastAsia" w:ascii="宋体" w:hAnsi="宋体"/>
          <w:b/>
          <w:bCs/>
          <w:color w:val="auto"/>
          <w:sz w:val="48"/>
          <w:szCs w:val="48"/>
          <w:highlight w:val="none"/>
          <w:lang w:val="en-US" w:eastAsia="zh-CN"/>
        </w:rPr>
        <w:t>九</w:t>
      </w:r>
      <w:r>
        <w:rPr>
          <w:rFonts w:hint="eastAsia" w:ascii="宋体" w:hAnsi="宋体"/>
          <w:b/>
          <w:bCs/>
          <w:color w:val="auto"/>
          <w:sz w:val="48"/>
          <w:szCs w:val="48"/>
          <w:highlight w:val="none"/>
        </w:rPr>
        <w:t>章  工程量清单计量规则</w:t>
      </w:r>
      <w:bookmarkEnd w:id="424"/>
    </w:p>
    <w:p w14:paraId="3CE3CE19">
      <w:pPr>
        <w:autoSpaceDE w:val="0"/>
        <w:autoSpaceDN w:val="0"/>
        <w:adjustRightInd w:val="0"/>
        <w:spacing w:line="360" w:lineRule="auto"/>
        <w:jc w:val="center"/>
        <w:rPr>
          <w:rFonts w:ascii="宋体" w:hAnsi="宋体"/>
          <w:color w:val="auto"/>
          <w:spacing w:val="12"/>
          <w:sz w:val="28"/>
          <w:szCs w:val="28"/>
          <w:highlight w:val="none"/>
        </w:rPr>
      </w:pPr>
      <w:r>
        <w:rPr>
          <w:rFonts w:hint="eastAsia" w:ascii="宋体" w:hAnsi="宋体"/>
          <w:color w:val="auto"/>
          <w:spacing w:val="12"/>
          <w:sz w:val="28"/>
          <w:szCs w:val="28"/>
          <w:highlight w:val="none"/>
        </w:rPr>
        <w:t>有关本项目工程量清单的计量与支付方法参照《公路工程标准施工招标文件（2018年版）》计量与支付规则执行。</w:t>
      </w:r>
    </w:p>
    <w:p w14:paraId="6307B7A9">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2CF59375">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E642B8C">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3E880E0">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97308B0">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47FCA62F">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16100C7">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1686E691">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62A72FCF">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01C63E89">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8FB36CD">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645316A1">
      <w:pPr>
        <w:autoSpaceDE w:val="0"/>
        <w:autoSpaceDN w:val="0"/>
        <w:adjustRightInd w:val="0"/>
        <w:spacing w:line="360" w:lineRule="auto"/>
        <w:jc w:val="center"/>
        <w:rPr>
          <w:rFonts w:ascii="宋体" w:hAnsi="宋体"/>
          <w:color w:val="auto"/>
          <w:spacing w:val="12"/>
          <w:sz w:val="24"/>
          <w:szCs w:val="24"/>
          <w:highlight w:val="none"/>
        </w:rPr>
      </w:pPr>
    </w:p>
    <w:p w14:paraId="7DAF36E3">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1CACFDBC">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9C89502">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665B1C8">
      <w:pPr>
        <w:keepNext w:val="0"/>
        <w:keepLines w:val="0"/>
        <w:pageBreakBefore w:val="0"/>
        <w:widowControl w:val="0"/>
        <w:kinsoku/>
        <w:wordWrap/>
        <w:overflowPunct/>
        <w:topLinePunct w:val="0"/>
        <w:autoSpaceDE w:val="0"/>
        <w:autoSpaceDN w:val="0"/>
        <w:bidi w:val="0"/>
        <w:adjustRightInd w:val="0"/>
        <w:snapToGrid/>
        <w:spacing w:before="0" w:beforeLines="1800" w:line="360" w:lineRule="auto"/>
        <w:jc w:val="both"/>
        <w:textAlignment w:val="auto"/>
        <w:rPr>
          <w:rFonts w:hint="eastAsia" w:ascii="宋体" w:hAnsi="宋体" w:cs="Times New Roman"/>
          <w:b/>
          <w:bCs/>
          <w:color w:val="auto"/>
          <w:sz w:val="56"/>
          <w:szCs w:val="56"/>
          <w:highlight w:val="none"/>
          <w:lang w:eastAsia="zh-CN"/>
        </w:rPr>
      </w:pPr>
    </w:p>
    <w:p w14:paraId="3291E6DE">
      <w:pPr>
        <w:keepNext w:val="0"/>
        <w:keepLines w:val="0"/>
        <w:pageBreakBefore w:val="0"/>
        <w:widowControl w:val="0"/>
        <w:kinsoku/>
        <w:wordWrap/>
        <w:overflowPunct/>
        <w:topLinePunct w:val="0"/>
        <w:autoSpaceDE w:val="0"/>
        <w:autoSpaceDN w:val="0"/>
        <w:bidi w:val="0"/>
        <w:adjustRightInd w:val="0"/>
        <w:snapToGrid/>
        <w:spacing w:before="0" w:beforeLines="1700" w:line="360" w:lineRule="auto"/>
        <w:jc w:val="center"/>
        <w:textAlignment w:val="auto"/>
        <w:rPr>
          <w:rFonts w:ascii="宋体" w:hAnsi="宋体"/>
          <w:color w:val="auto"/>
          <w:sz w:val="36"/>
          <w:szCs w:val="36"/>
          <w:highlight w:val="none"/>
        </w:rPr>
      </w:pPr>
      <w:r>
        <w:rPr>
          <w:rFonts w:hint="eastAsia" w:ascii="宋体" w:hAnsi="宋体" w:cs="Times New Roman"/>
          <w:b/>
          <w:bCs/>
          <w:color w:val="auto"/>
          <w:sz w:val="56"/>
          <w:szCs w:val="56"/>
          <w:highlight w:val="none"/>
          <w:lang w:eastAsia="zh-CN"/>
        </w:rPr>
        <w:t>第  四  卷</w:t>
      </w:r>
      <w:r>
        <w:rPr>
          <w:rFonts w:hint="eastAsia" w:ascii="宋体" w:hAnsi="宋体"/>
          <w:color w:val="auto"/>
          <w:sz w:val="36"/>
          <w:szCs w:val="36"/>
          <w:highlight w:val="none"/>
        </w:rPr>
        <w:br w:type="page"/>
      </w:r>
    </w:p>
    <w:p w14:paraId="2447F706">
      <w:pPr>
        <w:pStyle w:val="2"/>
        <w:keepNext/>
        <w:keepLines/>
        <w:pageBreakBefore w:val="0"/>
        <w:widowControl w:val="0"/>
        <w:kinsoku/>
        <w:wordWrap/>
        <w:overflowPunct/>
        <w:topLinePunct w:val="0"/>
        <w:autoSpaceDE/>
        <w:autoSpaceDN/>
        <w:bidi w:val="0"/>
        <w:adjustRightInd/>
        <w:snapToGrid/>
        <w:spacing w:before="0" w:beforeLines="1700"/>
        <w:jc w:val="center"/>
        <w:textAlignment w:val="auto"/>
        <w:outlineLvl w:val="0"/>
        <w:rPr>
          <w:rFonts w:ascii="宋体" w:hAnsi="宋体"/>
          <w:color w:val="auto"/>
          <w:sz w:val="48"/>
          <w:szCs w:val="48"/>
          <w:highlight w:val="none"/>
        </w:rPr>
      </w:pPr>
      <w:bookmarkStart w:id="425" w:name="_Toc23553"/>
      <w:bookmarkEnd w:id="425"/>
      <w:bookmarkStart w:id="426" w:name="_Toc9434"/>
      <w:r>
        <w:rPr>
          <w:rFonts w:hint="eastAsia" w:ascii="宋体" w:hAnsi="宋体"/>
          <w:color w:val="auto"/>
          <w:sz w:val="48"/>
          <w:szCs w:val="48"/>
          <w:highlight w:val="none"/>
        </w:rPr>
        <w:t>第</w:t>
      </w:r>
      <w:r>
        <w:rPr>
          <w:rFonts w:hint="eastAsia" w:ascii="宋体" w:hAnsi="宋体"/>
          <w:color w:val="auto"/>
          <w:sz w:val="48"/>
          <w:szCs w:val="48"/>
          <w:highlight w:val="none"/>
          <w:lang w:val="en-US" w:eastAsia="zh-CN"/>
        </w:rPr>
        <w:t>十</w:t>
      </w:r>
      <w:r>
        <w:rPr>
          <w:rFonts w:hint="eastAsia" w:ascii="宋体" w:hAnsi="宋体"/>
          <w:color w:val="auto"/>
          <w:sz w:val="48"/>
          <w:szCs w:val="48"/>
          <w:highlight w:val="none"/>
        </w:rPr>
        <w:t>章  投标文件格式</w:t>
      </w:r>
      <w:bookmarkEnd w:id="426"/>
    </w:p>
    <w:p w14:paraId="5EF7BFAD">
      <w:pPr>
        <w:rPr>
          <w:rFonts w:ascii="宋体" w:hAnsi="宋体" w:eastAsia="宋体" w:cs="宋体"/>
          <w:color w:val="auto"/>
          <w:sz w:val="14"/>
          <w:szCs w:val="14"/>
          <w:highlight w:val="none"/>
        </w:rPr>
      </w:pPr>
      <w:bookmarkStart w:id="427" w:name="_Toc132601564"/>
      <w:bookmarkEnd w:id="427"/>
      <w:r>
        <w:rPr>
          <w:rFonts w:ascii="宋体" w:hAnsi="宋体" w:eastAsia="宋体" w:cs="宋体"/>
          <w:color w:val="auto"/>
          <w:sz w:val="14"/>
          <w:szCs w:val="14"/>
          <w:highlight w:val="none"/>
        </w:rPr>
        <w:br w:type="page"/>
      </w:r>
    </w:p>
    <w:p w14:paraId="7BBE09CE">
      <w:pPr>
        <w:pStyle w:val="5"/>
        <w:keepLines w:val="0"/>
        <w:pageBreakBefore w:val="0"/>
        <w:widowControl w:val="0"/>
        <w:tabs>
          <w:tab w:val="left" w:pos="3216"/>
        </w:tabs>
        <w:kinsoku/>
        <w:wordWrap w:val="0"/>
        <w:overflowPunct/>
        <w:topLinePunct w:val="0"/>
        <w:autoSpaceDE/>
        <w:autoSpaceDN/>
        <w:bidi w:val="0"/>
        <w:snapToGrid/>
        <w:spacing w:line="240" w:lineRule="auto"/>
        <w:ind w:right="0" w:firstLine="594" w:firstLineChars="200"/>
        <w:jc w:val="left"/>
        <w:rPr>
          <w:color w:val="auto"/>
          <w:sz w:val="30"/>
          <w:szCs w:val="30"/>
          <w:highlight w:val="none"/>
          <w:u w:val="none"/>
        </w:rPr>
      </w:pPr>
      <w:r>
        <w:rPr>
          <w:rFonts w:ascii="Times New Roman" w:hAnsi="Times New Roman" w:eastAsia="Times New Roman" w:cs="Times New Roman"/>
          <w:color w:val="auto"/>
          <w:w w:val="99"/>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hint="eastAsia" w:ascii="Times New Roman" w:hAnsi="Times New Roman" w:eastAsia="宋体" w:cs="Times New Roman"/>
          <w:color w:val="auto"/>
          <w:sz w:val="30"/>
          <w:szCs w:val="30"/>
          <w:highlight w:val="none"/>
          <w:u w:val="single" w:color="000000"/>
          <w:lang w:val="en-US" w:eastAsia="zh-CN"/>
        </w:rPr>
        <w:t xml:space="preserve">   </w:t>
      </w:r>
      <w:r>
        <w:rPr>
          <w:color w:val="auto"/>
          <w:sz w:val="30"/>
          <w:szCs w:val="30"/>
          <w:highlight w:val="none"/>
          <w:u w:val="none"/>
        </w:rPr>
        <w:t>省（自治区、直辖市）</w:t>
      </w:r>
    </w:p>
    <w:p w14:paraId="33ED0D8A">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0"/>
          <w:szCs w:val="30"/>
          <w:highlight w:val="none"/>
        </w:rPr>
      </w:pPr>
    </w:p>
    <w:p w14:paraId="28168C12">
      <w:pPr>
        <w:keepLines w:val="0"/>
        <w:pageBreakBefore w:val="0"/>
        <w:widowControl w:val="0"/>
        <w:kinsoku/>
        <w:wordWrap w:val="0"/>
        <w:overflowPunct/>
        <w:topLinePunct w:val="0"/>
        <w:autoSpaceDE/>
        <w:autoSpaceDN/>
        <w:bidi w:val="0"/>
        <w:snapToGrid/>
        <w:spacing w:before="6" w:line="240" w:lineRule="auto"/>
        <w:rPr>
          <w:rFonts w:ascii="黑体" w:hAnsi="黑体" w:eastAsia="黑体" w:cs="黑体"/>
          <w:color w:val="auto"/>
          <w:sz w:val="30"/>
          <w:szCs w:val="30"/>
          <w:highlight w:val="none"/>
        </w:rPr>
      </w:pPr>
    </w:p>
    <w:p w14:paraId="285317F7">
      <w:pPr>
        <w:pStyle w:val="9"/>
        <w:keepLines w:val="0"/>
        <w:pageBreakBefore w:val="0"/>
        <w:widowControl w:val="0"/>
        <w:tabs>
          <w:tab w:val="left" w:pos="2212"/>
          <w:tab w:val="left" w:pos="4918"/>
        </w:tabs>
        <w:kinsoku/>
        <w:wordWrap w:val="0"/>
        <w:overflowPunct/>
        <w:topLinePunct w:val="0"/>
        <w:autoSpaceDE/>
        <w:autoSpaceDN/>
        <w:bidi w:val="0"/>
        <w:snapToGrid/>
        <w:spacing w:before="26" w:line="240" w:lineRule="auto"/>
        <w:ind w:left="0" w:right="53"/>
        <w:jc w:val="center"/>
        <w:rPr>
          <w:rFonts w:ascii="黑体" w:hAnsi="黑体" w:eastAsia="黑体" w:cs="黑体"/>
          <w:color w:val="auto"/>
          <w:highlight w:val="none"/>
        </w:rPr>
      </w:pPr>
      <w:r>
        <w:rPr>
          <w:rFonts w:ascii="Times New Roman" w:hAnsi="Times New Roman" w:eastAsia="Times New Roman" w:cs="Times New Roman"/>
          <w:color w:val="auto"/>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（项目名称）</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标段施工招标</w:t>
      </w:r>
    </w:p>
    <w:p w14:paraId="29DBB8E7">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2291AD98">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5EF5BBE3">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44C83638">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661CA83E">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78E6BA4A">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73DDBC54">
      <w:pPr>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19"/>
          <w:szCs w:val="19"/>
          <w:highlight w:val="none"/>
        </w:rPr>
      </w:pPr>
    </w:p>
    <w:p w14:paraId="177B5513">
      <w:pPr>
        <w:keepLines w:val="0"/>
        <w:pageBreakBefore w:val="0"/>
        <w:widowControl w:val="0"/>
        <w:tabs>
          <w:tab w:val="left" w:pos="1497"/>
          <w:tab w:val="left" w:pos="2937"/>
          <w:tab w:val="left" w:pos="4377"/>
        </w:tabs>
        <w:kinsoku/>
        <w:wordWrap w:val="0"/>
        <w:overflowPunct/>
        <w:topLinePunct w:val="0"/>
        <w:autoSpaceDE/>
        <w:autoSpaceDN/>
        <w:bidi w:val="0"/>
        <w:snapToGrid/>
        <w:spacing w:before="0"/>
        <w:ind w:left="56" w:right="0" w:firstLine="0"/>
        <w:jc w:val="center"/>
        <w:rPr>
          <w:rFonts w:ascii="黑体" w:hAnsi="黑体" w:eastAsia="黑体" w:cs="黑体"/>
          <w:color w:val="auto"/>
          <w:sz w:val="72"/>
          <w:szCs w:val="72"/>
          <w:highlight w:val="none"/>
        </w:rPr>
      </w:pPr>
      <w:bookmarkStart w:id="428" w:name="_bookmark287"/>
      <w:bookmarkEnd w:id="428"/>
      <w:r>
        <w:rPr>
          <w:rFonts w:ascii="黑体" w:hAnsi="黑体" w:eastAsia="黑体" w:cs="黑体"/>
          <w:color w:val="auto"/>
          <w:sz w:val="72"/>
          <w:szCs w:val="72"/>
          <w:highlight w:val="none"/>
        </w:rPr>
        <w:t>投</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件</w:t>
      </w:r>
    </w:p>
    <w:p w14:paraId="4A7CF977">
      <w:pPr>
        <w:pStyle w:val="4"/>
        <w:keepLines w:val="0"/>
        <w:pageBreakBefore w:val="0"/>
        <w:widowControl w:val="0"/>
        <w:kinsoku/>
        <w:wordWrap w:val="0"/>
        <w:overflowPunct/>
        <w:topLinePunct w:val="0"/>
        <w:autoSpaceDE/>
        <w:autoSpaceDN/>
        <w:bidi w:val="0"/>
        <w:snapToGrid/>
        <w:spacing w:before="526" w:line="240" w:lineRule="auto"/>
        <w:ind w:left="59" w:right="3"/>
        <w:jc w:val="center"/>
        <w:rPr>
          <w:color w:val="auto"/>
          <w:highlight w:val="none"/>
        </w:rPr>
      </w:pPr>
      <w:r>
        <w:rPr>
          <w:color w:val="auto"/>
          <w:highlight w:val="none"/>
        </w:rPr>
        <w:t>（商务及技术文件）</w:t>
      </w:r>
    </w:p>
    <w:p w14:paraId="0B1457E5">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23047E4">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29C2F4F7">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12F28DBF">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1128D019">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4D11E22F">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DC4728E">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AC522CA">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6F87DA4">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0D15D49">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03456FEE">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B8698D8">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2727E124">
      <w:pPr>
        <w:keepLines w:val="0"/>
        <w:pageBreakBefore w:val="0"/>
        <w:widowControl w:val="0"/>
        <w:kinsoku/>
        <w:wordWrap w:val="0"/>
        <w:overflowPunct/>
        <w:topLinePunct w:val="0"/>
        <w:autoSpaceDE/>
        <w:autoSpaceDN/>
        <w:bidi w:val="0"/>
        <w:snapToGrid/>
        <w:spacing w:before="7" w:line="240" w:lineRule="auto"/>
        <w:rPr>
          <w:rFonts w:ascii="黑体" w:hAnsi="黑体" w:eastAsia="黑体" w:cs="黑体"/>
          <w:color w:val="auto"/>
          <w:sz w:val="28"/>
          <w:szCs w:val="28"/>
          <w:highlight w:val="none"/>
        </w:rPr>
      </w:pPr>
    </w:p>
    <w:p w14:paraId="630C7563">
      <w:pPr>
        <w:keepLines w:val="0"/>
        <w:pageBreakBefore w:val="0"/>
        <w:widowControl w:val="0"/>
        <w:tabs>
          <w:tab w:val="left" w:pos="5940"/>
        </w:tabs>
        <w:kinsoku/>
        <w:wordWrap w:val="0"/>
        <w:overflowPunct/>
        <w:topLinePunct w:val="0"/>
        <w:autoSpaceDE/>
        <w:autoSpaceDN/>
        <w:bidi w:val="0"/>
        <w:snapToGrid/>
        <w:spacing w:before="0"/>
        <w:ind w:left="59" w:right="0" w:firstLine="0"/>
        <w:jc w:val="center"/>
        <w:rPr>
          <w:rFonts w:ascii="黑体" w:hAnsi="黑体" w:eastAsia="黑体" w:cs="黑体"/>
          <w:color w:val="auto"/>
          <w:sz w:val="28"/>
          <w:szCs w:val="28"/>
          <w:highlight w:val="none"/>
        </w:rPr>
      </w:pPr>
      <w:r>
        <w:rPr>
          <w:rFonts w:ascii="黑体" w:hAnsi="黑体" w:eastAsia="黑体" w:cs="黑体"/>
          <w:color w:val="auto"/>
          <w:sz w:val="28"/>
          <w:szCs w:val="28"/>
          <w:highlight w:val="none"/>
        </w:rPr>
        <w:t>投标人：</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（盖单位章）</w:t>
      </w:r>
    </w:p>
    <w:p w14:paraId="0C4EAB57">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8"/>
          <w:szCs w:val="28"/>
          <w:highlight w:val="none"/>
        </w:rPr>
      </w:pPr>
    </w:p>
    <w:p w14:paraId="507EBA8F">
      <w:pPr>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28"/>
          <w:szCs w:val="28"/>
          <w:highlight w:val="none"/>
        </w:rPr>
      </w:pPr>
    </w:p>
    <w:p w14:paraId="1B6669B4">
      <w:pPr>
        <w:keepLines w:val="0"/>
        <w:pageBreakBefore w:val="0"/>
        <w:widowControl w:val="0"/>
        <w:tabs>
          <w:tab w:val="left" w:pos="3250"/>
          <w:tab w:val="left" w:pos="4652"/>
          <w:tab w:val="left" w:pos="6190"/>
        </w:tabs>
        <w:kinsoku/>
        <w:wordWrap w:val="0"/>
        <w:overflowPunct/>
        <w:topLinePunct w:val="0"/>
        <w:autoSpaceDE/>
        <w:autoSpaceDN/>
        <w:bidi w:val="0"/>
        <w:snapToGrid/>
        <w:spacing w:before="14"/>
        <w:ind w:left="2132" w:right="0" w:firstLine="0"/>
        <w:jc w:val="left"/>
        <w:rPr>
          <w:rFonts w:ascii="黑体" w:hAnsi="黑体" w:eastAsia="黑体" w:cs="黑体"/>
          <w:color w:val="auto"/>
          <w:sz w:val="28"/>
          <w:szCs w:val="28"/>
          <w:highlight w:val="none"/>
        </w:rPr>
      </w:pPr>
      <w:r>
        <w:rPr>
          <w:rFonts w:ascii="Times New Roman" w:hAnsi="Times New Roman" w:eastAsia="Times New Roman" w:cs="Times New Roman"/>
          <w:color w:val="auto"/>
          <w:w w:val="100"/>
          <w:sz w:val="28"/>
          <w:szCs w:val="28"/>
          <w:highlight w:val="none"/>
          <w:u w:val="single" w:color="000000"/>
        </w:rPr>
        <w:t xml:space="preserve"> </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年</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月</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日</w:t>
      </w:r>
    </w:p>
    <w:p w14:paraId="32EDC06B">
      <w:pPr>
        <w:pStyle w:val="12"/>
        <w:rPr>
          <w:rFonts w:ascii="黑体" w:hAnsi="黑体" w:eastAsia="黑体" w:cs="黑体"/>
          <w:color w:val="auto"/>
          <w:sz w:val="28"/>
          <w:szCs w:val="28"/>
          <w:highlight w:val="none"/>
        </w:rPr>
      </w:pPr>
    </w:p>
    <w:p w14:paraId="380C57A3">
      <w:pPr>
        <w:rPr>
          <w:rFonts w:ascii="黑体" w:hAnsi="黑体" w:eastAsia="黑体" w:cs="黑体"/>
          <w:color w:val="auto"/>
          <w:sz w:val="28"/>
          <w:szCs w:val="28"/>
          <w:highlight w:val="none"/>
        </w:rPr>
      </w:pPr>
    </w:p>
    <w:p w14:paraId="0C847AE9">
      <w:pPr>
        <w:pStyle w:val="12"/>
        <w:rPr>
          <w:color w:val="auto"/>
          <w:highlight w:val="none"/>
        </w:rPr>
      </w:pPr>
    </w:p>
    <w:p w14:paraId="16ABA39C">
      <w:pPr>
        <w:rPr>
          <w:rFonts w:ascii="黑体" w:hAnsi="黑体" w:eastAsia="黑体" w:cs="黑体"/>
          <w:color w:val="auto"/>
          <w:sz w:val="28"/>
          <w:szCs w:val="28"/>
          <w:highlight w:val="none"/>
        </w:rPr>
      </w:pPr>
    </w:p>
    <w:p w14:paraId="5EFE1688">
      <w:pPr>
        <w:keepLines w:val="0"/>
        <w:pageBreakBefore w:val="0"/>
        <w:widowControl w:val="0"/>
        <w:kinsoku/>
        <w:wordWrap w:val="0"/>
        <w:overflowPunct/>
        <w:topLinePunct w:val="0"/>
        <w:autoSpaceDE/>
        <w:autoSpaceDN/>
        <w:bidi w:val="0"/>
        <w:snapToGrid/>
        <w:spacing w:line="440" w:lineRule="exact"/>
        <w:jc w:val="center"/>
        <w:rPr>
          <w:rFonts w:ascii="宋体" w:hAnsi="宋体"/>
          <w:bCs/>
          <w:color w:val="auto"/>
          <w:sz w:val="32"/>
          <w:szCs w:val="32"/>
          <w:highlight w:val="none"/>
        </w:rPr>
      </w:pPr>
      <w:bookmarkStart w:id="429" w:name="_Toc152042577"/>
      <w:r>
        <w:rPr>
          <w:rFonts w:hint="eastAsia" w:ascii="宋体" w:hAnsi="宋体"/>
          <w:b/>
          <w:bCs w:val="0"/>
          <w:color w:val="auto"/>
          <w:sz w:val="32"/>
          <w:szCs w:val="32"/>
          <w:highlight w:val="none"/>
        </w:rPr>
        <w:t>目     录</w:t>
      </w:r>
      <w:bookmarkEnd w:id="429"/>
    </w:p>
    <w:p w14:paraId="4E192AD7">
      <w:pPr>
        <w:keepLines w:val="0"/>
        <w:pageBreakBefore w:val="0"/>
        <w:widowControl w:val="0"/>
        <w:kinsoku/>
        <w:wordWrap w:val="0"/>
        <w:overflowPunct/>
        <w:topLinePunct w:val="0"/>
        <w:autoSpaceDE/>
        <w:autoSpaceDN/>
        <w:bidi w:val="0"/>
        <w:snapToGrid/>
        <w:rPr>
          <w:rFonts w:ascii="宋体" w:hAnsi="宋体"/>
          <w:color w:val="auto"/>
          <w:sz w:val="28"/>
          <w:szCs w:val="28"/>
          <w:highlight w:val="none"/>
        </w:rPr>
      </w:pPr>
      <w:r>
        <w:rPr>
          <w:rFonts w:hint="eastAsia" w:ascii="宋体" w:hAnsi="宋体"/>
          <w:color w:val="auto"/>
          <w:sz w:val="28"/>
          <w:szCs w:val="28"/>
          <w:highlight w:val="none"/>
        </w:rPr>
        <w:t xml:space="preserve"> </w:t>
      </w:r>
    </w:p>
    <w:p w14:paraId="23FAFEF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bookmarkStart w:id="430" w:name="_Toc6489"/>
      <w:bookmarkEnd w:id="430"/>
      <w:r>
        <w:rPr>
          <w:rFonts w:hint="eastAsia" w:ascii="宋体" w:hAnsi="宋体" w:cs="宋体"/>
          <w:color w:val="auto"/>
          <w:kern w:val="0"/>
          <w:sz w:val="24"/>
          <w:szCs w:val="24"/>
          <w:highlight w:val="none"/>
        </w:rPr>
        <w:t>一、投标函及投标函附录</w:t>
      </w:r>
    </w:p>
    <w:p w14:paraId="6277F0C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二、授权委托书或法定代表人身份证明</w:t>
      </w:r>
    </w:p>
    <w:p w14:paraId="78B4846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三、投标保证金</w:t>
      </w:r>
    </w:p>
    <w:p w14:paraId="22F70E7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四、施工组织设计</w:t>
      </w:r>
    </w:p>
    <w:p w14:paraId="047F38C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五、项目管理机构</w:t>
      </w:r>
    </w:p>
    <w:p w14:paraId="2E08CF5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六、资格审查资料</w:t>
      </w:r>
    </w:p>
    <w:p w14:paraId="330FEBF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ascii="宋体" w:hAnsi="宋体"/>
          <w:b/>
          <w:bCs/>
          <w:color w:val="auto"/>
          <w:sz w:val="24"/>
          <w:szCs w:val="24"/>
          <w:highlight w:val="none"/>
        </w:rPr>
      </w:pPr>
      <w:r>
        <w:rPr>
          <w:rFonts w:hint="eastAsia" w:ascii="宋体" w:hAnsi="宋体" w:cs="宋体"/>
          <w:color w:val="auto"/>
          <w:kern w:val="0"/>
          <w:sz w:val="24"/>
          <w:szCs w:val="24"/>
          <w:highlight w:val="none"/>
        </w:rPr>
        <w:t>七、其他资料</w:t>
      </w:r>
      <w:r>
        <w:rPr>
          <w:rFonts w:hint="eastAsia" w:ascii="宋体" w:hAnsi="宋体"/>
          <w:b/>
          <w:bCs/>
          <w:color w:val="auto"/>
          <w:sz w:val="24"/>
          <w:szCs w:val="24"/>
          <w:highlight w:val="none"/>
        </w:rPr>
        <w:t xml:space="preserve"> </w:t>
      </w:r>
    </w:p>
    <w:p w14:paraId="4990A067">
      <w:pPr>
        <w:rPr>
          <w:color w:val="auto"/>
          <w:highlight w:val="none"/>
        </w:rPr>
      </w:pPr>
    </w:p>
    <w:p w14:paraId="2375D80B">
      <w:pPr>
        <w:pStyle w:val="12"/>
        <w:rPr>
          <w:color w:val="auto"/>
          <w:highlight w:val="none"/>
        </w:rPr>
      </w:pPr>
    </w:p>
    <w:p w14:paraId="2AC3CDE2">
      <w:pPr>
        <w:rPr>
          <w:color w:val="auto"/>
          <w:highlight w:val="none"/>
        </w:rPr>
      </w:pPr>
    </w:p>
    <w:p w14:paraId="23FF5C35">
      <w:pPr>
        <w:pStyle w:val="12"/>
        <w:rPr>
          <w:color w:val="auto"/>
          <w:highlight w:val="none"/>
        </w:rPr>
      </w:pPr>
    </w:p>
    <w:p w14:paraId="41F49F7F">
      <w:pPr>
        <w:rPr>
          <w:color w:val="auto"/>
          <w:highlight w:val="none"/>
        </w:rPr>
      </w:pPr>
    </w:p>
    <w:p w14:paraId="6F2EEE2F">
      <w:pPr>
        <w:pStyle w:val="12"/>
        <w:rPr>
          <w:color w:val="auto"/>
          <w:highlight w:val="none"/>
        </w:rPr>
      </w:pPr>
    </w:p>
    <w:p w14:paraId="05089DF6">
      <w:pPr>
        <w:rPr>
          <w:color w:val="auto"/>
          <w:highlight w:val="none"/>
        </w:rPr>
      </w:pPr>
    </w:p>
    <w:p w14:paraId="27E722AD">
      <w:pPr>
        <w:pStyle w:val="12"/>
        <w:rPr>
          <w:color w:val="auto"/>
          <w:highlight w:val="none"/>
        </w:rPr>
      </w:pPr>
    </w:p>
    <w:p w14:paraId="01177CA8">
      <w:pPr>
        <w:rPr>
          <w:color w:val="auto"/>
          <w:highlight w:val="none"/>
        </w:rPr>
      </w:pPr>
    </w:p>
    <w:p w14:paraId="43206EFD">
      <w:pPr>
        <w:pStyle w:val="12"/>
        <w:rPr>
          <w:color w:val="auto"/>
          <w:highlight w:val="none"/>
        </w:rPr>
      </w:pPr>
    </w:p>
    <w:p w14:paraId="3B7F63FD">
      <w:pPr>
        <w:rPr>
          <w:color w:val="auto"/>
          <w:highlight w:val="none"/>
        </w:rPr>
      </w:pPr>
    </w:p>
    <w:p w14:paraId="6B40A5C6">
      <w:pPr>
        <w:pStyle w:val="12"/>
        <w:rPr>
          <w:color w:val="auto"/>
          <w:highlight w:val="none"/>
        </w:rPr>
      </w:pPr>
    </w:p>
    <w:p w14:paraId="38EF4E46">
      <w:pPr>
        <w:rPr>
          <w:color w:val="auto"/>
          <w:highlight w:val="none"/>
        </w:rPr>
      </w:pPr>
    </w:p>
    <w:p w14:paraId="02F142E6">
      <w:pPr>
        <w:pStyle w:val="12"/>
        <w:rPr>
          <w:color w:val="auto"/>
          <w:highlight w:val="none"/>
        </w:rPr>
      </w:pPr>
    </w:p>
    <w:p w14:paraId="04C675C4">
      <w:pPr>
        <w:rPr>
          <w:color w:val="auto"/>
          <w:highlight w:val="none"/>
        </w:rPr>
      </w:pPr>
    </w:p>
    <w:p w14:paraId="603EB8B9">
      <w:pPr>
        <w:pStyle w:val="12"/>
        <w:rPr>
          <w:color w:val="auto"/>
          <w:highlight w:val="none"/>
        </w:rPr>
      </w:pPr>
    </w:p>
    <w:p w14:paraId="32FBCF3C">
      <w:pPr>
        <w:rPr>
          <w:color w:val="auto"/>
          <w:highlight w:val="none"/>
        </w:rPr>
      </w:pPr>
    </w:p>
    <w:p w14:paraId="0CBAF317">
      <w:pPr>
        <w:pStyle w:val="12"/>
        <w:rPr>
          <w:color w:val="auto"/>
          <w:highlight w:val="none"/>
        </w:rPr>
      </w:pPr>
    </w:p>
    <w:p w14:paraId="287CAC86">
      <w:pPr>
        <w:rPr>
          <w:color w:val="auto"/>
          <w:highlight w:val="none"/>
        </w:rPr>
      </w:pPr>
    </w:p>
    <w:p w14:paraId="322180DD">
      <w:pPr>
        <w:pStyle w:val="12"/>
        <w:rPr>
          <w:color w:val="auto"/>
          <w:highlight w:val="none"/>
        </w:rPr>
      </w:pPr>
    </w:p>
    <w:p w14:paraId="0340DC78">
      <w:pPr>
        <w:rPr>
          <w:color w:val="auto"/>
          <w:highlight w:val="none"/>
        </w:rPr>
      </w:pPr>
    </w:p>
    <w:p w14:paraId="65B2D77E">
      <w:pPr>
        <w:pStyle w:val="12"/>
        <w:rPr>
          <w:color w:val="auto"/>
          <w:highlight w:val="none"/>
        </w:rPr>
      </w:pPr>
    </w:p>
    <w:p w14:paraId="705283F9">
      <w:pPr>
        <w:rPr>
          <w:color w:val="auto"/>
          <w:highlight w:val="none"/>
        </w:rPr>
      </w:pPr>
    </w:p>
    <w:p w14:paraId="4FEB85E5">
      <w:pPr>
        <w:pStyle w:val="12"/>
        <w:rPr>
          <w:color w:val="auto"/>
          <w:highlight w:val="none"/>
        </w:rPr>
      </w:pPr>
    </w:p>
    <w:p w14:paraId="106A07D9">
      <w:pPr>
        <w:rPr>
          <w:color w:val="auto"/>
          <w:highlight w:val="none"/>
        </w:rPr>
      </w:pPr>
    </w:p>
    <w:p w14:paraId="76B5C0B8">
      <w:pPr>
        <w:pStyle w:val="12"/>
        <w:rPr>
          <w:color w:val="auto"/>
          <w:highlight w:val="none"/>
        </w:rPr>
      </w:pPr>
    </w:p>
    <w:p w14:paraId="3E8CD0A9">
      <w:pPr>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1"/>
        <w:rPr>
          <w:rFonts w:ascii="宋体" w:hAnsi="宋体" w:cs="宋体"/>
          <w:b/>
          <w:color w:val="auto"/>
          <w:kern w:val="0"/>
          <w:sz w:val="30"/>
          <w:szCs w:val="30"/>
          <w:highlight w:val="none"/>
        </w:rPr>
      </w:pPr>
      <w:bookmarkStart w:id="431" w:name="_Toc7056"/>
      <w:bookmarkStart w:id="432" w:name="_Toc37422282"/>
      <w:bookmarkStart w:id="433" w:name="_Toc500864537"/>
      <w:bookmarkStart w:id="434" w:name="_Toc32572"/>
      <w:bookmarkStart w:id="435" w:name="_Toc431367135"/>
      <w:bookmarkStart w:id="436" w:name="_Toc37746998"/>
      <w:r>
        <w:rPr>
          <w:rFonts w:hint="eastAsia" w:ascii="宋体" w:hAnsi="宋体" w:cs="宋体"/>
          <w:b/>
          <w:color w:val="auto"/>
          <w:kern w:val="0"/>
          <w:sz w:val="30"/>
          <w:szCs w:val="30"/>
          <w:highlight w:val="none"/>
        </w:rPr>
        <w:t>一、投标函及投标函附录</w:t>
      </w:r>
      <w:bookmarkEnd w:id="431"/>
      <w:bookmarkEnd w:id="432"/>
      <w:bookmarkEnd w:id="433"/>
      <w:bookmarkEnd w:id="434"/>
      <w:bookmarkEnd w:id="435"/>
      <w:bookmarkEnd w:id="436"/>
    </w:p>
    <w:p w14:paraId="199F467F">
      <w:pPr>
        <w:keepNext w:val="0"/>
        <w:keepLines w:val="0"/>
        <w:pageBreakBefore w:val="0"/>
        <w:widowControl w:val="0"/>
        <w:kinsoku/>
        <w:wordWrap w:val="0"/>
        <w:overflowPunct/>
        <w:topLinePunct w:val="0"/>
        <w:autoSpaceDE/>
        <w:autoSpaceDN/>
        <w:bidi w:val="0"/>
        <w:adjustRightInd w:val="0"/>
        <w:snapToGrid/>
        <w:spacing w:before="157" w:beforeLines="50" w:line="360" w:lineRule="auto"/>
        <w:ind w:right="-34" w:rightChars="-16"/>
        <w:jc w:val="center"/>
        <w:textAlignment w:val="auto"/>
        <w:outlineLvl w:val="1"/>
        <w:rPr>
          <w:rFonts w:ascii="宋体" w:hAnsi="宋体" w:cs="宋体"/>
          <w:b/>
          <w:color w:val="auto"/>
          <w:kern w:val="0"/>
          <w:sz w:val="24"/>
          <w:highlight w:val="none"/>
        </w:rPr>
      </w:pPr>
      <w:bookmarkStart w:id="437" w:name="_Toc227657581"/>
      <w:bookmarkStart w:id="438" w:name="_Toc37422283"/>
      <w:bookmarkStart w:id="439" w:name="_Toc23746"/>
      <w:bookmarkStart w:id="440" w:name="_Toc227492339"/>
      <w:bookmarkStart w:id="441" w:name="_Toc228591603"/>
      <w:bookmarkStart w:id="442" w:name="_Toc7512"/>
      <w:bookmarkStart w:id="443" w:name="_Toc243904320"/>
      <w:bookmarkStart w:id="444" w:name="_Toc500864538"/>
      <w:bookmarkStart w:id="445" w:name="_Toc285618746"/>
      <w:bookmarkStart w:id="446" w:name="_Toc8455"/>
      <w:bookmarkStart w:id="447" w:name="_Toc228589257"/>
      <w:bookmarkStart w:id="448" w:name="_Toc228337192"/>
      <w:bookmarkStart w:id="449" w:name="_Toc228591751"/>
      <w:bookmarkStart w:id="450" w:name="_Toc37746999"/>
      <w:bookmarkStart w:id="451" w:name="_Toc228881243"/>
      <w:bookmarkStart w:id="452" w:name="_Toc272772663"/>
      <w:bookmarkStart w:id="453" w:name="_Toc214433983"/>
      <w:bookmarkStart w:id="454" w:name="_Toc431367136"/>
      <w:r>
        <w:rPr>
          <w:rFonts w:hint="eastAsia" w:ascii="宋体" w:hAnsi="宋体" w:cs="宋体"/>
          <w:b/>
          <w:color w:val="auto"/>
          <w:kern w:val="0"/>
          <w:sz w:val="28"/>
          <w:szCs w:val="28"/>
          <w:highlight w:val="none"/>
        </w:rPr>
        <w:t>（一）投标函</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14:paraId="2182176B">
      <w:pPr>
        <w:keepLines w:val="0"/>
        <w:pageBreakBefore w:val="0"/>
        <w:widowControl w:val="0"/>
        <w:kinsoku/>
        <w:wordWrap w:val="0"/>
        <w:overflowPunct/>
        <w:topLinePunct w:val="0"/>
        <w:autoSpaceDE/>
        <w:autoSpaceDN/>
        <w:bidi w:val="0"/>
        <w:snapToGrid/>
        <w:spacing w:line="440" w:lineRule="exact"/>
        <w:rPr>
          <w:rFonts w:ascii="宋体" w:hAnsi="宋体" w:cs="宋体"/>
          <w:color w:val="auto"/>
          <w:highlight w:val="none"/>
          <w:u w:val="single"/>
        </w:rPr>
      </w:pPr>
    </w:p>
    <w:p w14:paraId="1D314A9B">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1．我方已仔细研究</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标段施工招标文件的全部内容（含补遗书第___号至第___号），在考察工程现场后，愿意以第二个信封（报价文件）中的投标总报价（或根据招标文件规定修正核实后确定的另一金额），按合同约定实施和完成承包工程，修补工程中的任何缺陷。</w:t>
      </w:r>
    </w:p>
    <w:p w14:paraId="29B0298C">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2．我方承诺在招标文件规定的投标有效期内不撤销投标文件。</w:t>
      </w:r>
    </w:p>
    <w:p w14:paraId="6D1B7728">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3．工程质量：</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，安全目标</w:t>
      </w: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，工期：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日历天。</w:t>
      </w:r>
    </w:p>
    <w:p w14:paraId="5BF520F9">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4．如我方中标，我方承诺：</w:t>
      </w:r>
    </w:p>
    <w:p w14:paraId="0A741C3F">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（1）在收到中标通知书后，在中标通知书规定的期限内与你方签订合同；</w:t>
      </w:r>
    </w:p>
    <w:p w14:paraId="5E583BF4">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（2）在签订合同时不向你方提出附加条件；</w:t>
      </w:r>
    </w:p>
    <w:p w14:paraId="0B7B676C">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（3）按照招标文件要求提交履约保证金；</w:t>
      </w:r>
    </w:p>
    <w:p w14:paraId="281A1CDA">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（4）在合同约定的期限</w:t>
      </w:r>
      <w:r>
        <w:rPr>
          <w:rFonts w:hint="eastAsia" w:ascii="宋体" w:hAnsi="宋体" w:eastAsia="宋体" w:cs="宋体"/>
          <w:color w:val="000000" w:themeColor="text1"/>
          <w:sz w:val="24"/>
          <w:highlight w:val="none"/>
          <w14:textFill>
            <w14:solidFill>
              <w14:schemeClr w14:val="tx1"/>
            </w14:solidFill>
          </w14:textFill>
        </w:rPr>
        <w:t>内</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日</w:t>
      </w:r>
      <w:r>
        <w:rPr>
          <w:rFonts w:hint="eastAsia" w:ascii="宋体" w:hAnsi="宋体" w:eastAsia="宋体" w:cs="宋体"/>
          <w:color w:val="auto"/>
          <w:sz w:val="24"/>
          <w:highlight w:val="none"/>
        </w:rPr>
        <w:t>完成合同规定的全部义务；</w:t>
      </w:r>
    </w:p>
    <w:p w14:paraId="2363AC36">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14:paraId="0452D287">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5．我方在此声明，所递交的投标文件及有关资料内容完整、真实和准确，且不存在招标文件第二章“投标人须知”第 1.4.3 项和第 1.4.4 项规定的任何一种情形。</w:t>
      </w:r>
    </w:p>
    <w:p w14:paraId="41DFF503">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6．在合同协议书正式签署生效之前，本投标函连同你方的中标通知书将构成我们双方之间共同遵守的文件，对双方具有约束力。</w:t>
      </w:r>
    </w:p>
    <w:p w14:paraId="3D3E0C44">
      <w:pPr>
        <w:keepNext w:val="0"/>
        <w:keepLines w:val="0"/>
        <w:pageBreakBefore w:val="0"/>
        <w:widowControl w:val="0"/>
        <w:kinsoku/>
        <w:wordWrap w:val="0"/>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（其他补充说明）。</w:t>
      </w:r>
    </w:p>
    <w:p w14:paraId="236713EB">
      <w:pPr>
        <w:pStyle w:val="12"/>
        <w:keepNext w:val="0"/>
        <w:keepLines w:val="0"/>
        <w:pageBreakBefore w:val="0"/>
        <w:widowControl w:val="0"/>
        <w:kinsoku/>
        <w:wordWrap w:val="0"/>
        <w:overflowPunct/>
        <w:topLinePunct w:val="0"/>
        <w:autoSpaceDE/>
        <w:autoSpaceDN/>
        <w:bidi w:val="0"/>
        <w:adjustRightInd/>
        <w:snapToGrid/>
        <w:spacing w:line="400" w:lineRule="atLeast"/>
        <w:textAlignment w:val="auto"/>
        <w:rPr>
          <w:rFonts w:hint="eastAsia" w:ascii="宋体" w:hAnsi="宋体" w:eastAsia="宋体" w:cs="宋体"/>
          <w:color w:val="auto"/>
          <w:highlight w:val="none"/>
        </w:rPr>
      </w:pPr>
    </w:p>
    <w:p w14:paraId="22001076">
      <w:pPr>
        <w:keepNext w:val="0"/>
        <w:keepLines w:val="0"/>
        <w:pageBreakBefore w:val="0"/>
        <w:widowControl w:val="0"/>
        <w:kinsoku/>
        <w:wordWrap w:val="0"/>
        <w:overflowPunct/>
        <w:topLinePunct w:val="0"/>
        <w:autoSpaceDE/>
        <w:autoSpaceDN/>
        <w:bidi w:val="0"/>
        <w:adjustRightInd/>
        <w:snapToGrid/>
        <w:spacing w:line="400" w:lineRule="atLeast"/>
        <w:ind w:right="240" w:firstLine="3600" w:firstLineChars="15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（盖单位章）</w:t>
      </w:r>
    </w:p>
    <w:p w14:paraId="6292FC33">
      <w:pPr>
        <w:keepNext w:val="0"/>
        <w:keepLines w:val="0"/>
        <w:pageBreakBefore w:val="0"/>
        <w:widowControl w:val="0"/>
        <w:kinsoku/>
        <w:wordWrap w:val="0"/>
        <w:overflowPunct/>
        <w:topLinePunct w:val="0"/>
        <w:autoSpaceDE/>
        <w:autoSpaceDN/>
        <w:bidi w:val="0"/>
        <w:adjustRightInd/>
        <w:snapToGrid/>
        <w:spacing w:line="400" w:lineRule="atLeast"/>
        <w:ind w:right="480" w:firstLine="3554" w:firstLineChars="1481"/>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2FAD4D5C">
      <w:pPr>
        <w:keepNext w:val="0"/>
        <w:keepLines w:val="0"/>
        <w:pageBreakBefore w:val="0"/>
        <w:widowControl w:val="0"/>
        <w:kinsoku/>
        <w:wordWrap w:val="0"/>
        <w:overflowPunct/>
        <w:topLinePunct w:val="0"/>
        <w:autoSpaceDE/>
        <w:autoSpaceDN/>
        <w:bidi w:val="0"/>
        <w:adjustRightInd/>
        <w:snapToGrid/>
        <w:spacing w:line="400" w:lineRule="atLeast"/>
        <w:ind w:firstLine="3568" w:firstLineChars="1487"/>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p>
    <w:p w14:paraId="315AF687">
      <w:pPr>
        <w:keepNext w:val="0"/>
        <w:keepLines w:val="0"/>
        <w:pageBreakBefore w:val="0"/>
        <w:widowControl w:val="0"/>
        <w:kinsoku/>
        <w:wordWrap w:val="0"/>
        <w:overflowPunct/>
        <w:topLinePunct w:val="0"/>
        <w:autoSpaceDE/>
        <w:autoSpaceDN/>
        <w:bidi w:val="0"/>
        <w:adjustRightInd/>
        <w:snapToGrid/>
        <w:spacing w:line="400" w:lineRule="atLeast"/>
        <w:ind w:firstLine="3568" w:firstLineChars="1487"/>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网</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w:t>
      </w:r>
      <w:r>
        <w:rPr>
          <w:rFonts w:hint="eastAsia" w:ascii="宋体" w:hAnsi="宋体" w:eastAsia="宋体" w:cs="宋体"/>
          <w:color w:val="auto"/>
          <w:sz w:val="24"/>
          <w:highlight w:val="none"/>
          <w:u w:val="single"/>
          <w:lang w:val="en-US" w:eastAsia="zh-CN"/>
        </w:rPr>
        <w:t xml:space="preserve">                                </w:t>
      </w:r>
    </w:p>
    <w:p w14:paraId="7DBEEFB0">
      <w:pPr>
        <w:keepNext w:val="0"/>
        <w:keepLines w:val="0"/>
        <w:pageBreakBefore w:val="0"/>
        <w:widowControl w:val="0"/>
        <w:kinsoku/>
        <w:wordWrap w:val="0"/>
        <w:overflowPunct/>
        <w:topLinePunct w:val="0"/>
        <w:autoSpaceDE/>
        <w:autoSpaceDN/>
        <w:bidi w:val="0"/>
        <w:adjustRightInd/>
        <w:snapToGrid/>
        <w:spacing w:line="400" w:lineRule="atLeast"/>
        <w:ind w:firstLine="3583" w:firstLineChars="1493"/>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电</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话：</w:t>
      </w:r>
      <w:r>
        <w:rPr>
          <w:rFonts w:hint="eastAsia" w:ascii="宋体" w:hAnsi="宋体" w:eastAsia="宋体" w:cs="宋体"/>
          <w:color w:val="auto"/>
          <w:sz w:val="24"/>
          <w:highlight w:val="none"/>
          <w:u w:val="single"/>
          <w:lang w:val="en-US" w:eastAsia="zh-CN"/>
        </w:rPr>
        <w:t xml:space="preserve">                                </w:t>
      </w:r>
    </w:p>
    <w:p w14:paraId="6A3BE757">
      <w:pPr>
        <w:keepNext w:val="0"/>
        <w:keepLines w:val="0"/>
        <w:pageBreakBefore w:val="0"/>
        <w:widowControl w:val="0"/>
        <w:kinsoku/>
        <w:wordWrap w:val="0"/>
        <w:overflowPunct/>
        <w:topLinePunct w:val="0"/>
        <w:autoSpaceDE/>
        <w:autoSpaceDN/>
        <w:bidi w:val="0"/>
        <w:adjustRightInd/>
        <w:snapToGrid/>
        <w:spacing w:line="400" w:lineRule="atLeast"/>
        <w:ind w:firstLine="3583" w:firstLineChars="1493"/>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真：</w:t>
      </w:r>
      <w:r>
        <w:rPr>
          <w:rFonts w:hint="eastAsia" w:ascii="宋体" w:hAnsi="宋体" w:eastAsia="宋体" w:cs="宋体"/>
          <w:color w:val="auto"/>
          <w:sz w:val="24"/>
          <w:highlight w:val="none"/>
          <w:u w:val="single"/>
          <w:lang w:val="en-US" w:eastAsia="zh-CN"/>
        </w:rPr>
        <w:t xml:space="preserve">                                </w:t>
      </w:r>
    </w:p>
    <w:p w14:paraId="70755F16">
      <w:pPr>
        <w:keepNext w:val="0"/>
        <w:keepLines w:val="0"/>
        <w:pageBreakBefore w:val="0"/>
        <w:widowControl w:val="0"/>
        <w:kinsoku/>
        <w:wordWrap w:val="0"/>
        <w:overflowPunct/>
        <w:topLinePunct w:val="0"/>
        <w:autoSpaceDE/>
        <w:autoSpaceDN/>
        <w:bidi w:val="0"/>
        <w:adjustRightInd/>
        <w:snapToGrid/>
        <w:spacing w:line="400" w:lineRule="atLeast"/>
        <w:ind w:firstLine="3597" w:firstLineChars="1499"/>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p>
    <w:p w14:paraId="5506C210">
      <w:pPr>
        <w:pStyle w:val="12"/>
        <w:rPr>
          <w:rFonts w:hint="eastAsia" w:ascii="宋体" w:hAnsi="宋体" w:eastAsia="宋体" w:cs="宋体"/>
          <w:color w:val="auto"/>
          <w:sz w:val="24"/>
          <w:highlight w:val="none"/>
          <w:u w:val="single"/>
          <w:lang w:val="en-US" w:eastAsia="zh-CN"/>
        </w:rPr>
      </w:pPr>
    </w:p>
    <w:p w14:paraId="02170EA1">
      <w:pPr>
        <w:ind w:firstLine="5520" w:firstLineChars="2300"/>
        <w:rPr>
          <w:rFonts w:hint="eastAsia" w:ascii="宋体" w:hAnsi="宋体" w:cs="宋体"/>
          <w:b w:val="0"/>
          <w:bCs w:val="0"/>
          <w:color w:val="auto"/>
          <w:sz w:val="24"/>
          <w:highlight w:val="none"/>
          <w:u w:val="none"/>
          <w:lang w:val="en-US" w:eastAsia="zh-CN"/>
        </w:rPr>
      </w:pP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none"/>
          <w:lang w:val="en-US" w:eastAsia="zh-CN"/>
        </w:rPr>
        <w:t>年</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rPr>
        <w:t>月</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none"/>
          <w:lang w:val="en-US" w:eastAsia="zh-CN"/>
        </w:rPr>
        <w:t>日</w:t>
      </w:r>
    </w:p>
    <w:p w14:paraId="7AC4B81C">
      <w:pPr>
        <w:rPr>
          <w:rFonts w:hint="eastAsia" w:ascii="宋体" w:hAnsi="宋体" w:cs="宋体"/>
          <w:b w:val="0"/>
          <w:bCs w:val="0"/>
          <w:color w:val="auto"/>
          <w:sz w:val="24"/>
          <w:highlight w:val="none"/>
          <w:u w:val="none"/>
          <w:lang w:val="en-US" w:eastAsia="zh-CN"/>
        </w:rPr>
      </w:pPr>
    </w:p>
    <w:p w14:paraId="7CBE2E63">
      <w:pPr>
        <w:pStyle w:val="4"/>
        <w:keepNext w:val="0"/>
        <w:keepLines w:val="0"/>
        <w:pageBreakBefore w:val="0"/>
        <w:widowControl w:val="0"/>
        <w:numPr>
          <w:ilvl w:val="0"/>
          <w:numId w:val="0"/>
        </w:numPr>
        <w:kinsoku/>
        <w:wordWrap w:val="0"/>
        <w:overflowPunct/>
        <w:topLinePunct w:val="0"/>
        <w:autoSpaceDE/>
        <w:autoSpaceDN/>
        <w:bidi w:val="0"/>
        <w:adjustRightInd/>
        <w:snapToGrid/>
        <w:spacing w:before="0" w:beforeAutospacing="0" w:after="313" w:afterLines="100" w:afterAutospacing="0" w:line="240" w:lineRule="auto"/>
        <w:jc w:val="center"/>
        <w:textAlignment w:val="auto"/>
        <w:rPr>
          <w:rFonts w:hint="eastAsia" w:ascii="宋体" w:hAnsi="宋体" w:eastAsia="宋体" w:cs="宋体"/>
          <w:color w:val="auto"/>
          <w:sz w:val="28"/>
          <w:szCs w:val="28"/>
          <w:highlight w:val="none"/>
        </w:rPr>
      </w:pPr>
      <w:bookmarkStart w:id="455" w:name="_Toc1945"/>
      <w:bookmarkStart w:id="456" w:name="_Toc16778839"/>
      <w:bookmarkStart w:id="457" w:name="_Toc1011"/>
      <w:r>
        <w:rPr>
          <w:rFonts w:hint="eastAsia" w:ascii="宋体" w:hAnsi="宋体" w:eastAsia="宋体" w:cs="宋体"/>
          <w:b/>
          <w:bCs w:val="0"/>
          <w:color w:val="auto"/>
          <w:sz w:val="28"/>
          <w:szCs w:val="28"/>
          <w:highlight w:val="none"/>
        </w:rPr>
        <w:t>（二）投标函</w:t>
      </w:r>
      <w:bookmarkStart w:id="458" w:name="_Hlt130800501"/>
      <w:bookmarkEnd w:id="458"/>
      <w:r>
        <w:rPr>
          <w:rFonts w:hint="eastAsia" w:ascii="宋体" w:hAnsi="宋体" w:eastAsia="宋体" w:cs="宋体"/>
          <w:b/>
          <w:bCs w:val="0"/>
          <w:color w:val="auto"/>
          <w:sz w:val="28"/>
          <w:szCs w:val="28"/>
          <w:highlight w:val="none"/>
        </w:rPr>
        <w:t>附录</w:t>
      </w:r>
      <w:bookmarkEnd w:id="455"/>
      <w:bookmarkEnd w:id="456"/>
      <w:bookmarkEnd w:id="457"/>
    </w:p>
    <w:tbl>
      <w:tblPr>
        <w:tblStyle w:val="27"/>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617"/>
        <w:gridCol w:w="1456"/>
        <w:gridCol w:w="3549"/>
        <w:gridCol w:w="1211"/>
      </w:tblGrid>
      <w:tr w14:paraId="771E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top w:val="single" w:color="auto" w:sz="8" w:space="0"/>
              <w:left w:val="single" w:color="auto" w:sz="8" w:space="0"/>
            </w:tcBorders>
            <w:noWrap/>
            <w:vAlign w:val="center"/>
          </w:tcPr>
          <w:p w14:paraId="4EA692F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2617" w:type="dxa"/>
            <w:tcBorders>
              <w:top w:val="single" w:color="auto" w:sz="8" w:space="0"/>
            </w:tcBorders>
            <w:noWrap/>
            <w:vAlign w:val="center"/>
          </w:tcPr>
          <w:p w14:paraId="6A069A74">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条款名称</w:t>
            </w:r>
          </w:p>
        </w:tc>
        <w:tc>
          <w:tcPr>
            <w:tcW w:w="1456" w:type="dxa"/>
            <w:tcBorders>
              <w:top w:val="single" w:color="auto" w:sz="8" w:space="0"/>
            </w:tcBorders>
            <w:noWrap/>
            <w:vAlign w:val="center"/>
          </w:tcPr>
          <w:p w14:paraId="7A1485A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合同条款号</w:t>
            </w:r>
          </w:p>
        </w:tc>
        <w:tc>
          <w:tcPr>
            <w:tcW w:w="3549" w:type="dxa"/>
            <w:tcBorders>
              <w:top w:val="single" w:color="auto" w:sz="8" w:space="0"/>
              <w:right w:val="single" w:color="auto" w:sz="8" w:space="0"/>
            </w:tcBorders>
            <w:noWrap/>
            <w:vAlign w:val="center"/>
          </w:tcPr>
          <w:p w14:paraId="7B134817">
            <w:pPr>
              <w:pStyle w:val="39"/>
              <w:keepNext w:val="0"/>
              <w:keepLines w:val="0"/>
              <w:pageBreakBefore w:val="0"/>
              <w:widowControl w:val="0"/>
              <w:kinsoku/>
              <w:wordWrap w:val="0"/>
              <w:overflowPunct/>
              <w:topLinePunct w:val="0"/>
              <w:autoSpaceDE/>
              <w:autoSpaceDN/>
              <w:bidi w:val="0"/>
              <w:snapToGrid/>
              <w:spacing w:beforeAutospacing="0" w:afterAutospacing="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约定内容</w:t>
            </w:r>
          </w:p>
        </w:tc>
        <w:tc>
          <w:tcPr>
            <w:tcW w:w="1211" w:type="dxa"/>
            <w:tcBorders>
              <w:top w:val="single" w:color="auto" w:sz="8" w:space="0"/>
              <w:right w:val="single" w:color="auto" w:sz="8" w:space="0"/>
            </w:tcBorders>
            <w:noWrap/>
            <w:vAlign w:val="center"/>
          </w:tcPr>
          <w:p w14:paraId="364A2C5C">
            <w:pPr>
              <w:pStyle w:val="39"/>
              <w:keepNext w:val="0"/>
              <w:keepLines w:val="0"/>
              <w:pageBreakBefore w:val="0"/>
              <w:widowControl w:val="0"/>
              <w:kinsoku/>
              <w:wordWrap w:val="0"/>
              <w:overflowPunct/>
              <w:topLinePunct w:val="0"/>
              <w:autoSpaceDE/>
              <w:autoSpaceDN/>
              <w:bidi w:val="0"/>
              <w:snapToGrid/>
              <w:spacing w:beforeAutospacing="0" w:afterAutospacing="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备注</w:t>
            </w:r>
          </w:p>
        </w:tc>
      </w:tr>
      <w:tr w14:paraId="3163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1B49FC5A">
            <w:pPr>
              <w:pStyle w:val="39"/>
              <w:keepNext w:val="0"/>
              <w:keepLines w:val="0"/>
              <w:pageBreakBefore w:val="0"/>
              <w:widowControl w:val="0"/>
              <w:kinsoku/>
              <w:wordWrap w:val="0"/>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617" w:type="dxa"/>
            <w:noWrap/>
            <w:vAlign w:val="center"/>
          </w:tcPr>
          <w:p w14:paraId="6A6E350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w:t>
            </w:r>
          </w:p>
        </w:tc>
        <w:tc>
          <w:tcPr>
            <w:tcW w:w="1456" w:type="dxa"/>
            <w:noWrap/>
            <w:vAlign w:val="center"/>
          </w:tcPr>
          <w:p w14:paraId="1E12B217">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1.1.4.5</w:t>
            </w:r>
          </w:p>
        </w:tc>
        <w:tc>
          <w:tcPr>
            <w:tcW w:w="3549" w:type="dxa"/>
            <w:tcBorders>
              <w:right w:val="single" w:color="auto" w:sz="8" w:space="0"/>
            </w:tcBorders>
            <w:noWrap/>
            <w:vAlign w:val="center"/>
          </w:tcPr>
          <w:p w14:paraId="352A7AA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自实际交工日期起计算</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24个月</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211" w:type="dxa"/>
            <w:tcBorders>
              <w:right w:val="single" w:color="auto" w:sz="8" w:space="0"/>
            </w:tcBorders>
            <w:noWrap/>
            <w:vAlign w:val="center"/>
          </w:tcPr>
          <w:p w14:paraId="46775CD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7A2BF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5DB80D5D">
            <w:pPr>
              <w:pStyle w:val="39"/>
              <w:keepNext w:val="0"/>
              <w:keepLines w:val="0"/>
              <w:pageBreakBefore w:val="0"/>
              <w:widowControl w:val="0"/>
              <w:kinsoku/>
              <w:wordWrap w:val="0"/>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617" w:type="dxa"/>
            <w:noWrap/>
            <w:vAlign w:val="center"/>
          </w:tcPr>
          <w:p w14:paraId="0441C2F1">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逾期交工违约金</w:t>
            </w:r>
          </w:p>
        </w:tc>
        <w:tc>
          <w:tcPr>
            <w:tcW w:w="1456" w:type="dxa"/>
            <w:noWrap/>
            <w:vAlign w:val="center"/>
          </w:tcPr>
          <w:p w14:paraId="43ECFBAA">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3549" w:type="dxa"/>
            <w:tcBorders>
              <w:right w:val="single" w:color="auto" w:sz="8" w:space="0"/>
            </w:tcBorders>
            <w:noWrap/>
            <w:vAlign w:val="center"/>
          </w:tcPr>
          <w:p w14:paraId="56C4627D">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人民币</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元/天</w:t>
            </w:r>
          </w:p>
        </w:tc>
        <w:tc>
          <w:tcPr>
            <w:tcW w:w="1211" w:type="dxa"/>
            <w:tcBorders>
              <w:right w:val="single" w:color="auto" w:sz="8" w:space="0"/>
            </w:tcBorders>
            <w:noWrap/>
            <w:vAlign w:val="center"/>
          </w:tcPr>
          <w:p w14:paraId="6F3BB5E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21A6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16EAF24B">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617" w:type="dxa"/>
            <w:noWrap/>
            <w:vAlign w:val="center"/>
          </w:tcPr>
          <w:p w14:paraId="43BC7DA4">
            <w:pPr>
              <w:pStyle w:val="8"/>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逾期交工违约金限额</w:t>
            </w:r>
          </w:p>
        </w:tc>
        <w:tc>
          <w:tcPr>
            <w:tcW w:w="1456" w:type="dxa"/>
            <w:noWrap/>
            <w:vAlign w:val="center"/>
          </w:tcPr>
          <w:p w14:paraId="369F0E7B">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3549" w:type="dxa"/>
            <w:tcBorders>
              <w:right w:val="single" w:color="auto" w:sz="8" w:space="0"/>
            </w:tcBorders>
            <w:noWrap/>
            <w:vAlign w:val="center"/>
          </w:tcPr>
          <w:p w14:paraId="3E39D379">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%签约合同价</w:t>
            </w:r>
          </w:p>
        </w:tc>
        <w:tc>
          <w:tcPr>
            <w:tcW w:w="1211" w:type="dxa"/>
            <w:tcBorders>
              <w:right w:val="single" w:color="auto" w:sz="8" w:space="0"/>
            </w:tcBorders>
            <w:noWrap/>
            <w:vAlign w:val="center"/>
          </w:tcPr>
          <w:p w14:paraId="57AC92A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5F56A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7E447B1D">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617" w:type="dxa"/>
            <w:noWrap/>
            <w:vAlign w:val="center"/>
          </w:tcPr>
          <w:p w14:paraId="4D0870FD">
            <w:pPr>
              <w:pStyle w:val="8"/>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提前交工的奖金</w:t>
            </w:r>
          </w:p>
        </w:tc>
        <w:tc>
          <w:tcPr>
            <w:tcW w:w="1456" w:type="dxa"/>
            <w:noWrap/>
            <w:vAlign w:val="center"/>
          </w:tcPr>
          <w:p w14:paraId="35FA1320">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w:t>
            </w:r>
          </w:p>
        </w:tc>
        <w:tc>
          <w:tcPr>
            <w:tcW w:w="3549" w:type="dxa"/>
            <w:tcBorders>
              <w:right w:val="single" w:color="auto" w:sz="8" w:space="0"/>
            </w:tcBorders>
            <w:noWrap/>
            <w:vAlign w:val="center"/>
          </w:tcPr>
          <w:p w14:paraId="321B8403">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不适用</w:t>
            </w:r>
          </w:p>
        </w:tc>
        <w:tc>
          <w:tcPr>
            <w:tcW w:w="1211" w:type="dxa"/>
            <w:tcBorders>
              <w:right w:val="single" w:color="auto" w:sz="8" w:space="0"/>
            </w:tcBorders>
            <w:noWrap/>
            <w:vAlign w:val="center"/>
          </w:tcPr>
          <w:p w14:paraId="469F8F0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3178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46110906">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617" w:type="dxa"/>
            <w:noWrap/>
            <w:vAlign w:val="center"/>
          </w:tcPr>
          <w:p w14:paraId="4E7FF1B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提前交工的奖金限额</w:t>
            </w:r>
          </w:p>
        </w:tc>
        <w:tc>
          <w:tcPr>
            <w:tcW w:w="1456" w:type="dxa"/>
            <w:noWrap/>
            <w:vAlign w:val="center"/>
          </w:tcPr>
          <w:p w14:paraId="2B904B3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w:t>
            </w:r>
          </w:p>
        </w:tc>
        <w:tc>
          <w:tcPr>
            <w:tcW w:w="3549" w:type="dxa"/>
            <w:tcBorders>
              <w:right w:val="single" w:color="auto" w:sz="8" w:space="0"/>
            </w:tcBorders>
            <w:noWrap/>
            <w:vAlign w:val="center"/>
          </w:tcPr>
          <w:p w14:paraId="175E614C">
            <w:pPr>
              <w:keepNext w:val="0"/>
              <w:keepLines w:val="0"/>
              <w:pageBreakBefore w:val="0"/>
              <w:widowControl w:val="0"/>
              <w:kinsoku/>
              <w:wordWrap w:val="0"/>
              <w:overflowPunct/>
              <w:topLinePunct w:val="0"/>
              <w:autoSpaceDE/>
              <w:autoSpaceDN/>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不适用</w:t>
            </w:r>
          </w:p>
        </w:tc>
        <w:tc>
          <w:tcPr>
            <w:tcW w:w="1211" w:type="dxa"/>
            <w:tcBorders>
              <w:right w:val="single" w:color="auto" w:sz="8" w:space="0"/>
            </w:tcBorders>
            <w:noWrap/>
            <w:vAlign w:val="center"/>
          </w:tcPr>
          <w:p w14:paraId="7F0EC903">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4EBB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57C8E89D">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617" w:type="dxa"/>
            <w:noWrap/>
            <w:vAlign w:val="center"/>
          </w:tcPr>
          <w:p w14:paraId="683F5E9B">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价格调整的差额计算</w:t>
            </w:r>
          </w:p>
        </w:tc>
        <w:tc>
          <w:tcPr>
            <w:tcW w:w="1456" w:type="dxa"/>
            <w:noWrap/>
            <w:vAlign w:val="center"/>
          </w:tcPr>
          <w:p w14:paraId="3F0284EB">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w:t>
            </w:r>
          </w:p>
        </w:tc>
        <w:tc>
          <w:tcPr>
            <w:tcW w:w="3549" w:type="dxa"/>
            <w:tcBorders>
              <w:right w:val="single" w:color="auto" w:sz="8" w:space="0"/>
            </w:tcBorders>
            <w:noWrap/>
            <w:vAlign w:val="center"/>
          </w:tcPr>
          <w:p w14:paraId="71AC1E5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lang w:eastAsia="zh-CN"/>
              </w:rPr>
            </w:pPr>
            <w:bookmarkStart w:id="459" w:name="_Hlt130800536"/>
            <w:bookmarkEnd w:id="459"/>
            <w:r>
              <w:rPr>
                <w:rFonts w:hint="eastAsia" w:ascii="宋体" w:hAnsi="宋体" w:cs="宋体"/>
                <w:color w:val="auto"/>
                <w:szCs w:val="21"/>
                <w:highlight w:val="none"/>
                <w:lang w:eastAsia="zh-CN"/>
              </w:rPr>
              <w:t>不适用</w:t>
            </w:r>
          </w:p>
        </w:tc>
        <w:tc>
          <w:tcPr>
            <w:tcW w:w="1211" w:type="dxa"/>
            <w:tcBorders>
              <w:right w:val="single" w:color="auto" w:sz="8" w:space="0"/>
            </w:tcBorders>
            <w:noWrap/>
            <w:vAlign w:val="center"/>
          </w:tcPr>
          <w:p w14:paraId="744F731F">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396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01504C05">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617" w:type="dxa"/>
            <w:noWrap/>
            <w:vAlign w:val="center"/>
          </w:tcPr>
          <w:p w14:paraId="75A4D9E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开工预付款金额</w:t>
            </w:r>
          </w:p>
        </w:tc>
        <w:tc>
          <w:tcPr>
            <w:tcW w:w="1456" w:type="dxa"/>
            <w:noWrap/>
            <w:vAlign w:val="center"/>
          </w:tcPr>
          <w:p w14:paraId="1D982092">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17.2.1</w:t>
            </w:r>
          </w:p>
        </w:tc>
        <w:tc>
          <w:tcPr>
            <w:tcW w:w="3549" w:type="dxa"/>
            <w:tcBorders>
              <w:right w:val="single" w:color="auto" w:sz="8" w:space="0"/>
            </w:tcBorders>
            <w:noWrap/>
            <w:vAlign w:val="center"/>
          </w:tcPr>
          <w:p w14:paraId="09932D9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bookmarkStart w:id="460" w:name="_Hlt130800716"/>
            <w:bookmarkEnd w:id="460"/>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%签约合同价</w:t>
            </w:r>
          </w:p>
        </w:tc>
        <w:tc>
          <w:tcPr>
            <w:tcW w:w="1211" w:type="dxa"/>
            <w:tcBorders>
              <w:right w:val="single" w:color="auto" w:sz="8" w:space="0"/>
            </w:tcBorders>
            <w:noWrap/>
            <w:vAlign w:val="center"/>
          </w:tcPr>
          <w:p w14:paraId="1ACFBA59">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3FA9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56EC1915">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617" w:type="dxa"/>
            <w:noWrap/>
            <w:vAlign w:val="center"/>
          </w:tcPr>
          <w:p w14:paraId="18ED1F5E">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材料、设备预付款比例</w:t>
            </w:r>
          </w:p>
        </w:tc>
        <w:tc>
          <w:tcPr>
            <w:tcW w:w="1456" w:type="dxa"/>
            <w:noWrap/>
            <w:vAlign w:val="center"/>
          </w:tcPr>
          <w:p w14:paraId="42EE436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17.2.1</w:t>
            </w:r>
          </w:p>
        </w:tc>
        <w:tc>
          <w:tcPr>
            <w:tcW w:w="3549" w:type="dxa"/>
            <w:tcBorders>
              <w:right w:val="single" w:color="auto" w:sz="8" w:space="0"/>
            </w:tcBorders>
            <w:noWrap/>
            <w:vAlign w:val="center"/>
          </w:tcPr>
          <w:p w14:paraId="7AE6CEC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等</w:t>
            </w:r>
            <w:r>
              <w:rPr>
                <w:rFonts w:hint="eastAsia" w:ascii="宋体" w:hAnsi="宋体" w:eastAsia="宋体" w:cs="宋体"/>
                <w:color w:val="auto"/>
                <w:szCs w:val="21"/>
                <w:highlight w:val="none"/>
                <w:u w:val="none"/>
              </w:rPr>
              <w:t>主要</w:t>
            </w:r>
            <w:r>
              <w:rPr>
                <w:rFonts w:hint="eastAsia" w:ascii="宋体" w:hAnsi="宋体" w:eastAsia="宋体" w:cs="宋体"/>
                <w:color w:val="auto"/>
                <w:szCs w:val="21"/>
                <w:highlight w:val="none"/>
              </w:rPr>
              <w:t>材料、设备单据所列费用的</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tc>
        <w:tc>
          <w:tcPr>
            <w:tcW w:w="1211" w:type="dxa"/>
            <w:tcBorders>
              <w:right w:val="single" w:color="auto" w:sz="8" w:space="0"/>
            </w:tcBorders>
            <w:noWrap/>
            <w:vAlign w:val="center"/>
          </w:tcPr>
          <w:p w14:paraId="116C57CE">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0B02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18C30159">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617" w:type="dxa"/>
            <w:noWrap/>
            <w:vAlign w:val="center"/>
          </w:tcPr>
          <w:p w14:paraId="63DDCC1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进度付款证书最低限额</w:t>
            </w:r>
          </w:p>
        </w:tc>
        <w:tc>
          <w:tcPr>
            <w:tcW w:w="1456" w:type="dxa"/>
            <w:noWrap/>
            <w:vAlign w:val="center"/>
          </w:tcPr>
          <w:p w14:paraId="3EAEE3A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17.3.3</w:t>
            </w:r>
          </w:p>
        </w:tc>
        <w:tc>
          <w:tcPr>
            <w:tcW w:w="3549" w:type="dxa"/>
            <w:tcBorders>
              <w:right w:val="single" w:color="auto" w:sz="8" w:space="0"/>
            </w:tcBorders>
            <w:noWrap/>
            <w:vAlign w:val="center"/>
          </w:tcPr>
          <w:p w14:paraId="2D4761A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w:t>
            </w:r>
          </w:p>
        </w:tc>
        <w:tc>
          <w:tcPr>
            <w:tcW w:w="1211" w:type="dxa"/>
            <w:tcBorders>
              <w:right w:val="single" w:color="auto" w:sz="8" w:space="0"/>
            </w:tcBorders>
            <w:noWrap/>
            <w:vAlign w:val="center"/>
          </w:tcPr>
          <w:p w14:paraId="2868099C">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2E3DF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4CB74EB6">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617" w:type="dxa"/>
            <w:noWrap/>
            <w:vAlign w:val="center"/>
          </w:tcPr>
          <w:p w14:paraId="7E02B75E">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逾期付款违约金的利率</w:t>
            </w:r>
          </w:p>
        </w:tc>
        <w:tc>
          <w:tcPr>
            <w:tcW w:w="1456" w:type="dxa"/>
            <w:noWrap/>
            <w:vAlign w:val="center"/>
          </w:tcPr>
          <w:p w14:paraId="22625A5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17.3.3</w:t>
            </w:r>
          </w:p>
        </w:tc>
        <w:tc>
          <w:tcPr>
            <w:tcW w:w="3549" w:type="dxa"/>
            <w:tcBorders>
              <w:right w:val="single" w:color="auto" w:sz="8" w:space="0"/>
            </w:tcBorders>
            <w:noWrap/>
            <w:vAlign w:val="center"/>
          </w:tcPr>
          <w:p w14:paraId="6516F3B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按同期贷款市场报价利率（LPR）一年期利率计算</w:t>
            </w:r>
          </w:p>
        </w:tc>
        <w:tc>
          <w:tcPr>
            <w:tcW w:w="1211" w:type="dxa"/>
            <w:tcBorders>
              <w:right w:val="single" w:color="auto" w:sz="8" w:space="0"/>
            </w:tcBorders>
            <w:noWrap/>
            <w:vAlign w:val="center"/>
          </w:tcPr>
          <w:p w14:paraId="0B643D62">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1EA1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6CB3F05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617" w:type="dxa"/>
            <w:noWrap/>
            <w:vAlign w:val="center"/>
          </w:tcPr>
          <w:p w14:paraId="7B818B48">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质量保证金金额</w:t>
            </w:r>
          </w:p>
        </w:tc>
        <w:tc>
          <w:tcPr>
            <w:tcW w:w="1456" w:type="dxa"/>
            <w:noWrap/>
            <w:vAlign w:val="center"/>
          </w:tcPr>
          <w:p w14:paraId="131AD2A0">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17.4.1</w:t>
            </w:r>
          </w:p>
        </w:tc>
        <w:tc>
          <w:tcPr>
            <w:tcW w:w="3549" w:type="dxa"/>
            <w:tcBorders>
              <w:right w:val="single" w:color="auto" w:sz="8" w:space="0"/>
            </w:tcBorders>
            <w:noWrap/>
            <w:vAlign w:val="center"/>
          </w:tcPr>
          <w:p w14:paraId="2B2D67F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3</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%合同价格</w:t>
            </w:r>
          </w:p>
        </w:tc>
        <w:tc>
          <w:tcPr>
            <w:tcW w:w="1211" w:type="dxa"/>
            <w:tcBorders>
              <w:right w:val="single" w:color="auto" w:sz="8" w:space="0"/>
            </w:tcBorders>
            <w:noWrap/>
            <w:vAlign w:val="center"/>
          </w:tcPr>
          <w:p w14:paraId="6B678B42">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361B4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4B15FCF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617" w:type="dxa"/>
            <w:noWrap/>
            <w:vAlign w:val="center"/>
          </w:tcPr>
          <w:p w14:paraId="217BDFB7">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保修期</w:t>
            </w:r>
          </w:p>
        </w:tc>
        <w:tc>
          <w:tcPr>
            <w:tcW w:w="1456" w:type="dxa"/>
            <w:noWrap/>
            <w:vAlign w:val="center"/>
          </w:tcPr>
          <w:p w14:paraId="596BCB1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19.7</w:t>
            </w:r>
          </w:p>
        </w:tc>
        <w:tc>
          <w:tcPr>
            <w:tcW w:w="3549" w:type="dxa"/>
            <w:tcBorders>
              <w:right w:val="single" w:color="auto" w:sz="8" w:space="0"/>
            </w:tcBorders>
            <w:noWrap/>
            <w:vAlign w:val="center"/>
          </w:tcPr>
          <w:p w14:paraId="7906C09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不适用</w:t>
            </w:r>
          </w:p>
        </w:tc>
        <w:tc>
          <w:tcPr>
            <w:tcW w:w="1211" w:type="dxa"/>
            <w:tcBorders>
              <w:right w:val="single" w:color="auto" w:sz="8" w:space="0"/>
            </w:tcBorders>
            <w:noWrap/>
            <w:vAlign w:val="center"/>
          </w:tcPr>
          <w:p w14:paraId="4C063FC6">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bl>
    <w:p w14:paraId="23F38669">
      <w:pPr>
        <w:keepNext w:val="0"/>
        <w:keepLines w:val="0"/>
        <w:pageBreakBefore w:val="0"/>
        <w:widowControl w:val="0"/>
        <w:kinsoku/>
        <w:wordWrap w:val="0"/>
        <w:overflowPunct/>
        <w:topLinePunct w:val="0"/>
        <w:autoSpaceDE/>
        <w:autoSpaceDN/>
        <w:bidi w:val="0"/>
        <w:adjustRightInd w:val="0"/>
        <w:snapToGrid/>
        <w:spacing w:line="560" w:lineRule="exact"/>
        <w:ind w:right="420"/>
        <w:rPr>
          <w:rFonts w:ascii="宋体" w:hAnsi="宋体" w:cs="宋体"/>
          <w:color w:val="auto"/>
          <w:kern w:val="0"/>
          <w:sz w:val="24"/>
          <w:highlight w:val="none"/>
        </w:rPr>
      </w:pPr>
    </w:p>
    <w:p w14:paraId="50C3D8EC">
      <w:pPr>
        <w:pStyle w:val="12"/>
        <w:rPr>
          <w:rFonts w:hint="default"/>
          <w:color w:val="auto"/>
          <w:highlight w:val="none"/>
          <w:lang w:val="en-US"/>
        </w:rPr>
      </w:pPr>
    </w:p>
    <w:p w14:paraId="7DF2B2DF">
      <w:pPr>
        <w:rPr>
          <w:rFonts w:hint="default"/>
          <w:color w:val="auto"/>
          <w:highlight w:val="none"/>
          <w:lang w:val="en-US"/>
        </w:rPr>
      </w:pPr>
    </w:p>
    <w:p w14:paraId="20756858">
      <w:pPr>
        <w:pStyle w:val="12"/>
        <w:rPr>
          <w:rFonts w:hint="default"/>
          <w:color w:val="auto"/>
          <w:highlight w:val="none"/>
          <w:lang w:val="en-US"/>
        </w:rPr>
      </w:pPr>
    </w:p>
    <w:p w14:paraId="6996D338">
      <w:pPr>
        <w:rPr>
          <w:rFonts w:hint="default"/>
          <w:color w:val="auto"/>
          <w:highlight w:val="none"/>
          <w:lang w:val="en-US"/>
        </w:rPr>
      </w:pPr>
    </w:p>
    <w:p w14:paraId="73B9750B">
      <w:pPr>
        <w:pStyle w:val="12"/>
        <w:rPr>
          <w:rFonts w:hint="default"/>
          <w:color w:val="auto"/>
          <w:highlight w:val="none"/>
          <w:lang w:val="en-US"/>
        </w:rPr>
      </w:pPr>
    </w:p>
    <w:p w14:paraId="668E0C49">
      <w:pPr>
        <w:rPr>
          <w:rFonts w:hint="default"/>
          <w:color w:val="auto"/>
          <w:highlight w:val="none"/>
          <w:lang w:val="en-US"/>
        </w:rPr>
      </w:pPr>
    </w:p>
    <w:p w14:paraId="0BF6351E">
      <w:pPr>
        <w:pStyle w:val="12"/>
        <w:rPr>
          <w:rFonts w:hint="default"/>
          <w:color w:val="auto"/>
          <w:highlight w:val="none"/>
          <w:lang w:val="en-US"/>
        </w:rPr>
      </w:pPr>
    </w:p>
    <w:p w14:paraId="58E62578">
      <w:pPr>
        <w:rPr>
          <w:rFonts w:hint="default"/>
          <w:color w:val="auto"/>
          <w:highlight w:val="none"/>
          <w:lang w:val="en-US"/>
        </w:rPr>
      </w:pPr>
    </w:p>
    <w:p w14:paraId="2B047D6E">
      <w:pPr>
        <w:pStyle w:val="12"/>
        <w:rPr>
          <w:rFonts w:hint="default"/>
          <w:color w:val="auto"/>
          <w:highlight w:val="none"/>
          <w:lang w:val="en-US"/>
        </w:rPr>
      </w:pPr>
    </w:p>
    <w:p w14:paraId="4FC63EC8">
      <w:pPr>
        <w:rPr>
          <w:rFonts w:hint="default"/>
          <w:color w:val="auto"/>
          <w:highlight w:val="none"/>
          <w:lang w:val="en-US"/>
        </w:rPr>
      </w:pPr>
    </w:p>
    <w:p w14:paraId="475694EF">
      <w:pPr>
        <w:pStyle w:val="12"/>
        <w:rPr>
          <w:rFonts w:hint="default"/>
          <w:color w:val="auto"/>
          <w:highlight w:val="none"/>
          <w:lang w:val="en-US"/>
        </w:rPr>
      </w:pPr>
    </w:p>
    <w:p w14:paraId="0FD83237">
      <w:pPr>
        <w:rPr>
          <w:rFonts w:hint="default"/>
          <w:color w:val="auto"/>
          <w:highlight w:val="none"/>
          <w:lang w:val="en-US"/>
        </w:rPr>
      </w:pPr>
    </w:p>
    <w:p w14:paraId="2A047E09">
      <w:pPr>
        <w:pStyle w:val="12"/>
        <w:rPr>
          <w:rFonts w:hint="default"/>
          <w:color w:val="auto"/>
          <w:highlight w:val="none"/>
          <w:lang w:val="en-US"/>
        </w:rPr>
      </w:pPr>
    </w:p>
    <w:p w14:paraId="17F87D5E">
      <w:pPr>
        <w:pStyle w:val="12"/>
        <w:ind w:left="0" w:leftChars="0" w:firstLine="0" w:firstLineChars="0"/>
        <w:rPr>
          <w:rFonts w:hint="default"/>
          <w:color w:val="auto"/>
          <w:highlight w:val="none"/>
          <w:lang w:val="en-US"/>
        </w:rPr>
      </w:pPr>
    </w:p>
    <w:p w14:paraId="62FA1B92">
      <w:pPr>
        <w:keepNext w:val="0"/>
        <w:keepLines w:val="0"/>
        <w:pageBreakBefore w:val="0"/>
        <w:widowControl w:val="0"/>
        <w:kinsoku/>
        <w:wordWrap w:val="0"/>
        <w:overflowPunct/>
        <w:topLinePunct w:val="0"/>
        <w:autoSpaceDE/>
        <w:autoSpaceDN/>
        <w:bidi w:val="0"/>
        <w:snapToGrid/>
        <w:jc w:val="center"/>
        <w:outlineLvl w:val="1"/>
        <w:rPr>
          <w:rFonts w:hint="eastAsia" w:ascii="宋体" w:hAnsi="宋体" w:eastAsia="宋体" w:cs="宋体"/>
          <w:b/>
          <w:bCs/>
          <w:color w:val="auto"/>
          <w:sz w:val="30"/>
          <w:szCs w:val="30"/>
          <w:highlight w:val="none"/>
        </w:rPr>
      </w:pPr>
      <w:bookmarkStart w:id="461" w:name="_Toc535"/>
      <w:r>
        <w:rPr>
          <w:rFonts w:hint="eastAsia" w:ascii="宋体" w:hAnsi="宋体" w:eastAsia="宋体" w:cs="宋体"/>
          <w:b/>
          <w:bCs/>
          <w:color w:val="auto"/>
          <w:sz w:val="30"/>
          <w:szCs w:val="30"/>
          <w:highlight w:val="none"/>
        </w:rPr>
        <w:t>二、授权委托书或法定代表人身份证明</w:t>
      </w:r>
      <w:bookmarkEnd w:id="461"/>
    </w:p>
    <w:p w14:paraId="70990DA9">
      <w:pPr>
        <w:pStyle w:val="3"/>
        <w:keepNext w:val="0"/>
        <w:keepLines w:val="0"/>
        <w:pageBreakBefore w:val="0"/>
        <w:widowControl w:val="0"/>
        <w:numPr>
          <w:ilvl w:val="1"/>
          <w:numId w:val="0"/>
        </w:numPr>
        <w:kinsoku/>
        <w:wordWrap w:val="0"/>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color w:val="auto"/>
          <w:sz w:val="28"/>
          <w:szCs w:val="28"/>
          <w:highlight w:val="none"/>
        </w:rPr>
      </w:pPr>
      <w:bookmarkStart w:id="462" w:name="_Toc27211"/>
      <w:bookmarkStart w:id="463" w:name="_Toc22619"/>
      <w:bookmarkStart w:id="464" w:name="_Toc16778840"/>
      <w:r>
        <w:rPr>
          <w:rFonts w:hint="eastAsia" w:ascii="宋体" w:hAnsi="宋体" w:eastAsia="宋体" w:cs="宋体"/>
          <w:b/>
          <w:bCs/>
          <w:color w:val="auto"/>
          <w:sz w:val="28"/>
          <w:szCs w:val="28"/>
          <w:highlight w:val="none"/>
        </w:rPr>
        <w:t>（一）授权委托书</w:t>
      </w:r>
      <w:bookmarkEnd w:id="462"/>
      <w:bookmarkEnd w:id="463"/>
      <w:bookmarkEnd w:id="464"/>
    </w:p>
    <w:p w14:paraId="63A2FE9F">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（投标人名称）的法定代表人，现委托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（姓名）为我方代理人。代理人根据授权，以我方名义签署、澄清确认、递交、撤回、修改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标段施工投标文件、签订合同和处理有关事宜，其法律后果由我方承担。</w:t>
      </w:r>
    </w:p>
    <w:p w14:paraId="60577B2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委托期限：自本委托书签署之日起至投标有效期期满。</w:t>
      </w:r>
    </w:p>
    <w:p w14:paraId="084F7A0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2EC3138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67BB10F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附：法定代表人身份证复印件及委托代理人身份证复印件。</w:t>
      </w:r>
    </w:p>
    <w:p w14:paraId="57BE56AA">
      <w:pPr>
        <w:pStyle w:val="12"/>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3BCF2252">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3B3A4D19">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（盖单位章）</w:t>
      </w:r>
    </w:p>
    <w:p w14:paraId="22969DDD">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362E1269">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p>
    <w:p w14:paraId="36D4DDA9">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（签字）</w:t>
      </w:r>
    </w:p>
    <w:p w14:paraId="641D91FE">
      <w:pPr>
        <w:keepNext w:val="0"/>
        <w:keepLines w:val="0"/>
        <w:pageBreakBefore w:val="0"/>
        <w:widowControl w:val="0"/>
        <w:kinsoku/>
        <w:wordWrap w:val="0"/>
        <w:overflowPunct/>
        <w:topLinePunct w:val="0"/>
        <w:autoSpaceDE/>
        <w:autoSpaceDN/>
        <w:bidi w:val="0"/>
        <w:adjustRightInd/>
        <w:snapToGrid/>
        <w:spacing w:line="360" w:lineRule="auto"/>
        <w:ind w:firstLine="4320" w:firstLineChars="18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lang w:val="en-US" w:eastAsia="zh-CN"/>
        </w:rPr>
        <w:t xml:space="preserve">                            </w:t>
      </w:r>
    </w:p>
    <w:p w14:paraId="4D7FB700">
      <w:pPr>
        <w:keepNext w:val="0"/>
        <w:keepLines w:val="0"/>
        <w:pageBreakBefore w:val="0"/>
        <w:widowControl w:val="0"/>
        <w:kinsoku/>
        <w:wordWrap w:val="0"/>
        <w:overflowPunct/>
        <w:topLinePunct w:val="0"/>
        <w:autoSpaceDE/>
        <w:autoSpaceDN/>
        <w:bidi w:val="0"/>
        <w:adjustRightInd/>
        <w:snapToGrid/>
        <w:spacing w:before="313" w:beforeLines="100" w:line="360" w:lineRule="auto"/>
        <w:jc w:val="center"/>
        <w:textAlignment w:val="auto"/>
        <w:rPr>
          <w:rFonts w:hint="eastAsia" w:ascii="宋体" w:hAnsi="宋体" w:eastAsia="宋体" w:cs="宋体"/>
          <w:color w:val="auto"/>
          <w:sz w:val="24"/>
          <w:highlight w:val="none"/>
        </w:rPr>
      </w:pP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5206039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5F238A4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p>
    <w:p w14:paraId="4E275DE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5073951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1.法定代表人和委托代理人必须在授权委托书上亲笔签名，不得使用印章、签名章或其他电子制版签名代替；</w:t>
      </w:r>
    </w:p>
    <w:p w14:paraId="0BCE1BA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2.如果由投标人的法定代表人签署投标文件，则无须提交授权委托书。</w:t>
      </w:r>
    </w:p>
    <w:p w14:paraId="07C8D72F">
      <w:pPr>
        <w:pStyle w:val="12"/>
        <w:rPr>
          <w:rFonts w:hint="eastAsia" w:ascii="宋体" w:hAnsi="宋体" w:eastAsia="宋体" w:cs="宋体"/>
          <w:color w:val="auto"/>
          <w:sz w:val="21"/>
          <w:szCs w:val="21"/>
          <w:highlight w:val="none"/>
        </w:rPr>
      </w:pPr>
    </w:p>
    <w:p w14:paraId="115B0636">
      <w:pPr>
        <w:rPr>
          <w:rFonts w:hint="eastAsia" w:ascii="宋体" w:hAnsi="宋体" w:eastAsia="宋体" w:cs="宋体"/>
          <w:color w:val="auto"/>
          <w:sz w:val="21"/>
          <w:szCs w:val="21"/>
          <w:highlight w:val="none"/>
        </w:rPr>
      </w:pPr>
    </w:p>
    <w:p w14:paraId="59E9D676">
      <w:pPr>
        <w:pStyle w:val="12"/>
        <w:rPr>
          <w:rFonts w:hint="eastAsia" w:ascii="宋体" w:hAnsi="宋体" w:eastAsia="宋体" w:cs="宋体"/>
          <w:color w:val="auto"/>
          <w:sz w:val="21"/>
          <w:szCs w:val="21"/>
          <w:highlight w:val="none"/>
        </w:rPr>
      </w:pPr>
    </w:p>
    <w:p w14:paraId="4F8877EC">
      <w:pPr>
        <w:rPr>
          <w:rFonts w:hint="eastAsia" w:ascii="宋体" w:hAnsi="宋体" w:eastAsia="宋体" w:cs="宋体"/>
          <w:color w:val="auto"/>
          <w:sz w:val="21"/>
          <w:szCs w:val="21"/>
          <w:highlight w:val="none"/>
        </w:rPr>
      </w:pPr>
    </w:p>
    <w:p w14:paraId="2747ABA8">
      <w:pPr>
        <w:pStyle w:val="12"/>
        <w:rPr>
          <w:rFonts w:hint="eastAsia" w:ascii="宋体" w:hAnsi="宋体" w:eastAsia="宋体" w:cs="宋体"/>
          <w:color w:val="auto"/>
          <w:sz w:val="21"/>
          <w:szCs w:val="21"/>
          <w:highlight w:val="none"/>
        </w:rPr>
      </w:pPr>
    </w:p>
    <w:p w14:paraId="71F9D40A">
      <w:pPr>
        <w:pStyle w:val="12"/>
        <w:ind w:left="0" w:leftChars="0" w:firstLine="0" w:firstLineChars="0"/>
        <w:rPr>
          <w:rFonts w:hint="eastAsia" w:ascii="宋体" w:hAnsi="宋体" w:eastAsia="宋体" w:cs="宋体"/>
          <w:color w:val="auto"/>
          <w:sz w:val="21"/>
          <w:szCs w:val="21"/>
          <w:highlight w:val="none"/>
        </w:rPr>
      </w:pPr>
    </w:p>
    <w:p w14:paraId="3CEC2953">
      <w:pPr>
        <w:pStyle w:val="3"/>
        <w:keepNext w:val="0"/>
        <w:keepLines w:val="0"/>
        <w:pageBreakBefore w:val="0"/>
        <w:widowControl w:val="0"/>
        <w:numPr>
          <w:ilvl w:val="1"/>
          <w:numId w:val="0"/>
        </w:numPr>
        <w:kinsoku/>
        <w:wordWrap w:val="0"/>
        <w:overflowPunct/>
        <w:topLinePunct w:val="0"/>
        <w:autoSpaceDE/>
        <w:autoSpaceDN/>
        <w:bidi w:val="0"/>
        <w:snapToGrid/>
        <w:jc w:val="center"/>
        <w:rPr>
          <w:rFonts w:hint="eastAsia" w:ascii="宋体" w:hAnsi="宋体" w:eastAsia="宋体" w:cs="宋体"/>
          <w:color w:val="auto"/>
          <w:szCs w:val="21"/>
          <w:highlight w:val="none"/>
        </w:rPr>
      </w:pPr>
      <w:bookmarkStart w:id="465" w:name="_Toc20164"/>
      <w:bookmarkStart w:id="466" w:name="_Toc17797"/>
      <w:bookmarkStart w:id="467" w:name="_Toc16778841"/>
      <w:r>
        <w:rPr>
          <w:rFonts w:hint="eastAsia" w:ascii="宋体" w:hAnsi="宋体" w:eastAsia="宋体" w:cs="宋体"/>
          <w:b/>
          <w:bCs/>
          <w:color w:val="auto"/>
          <w:sz w:val="28"/>
          <w:szCs w:val="28"/>
          <w:highlight w:val="none"/>
        </w:rPr>
        <w:t>（二）法定代表人身份证明</w:t>
      </w:r>
      <w:bookmarkEnd w:id="465"/>
      <w:bookmarkEnd w:id="466"/>
      <w:bookmarkEnd w:id="467"/>
    </w:p>
    <w:p w14:paraId="5F31DA8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lang w:val="en-US" w:eastAsia="zh-CN"/>
        </w:rPr>
        <w:t xml:space="preserve">                  </w:t>
      </w:r>
    </w:p>
    <w:p w14:paraId="63B07C0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（法定代表人亲笔签字）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p>
    <w:p w14:paraId="2D65933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（投标人名称）的法定代表人。</w:t>
      </w:r>
    </w:p>
    <w:p w14:paraId="37E4DCD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111633EB">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42F3911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附：法定代表人身份证复印件。</w:t>
      </w:r>
    </w:p>
    <w:p w14:paraId="5CD68541">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rPr>
      </w:pPr>
    </w:p>
    <w:p w14:paraId="41195E1F">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rPr>
      </w:pPr>
    </w:p>
    <w:p w14:paraId="70F3DB7B">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（盖单位章）</w:t>
      </w:r>
    </w:p>
    <w:p w14:paraId="49BDFD12">
      <w:pPr>
        <w:keepNext w:val="0"/>
        <w:keepLines w:val="0"/>
        <w:pageBreakBefore w:val="0"/>
        <w:widowControl w:val="0"/>
        <w:kinsoku/>
        <w:wordWrap w:val="0"/>
        <w:overflowPunct/>
        <w:topLinePunct w:val="0"/>
        <w:autoSpaceDE/>
        <w:autoSpaceDN/>
        <w:bidi w:val="0"/>
        <w:adjustRightInd/>
        <w:snapToGrid/>
        <w:spacing w:before="313" w:beforeLines="100" w:line="360" w:lineRule="auto"/>
        <w:jc w:val="center"/>
        <w:textAlignment w:val="auto"/>
        <w:rPr>
          <w:rFonts w:hint="eastAsia" w:ascii="宋体" w:hAnsi="宋体" w:eastAsia="宋体" w:cs="宋体"/>
          <w:color w:val="auto"/>
          <w:sz w:val="24"/>
          <w:highlight w:val="none"/>
        </w:rPr>
      </w:pP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343A2B52">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3678690A">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11B724E9">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0D78EB92">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2AE6379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注：法定代表人的签字必须是亲笔签名，不得使用印章、签名章或其他电子制版签名代替。</w:t>
      </w:r>
    </w:p>
    <w:p w14:paraId="45606D18">
      <w:pPr>
        <w:pStyle w:val="12"/>
        <w:rPr>
          <w:rFonts w:hint="eastAsia" w:ascii="宋体" w:hAnsi="宋体" w:eastAsia="宋体" w:cs="宋体"/>
          <w:color w:val="auto"/>
          <w:sz w:val="21"/>
          <w:szCs w:val="21"/>
          <w:highlight w:val="none"/>
        </w:rPr>
      </w:pPr>
    </w:p>
    <w:p w14:paraId="213C4C74">
      <w:pPr>
        <w:rPr>
          <w:rFonts w:hint="eastAsia" w:ascii="宋体" w:hAnsi="宋体" w:eastAsia="宋体" w:cs="宋体"/>
          <w:color w:val="auto"/>
          <w:sz w:val="21"/>
          <w:szCs w:val="21"/>
          <w:highlight w:val="none"/>
        </w:rPr>
      </w:pPr>
    </w:p>
    <w:p w14:paraId="519891B4">
      <w:pPr>
        <w:pStyle w:val="12"/>
        <w:rPr>
          <w:rFonts w:hint="eastAsia" w:ascii="宋体" w:hAnsi="宋体" w:eastAsia="宋体" w:cs="宋体"/>
          <w:color w:val="auto"/>
          <w:sz w:val="21"/>
          <w:szCs w:val="21"/>
          <w:highlight w:val="none"/>
        </w:rPr>
      </w:pPr>
    </w:p>
    <w:p w14:paraId="54CFE628">
      <w:pPr>
        <w:rPr>
          <w:rFonts w:hint="eastAsia" w:ascii="宋体" w:hAnsi="宋体" w:eastAsia="宋体" w:cs="宋体"/>
          <w:color w:val="auto"/>
          <w:sz w:val="21"/>
          <w:szCs w:val="21"/>
          <w:highlight w:val="none"/>
        </w:rPr>
      </w:pPr>
    </w:p>
    <w:p w14:paraId="55B38436">
      <w:pPr>
        <w:pStyle w:val="12"/>
        <w:rPr>
          <w:rFonts w:hint="eastAsia" w:ascii="宋体" w:hAnsi="宋体" w:eastAsia="宋体" w:cs="宋体"/>
          <w:color w:val="auto"/>
          <w:sz w:val="21"/>
          <w:szCs w:val="21"/>
          <w:highlight w:val="none"/>
        </w:rPr>
      </w:pPr>
    </w:p>
    <w:p w14:paraId="247A4BAD">
      <w:pPr>
        <w:rPr>
          <w:rFonts w:hint="eastAsia" w:ascii="宋体" w:hAnsi="宋体" w:eastAsia="宋体" w:cs="宋体"/>
          <w:color w:val="auto"/>
          <w:sz w:val="21"/>
          <w:szCs w:val="21"/>
          <w:highlight w:val="none"/>
        </w:rPr>
      </w:pPr>
    </w:p>
    <w:p w14:paraId="38E6471C">
      <w:pPr>
        <w:pStyle w:val="12"/>
        <w:rPr>
          <w:rFonts w:hint="eastAsia" w:ascii="宋体" w:hAnsi="宋体" w:eastAsia="宋体" w:cs="宋体"/>
          <w:color w:val="auto"/>
          <w:sz w:val="21"/>
          <w:szCs w:val="21"/>
          <w:highlight w:val="none"/>
        </w:rPr>
      </w:pPr>
    </w:p>
    <w:p w14:paraId="2ABA78EC">
      <w:pPr>
        <w:rPr>
          <w:rFonts w:hint="eastAsia" w:ascii="宋体" w:hAnsi="宋体" w:eastAsia="宋体" w:cs="宋体"/>
          <w:color w:val="auto"/>
          <w:sz w:val="21"/>
          <w:szCs w:val="21"/>
          <w:highlight w:val="none"/>
        </w:rPr>
      </w:pPr>
    </w:p>
    <w:p w14:paraId="57286B16">
      <w:pPr>
        <w:pStyle w:val="12"/>
        <w:rPr>
          <w:rFonts w:hint="eastAsia" w:ascii="宋体" w:hAnsi="宋体" w:eastAsia="宋体" w:cs="宋体"/>
          <w:color w:val="auto"/>
          <w:sz w:val="21"/>
          <w:szCs w:val="21"/>
          <w:highlight w:val="none"/>
        </w:rPr>
      </w:pPr>
    </w:p>
    <w:p w14:paraId="1222ABBE">
      <w:pPr>
        <w:rPr>
          <w:rFonts w:hint="eastAsia" w:ascii="宋体" w:hAnsi="宋体" w:eastAsia="宋体" w:cs="宋体"/>
          <w:color w:val="auto"/>
          <w:sz w:val="21"/>
          <w:szCs w:val="21"/>
          <w:highlight w:val="none"/>
        </w:rPr>
      </w:pPr>
    </w:p>
    <w:p w14:paraId="3223117D">
      <w:pPr>
        <w:pStyle w:val="12"/>
        <w:rPr>
          <w:rFonts w:hint="eastAsia" w:ascii="宋体" w:hAnsi="宋体" w:eastAsia="宋体" w:cs="宋体"/>
          <w:color w:val="auto"/>
          <w:sz w:val="21"/>
          <w:szCs w:val="21"/>
          <w:highlight w:val="none"/>
        </w:rPr>
      </w:pPr>
    </w:p>
    <w:p w14:paraId="504D55BC">
      <w:pPr>
        <w:rPr>
          <w:rFonts w:hint="eastAsia" w:ascii="宋体" w:hAnsi="宋体" w:eastAsia="宋体" w:cs="宋体"/>
          <w:color w:val="auto"/>
          <w:sz w:val="21"/>
          <w:szCs w:val="21"/>
          <w:highlight w:val="none"/>
        </w:rPr>
      </w:pPr>
    </w:p>
    <w:p w14:paraId="0C03AE0E">
      <w:pPr>
        <w:pStyle w:val="12"/>
        <w:rPr>
          <w:rFonts w:hint="eastAsia" w:ascii="宋体" w:hAnsi="宋体" w:eastAsia="宋体" w:cs="宋体"/>
          <w:color w:val="auto"/>
          <w:sz w:val="21"/>
          <w:szCs w:val="21"/>
          <w:highlight w:val="none"/>
        </w:rPr>
      </w:pPr>
    </w:p>
    <w:p w14:paraId="091FF966">
      <w:pPr>
        <w:rPr>
          <w:rFonts w:hint="eastAsia" w:ascii="宋体" w:hAnsi="宋体" w:eastAsia="宋体" w:cs="宋体"/>
          <w:color w:val="auto"/>
          <w:sz w:val="21"/>
          <w:szCs w:val="21"/>
          <w:highlight w:val="none"/>
        </w:rPr>
      </w:pPr>
    </w:p>
    <w:p w14:paraId="3E564357">
      <w:pPr>
        <w:pStyle w:val="12"/>
        <w:rPr>
          <w:rFonts w:hint="eastAsia" w:ascii="宋体" w:hAnsi="宋体" w:eastAsia="宋体" w:cs="宋体"/>
          <w:color w:val="auto"/>
          <w:sz w:val="21"/>
          <w:szCs w:val="21"/>
          <w:highlight w:val="none"/>
        </w:rPr>
      </w:pPr>
    </w:p>
    <w:p w14:paraId="29C1A837">
      <w:pPr>
        <w:rPr>
          <w:rFonts w:hint="eastAsia" w:ascii="宋体" w:hAnsi="宋体" w:eastAsia="宋体" w:cs="宋体"/>
          <w:color w:val="auto"/>
          <w:sz w:val="21"/>
          <w:szCs w:val="21"/>
          <w:highlight w:val="none"/>
        </w:rPr>
      </w:pPr>
    </w:p>
    <w:p w14:paraId="7C6C9DDB">
      <w:pPr>
        <w:rPr>
          <w:rFonts w:hint="eastAsia" w:ascii="宋体" w:hAnsi="宋体" w:eastAsia="宋体" w:cs="宋体"/>
          <w:color w:val="auto"/>
          <w:sz w:val="21"/>
          <w:szCs w:val="21"/>
          <w:highlight w:val="none"/>
        </w:rPr>
      </w:pPr>
    </w:p>
    <w:p w14:paraId="4D5B06F9">
      <w:pPr>
        <w:keepNext w:val="0"/>
        <w:keepLines w:val="0"/>
        <w:pageBreakBefore w:val="0"/>
        <w:widowControl w:val="0"/>
        <w:kinsoku/>
        <w:wordWrap w:val="0"/>
        <w:overflowPunct/>
        <w:topLinePunct w:val="0"/>
        <w:autoSpaceDE/>
        <w:autoSpaceDN/>
        <w:bidi w:val="0"/>
        <w:snapToGrid/>
        <w:jc w:val="center"/>
        <w:outlineLvl w:val="1"/>
        <w:rPr>
          <w:rFonts w:hint="eastAsia" w:ascii="宋体" w:hAnsi="宋体" w:eastAsia="宋体" w:cs="宋体"/>
          <w:b/>
          <w:bCs/>
          <w:color w:val="auto"/>
          <w:sz w:val="30"/>
          <w:szCs w:val="30"/>
          <w:highlight w:val="none"/>
        </w:rPr>
      </w:pPr>
      <w:bookmarkStart w:id="468" w:name="_Toc10905"/>
      <w:r>
        <w:rPr>
          <w:rFonts w:hint="eastAsia" w:ascii="宋体" w:hAnsi="宋体" w:eastAsia="宋体" w:cs="宋体"/>
          <w:b/>
          <w:bCs/>
          <w:color w:val="auto"/>
          <w:sz w:val="30"/>
          <w:szCs w:val="30"/>
          <w:highlight w:val="none"/>
          <w:lang w:eastAsia="zh-CN"/>
        </w:rPr>
        <w:t>三</w:t>
      </w:r>
      <w:r>
        <w:rPr>
          <w:rFonts w:hint="eastAsia" w:ascii="宋体" w:hAnsi="宋体" w:eastAsia="宋体" w:cs="宋体"/>
          <w:b/>
          <w:bCs/>
          <w:color w:val="auto"/>
          <w:sz w:val="30"/>
          <w:szCs w:val="30"/>
          <w:highlight w:val="none"/>
        </w:rPr>
        <w:t>、投标保证金</w:t>
      </w:r>
      <w:bookmarkEnd w:id="468"/>
    </w:p>
    <w:p w14:paraId="7D4B3AF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8"/>
          <w:szCs w:val="28"/>
          <w:highlight w:val="none"/>
        </w:rPr>
      </w:pPr>
    </w:p>
    <w:p w14:paraId="13F8E017">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（招标人名称）：</w:t>
      </w:r>
    </w:p>
    <w:p w14:paraId="0C437F45">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p>
    <w:p w14:paraId="71258D9F">
      <w:pPr>
        <w:keepNext w:val="0"/>
        <w:keepLines w:val="0"/>
        <w:pageBreakBefore w:val="0"/>
        <w:widowControl w:val="0"/>
        <w:kinsoku/>
        <w:wordWrap w:val="0"/>
        <w:overflowPunct/>
        <w:topLinePunct w:val="0"/>
        <w:autoSpaceDE/>
        <w:autoSpaceDN/>
        <w:bidi w:val="0"/>
        <w:adjustRightInd w:val="0"/>
        <w:snapToGrid/>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4C1FEC3E">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p>
    <w:p w14:paraId="3A2644D1">
      <w:pPr>
        <w:keepNext w:val="0"/>
        <w:keepLines w:val="0"/>
        <w:pageBreakBefore w:val="0"/>
        <w:widowControl w:val="0"/>
        <w:kinsoku/>
        <w:wordWrap w:val="0"/>
        <w:overflowPunct/>
        <w:topLinePunct w:val="0"/>
        <w:autoSpaceDE/>
        <w:autoSpaceDN/>
        <w:bidi w:val="0"/>
        <w:adjustRightInd w:val="0"/>
        <w:snapToGrid/>
        <w:spacing w:line="420" w:lineRule="exact"/>
        <w:jc w:val="left"/>
        <w:rPr>
          <w:rFonts w:hint="eastAsia" w:ascii="宋体" w:hAnsi="宋体" w:eastAsia="宋体" w:cs="宋体"/>
          <w:color w:val="auto"/>
          <w:kern w:val="0"/>
          <w:sz w:val="24"/>
          <w:szCs w:val="24"/>
          <w:highlight w:val="none"/>
        </w:rPr>
      </w:pPr>
    </w:p>
    <w:p w14:paraId="061BBF72">
      <w:pPr>
        <w:keepNext w:val="0"/>
        <w:keepLines w:val="0"/>
        <w:pageBreakBefore w:val="0"/>
        <w:widowControl w:val="0"/>
        <w:kinsoku/>
        <w:wordWrap w:val="0"/>
        <w:overflowPunct/>
        <w:topLinePunct w:val="0"/>
        <w:autoSpaceDE/>
        <w:autoSpaceDN/>
        <w:bidi w:val="0"/>
        <w:adjustRightInd w:val="0"/>
        <w:snapToGrid/>
        <w:spacing w:line="4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 xml:space="preserve"> （盖单位章）</w:t>
      </w:r>
    </w:p>
    <w:p w14:paraId="0B39B1E9">
      <w:pPr>
        <w:keepNext w:val="0"/>
        <w:keepLines w:val="0"/>
        <w:pageBreakBefore w:val="0"/>
        <w:widowControl w:val="0"/>
        <w:kinsoku/>
        <w:wordWrap w:val="0"/>
        <w:overflowPunct/>
        <w:topLinePunct w:val="0"/>
        <w:autoSpaceDE/>
        <w:autoSpaceDN/>
        <w:bidi w:val="0"/>
        <w:adjustRightInd w:val="0"/>
        <w:snapToGrid/>
        <w:spacing w:line="4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法定代表人或其委托代理人：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（签字）</w:t>
      </w:r>
    </w:p>
    <w:p w14:paraId="617C5704">
      <w:pPr>
        <w:keepNext w:val="0"/>
        <w:keepLines w:val="0"/>
        <w:pageBreakBefore w:val="0"/>
        <w:widowControl w:val="0"/>
        <w:kinsoku/>
        <w:wordWrap w:val="0"/>
        <w:overflowPunct/>
        <w:topLinePunct w:val="0"/>
        <w:autoSpaceDE/>
        <w:autoSpaceDN/>
        <w:bidi w:val="0"/>
        <w:adjustRightInd w:val="0"/>
        <w:snapToGrid/>
        <w:spacing w:line="420" w:lineRule="exact"/>
        <w:ind w:firstLine="6480" w:firstLineChars="27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日</w:t>
      </w:r>
    </w:p>
    <w:p w14:paraId="29F7A0A0">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firstLine="241" w:firstLineChars="100"/>
        <w:rPr>
          <w:rFonts w:hint="eastAsia" w:ascii="宋体" w:hAnsi="宋体" w:eastAsia="宋体" w:cs="宋体"/>
          <w:b/>
          <w:color w:val="auto"/>
          <w:sz w:val="24"/>
          <w:szCs w:val="24"/>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8"/>
      </w:tblGrid>
      <w:tr w14:paraId="1C3C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0" w:hRule="atLeast"/>
          <w:jc w:val="center"/>
        </w:trPr>
        <w:tc>
          <w:tcPr>
            <w:tcW w:w="9128" w:type="dxa"/>
            <w:noWrap w:val="0"/>
            <w:vAlign w:val="top"/>
          </w:tcPr>
          <w:p w14:paraId="33F8EABE">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left="210" w:firstLine="240" w:firstLineChars="100"/>
              <w:rPr>
                <w:rFonts w:hint="eastAsia" w:ascii="宋体" w:hAnsi="宋体" w:eastAsia="宋体" w:cs="宋体"/>
                <w:color w:val="auto"/>
                <w:sz w:val="24"/>
                <w:szCs w:val="24"/>
                <w:highlight w:val="none"/>
              </w:rPr>
            </w:pPr>
          </w:p>
          <w:p w14:paraId="388F247B">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left="210" w:firstLine="240" w:firstLineChars="100"/>
              <w:rPr>
                <w:rFonts w:hint="eastAsia" w:ascii="宋体" w:hAnsi="宋体" w:eastAsia="宋体" w:cs="宋体"/>
                <w:color w:val="auto"/>
                <w:sz w:val="24"/>
                <w:szCs w:val="24"/>
                <w:highlight w:val="none"/>
              </w:rPr>
            </w:pPr>
          </w:p>
          <w:p w14:paraId="78560189">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jc w:val="center"/>
              <w:rPr>
                <w:rFonts w:hint="eastAsia" w:ascii="宋体" w:hAnsi="宋体" w:eastAsia="宋体" w:cs="宋体"/>
                <w:b/>
                <w:color w:val="auto"/>
                <w:sz w:val="24"/>
                <w:szCs w:val="24"/>
                <w:highlight w:val="none"/>
              </w:rPr>
            </w:pPr>
          </w:p>
          <w:p w14:paraId="23F392F7">
            <w:pPr>
              <w:keepNext w:val="0"/>
              <w:keepLines w:val="0"/>
              <w:pageBreakBefore w:val="0"/>
              <w:widowControl w:val="0"/>
              <w:kinsoku/>
              <w:wordWrap w:val="0"/>
              <w:overflowPunct/>
              <w:topLinePunct w:val="0"/>
              <w:autoSpaceDE/>
              <w:autoSpaceDN/>
              <w:bidi w:val="0"/>
              <w:adjustRightInd w:val="0"/>
              <w:snapToGrid/>
              <w:spacing w:line="420" w:lineRule="exact"/>
              <w:ind w:firstLine="480" w:firstLineChars="200"/>
              <w:jc w:val="left"/>
              <w:rPr>
                <w:rFonts w:hint="eastAsia" w:ascii="宋体" w:hAnsi="宋体" w:eastAsia="宋体" w:cs="宋体"/>
                <w:color w:val="auto"/>
                <w:kern w:val="0"/>
                <w:sz w:val="24"/>
                <w:szCs w:val="24"/>
                <w:highlight w:val="none"/>
              </w:rPr>
            </w:pPr>
          </w:p>
          <w:p w14:paraId="6AAF8E8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投标保证金有效证明资料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交易系统生成的《投标保证金交纳回执单》</w:t>
            </w:r>
          </w:p>
          <w:p w14:paraId="3BAD4FA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注：采用电子保函形式缴纳的需将保函附到此处</w:t>
            </w:r>
          </w:p>
          <w:p w14:paraId="4419FCD0">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jc w:val="center"/>
              <w:rPr>
                <w:rFonts w:hint="eastAsia" w:ascii="宋体" w:hAnsi="宋体" w:eastAsia="宋体" w:cs="宋体"/>
                <w:color w:val="auto"/>
                <w:sz w:val="24"/>
                <w:szCs w:val="24"/>
                <w:highlight w:val="none"/>
              </w:rPr>
            </w:pPr>
          </w:p>
          <w:p w14:paraId="2782DE47">
            <w:pPr>
              <w:keepNext w:val="0"/>
              <w:keepLines w:val="0"/>
              <w:pageBreakBefore w:val="0"/>
              <w:widowControl w:val="0"/>
              <w:tabs>
                <w:tab w:val="left" w:pos="2340"/>
                <w:tab w:val="left" w:pos="2520"/>
                <w:tab w:val="left" w:pos="2700"/>
                <w:tab w:val="left" w:pos="3060"/>
              </w:tabs>
              <w:kinsoku/>
              <w:wordWrap w:val="0"/>
              <w:overflowPunct/>
              <w:topLinePunct w:val="0"/>
              <w:autoSpaceDE/>
              <w:autoSpaceDN/>
              <w:bidi w:val="0"/>
              <w:snapToGrid/>
              <w:spacing w:line="400" w:lineRule="exact"/>
              <w:ind w:left="210" w:leftChars="100" w:firstLine="241" w:firstLineChars="100"/>
              <w:rPr>
                <w:rFonts w:hint="eastAsia" w:ascii="宋体" w:hAnsi="宋体" w:eastAsia="宋体" w:cs="宋体"/>
                <w:b/>
                <w:color w:val="auto"/>
                <w:sz w:val="24"/>
                <w:szCs w:val="24"/>
                <w:highlight w:val="none"/>
              </w:rPr>
            </w:pPr>
          </w:p>
        </w:tc>
      </w:tr>
    </w:tbl>
    <w:p w14:paraId="7F2F0A07">
      <w:pPr>
        <w:pStyle w:val="12"/>
        <w:rPr>
          <w:rFonts w:hint="default"/>
          <w:color w:val="auto"/>
          <w:highlight w:val="none"/>
          <w:lang w:val="en-US"/>
        </w:rPr>
      </w:pPr>
    </w:p>
    <w:p w14:paraId="6FDE9D1F">
      <w:pPr>
        <w:rPr>
          <w:rFonts w:hint="default"/>
          <w:color w:val="auto"/>
          <w:highlight w:val="none"/>
          <w:lang w:val="en-US"/>
        </w:rPr>
      </w:pPr>
    </w:p>
    <w:p w14:paraId="0E490226">
      <w:pPr>
        <w:pStyle w:val="12"/>
        <w:rPr>
          <w:rFonts w:hint="default"/>
          <w:color w:val="auto"/>
          <w:highlight w:val="none"/>
          <w:lang w:val="en-US"/>
        </w:rPr>
      </w:pPr>
    </w:p>
    <w:p w14:paraId="784D9D66">
      <w:pPr>
        <w:rPr>
          <w:rFonts w:hint="default"/>
          <w:color w:val="auto"/>
          <w:highlight w:val="none"/>
          <w:lang w:val="en-US"/>
        </w:rPr>
      </w:pPr>
    </w:p>
    <w:p w14:paraId="2030AB50">
      <w:pPr>
        <w:pStyle w:val="12"/>
        <w:rPr>
          <w:rFonts w:hint="default"/>
          <w:color w:val="auto"/>
          <w:highlight w:val="none"/>
          <w:lang w:val="en-US"/>
        </w:rPr>
      </w:pPr>
    </w:p>
    <w:p w14:paraId="4A16D92F">
      <w:pPr>
        <w:rPr>
          <w:rFonts w:hint="default"/>
          <w:color w:val="auto"/>
          <w:highlight w:val="none"/>
          <w:lang w:val="en-US"/>
        </w:rPr>
      </w:pPr>
    </w:p>
    <w:p w14:paraId="54D09024">
      <w:pPr>
        <w:pStyle w:val="12"/>
        <w:rPr>
          <w:rFonts w:hint="default"/>
          <w:color w:val="auto"/>
          <w:highlight w:val="none"/>
          <w:lang w:val="en-US"/>
        </w:rPr>
      </w:pPr>
    </w:p>
    <w:p w14:paraId="338F5E51">
      <w:pPr>
        <w:pStyle w:val="12"/>
        <w:rPr>
          <w:rFonts w:hint="default"/>
          <w:color w:val="auto"/>
          <w:highlight w:val="none"/>
          <w:lang w:val="en-US"/>
        </w:rPr>
      </w:pPr>
    </w:p>
    <w:p w14:paraId="61D111BA">
      <w:pPr>
        <w:rPr>
          <w:rFonts w:hint="default"/>
          <w:color w:val="auto"/>
          <w:highlight w:val="none"/>
          <w:lang w:val="en-US"/>
        </w:rPr>
      </w:pPr>
    </w:p>
    <w:p w14:paraId="1975EE49">
      <w:pPr>
        <w:keepLines w:val="0"/>
        <w:pageBreakBefore w:val="0"/>
        <w:widowControl w:val="0"/>
        <w:kinsoku/>
        <w:wordWrap w:val="0"/>
        <w:overflowPunct/>
        <w:topLinePunct w:val="0"/>
        <w:autoSpaceDE/>
        <w:autoSpaceDN/>
        <w:bidi w:val="0"/>
        <w:snapToGrid/>
        <w:spacing w:before="14"/>
        <w:ind w:left="2257" w:right="2056" w:firstLine="0"/>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kern w:val="0"/>
          <w:sz w:val="30"/>
          <w:szCs w:val="30"/>
          <w:highlight w:val="none"/>
          <w:lang w:eastAsia="zh-CN"/>
        </w:rPr>
        <w:t>四</w:t>
      </w:r>
      <w:r>
        <w:rPr>
          <w:rFonts w:hint="eastAsia" w:ascii="宋体" w:hAnsi="宋体" w:eastAsia="宋体" w:cs="宋体"/>
          <w:b/>
          <w:bCs w:val="0"/>
          <w:color w:val="auto"/>
          <w:sz w:val="30"/>
          <w:szCs w:val="30"/>
          <w:highlight w:val="none"/>
        </w:rPr>
        <w:t>、施工组织设计</w:t>
      </w:r>
    </w:p>
    <w:p w14:paraId="7E903E5A">
      <w:pPr>
        <w:pStyle w:val="9"/>
        <w:keepLines w:val="0"/>
        <w:pageBreakBefore w:val="0"/>
        <w:widowControl w:val="0"/>
        <w:kinsoku/>
        <w:wordWrap w:val="0"/>
        <w:overflowPunct/>
        <w:topLinePunct w:val="0"/>
        <w:autoSpaceDE/>
        <w:autoSpaceDN/>
        <w:bidi w:val="0"/>
        <w:snapToGrid/>
        <w:spacing w:line="240" w:lineRule="auto"/>
        <w:ind w:left="624" w:right="0"/>
        <w:jc w:val="left"/>
        <w:rPr>
          <w:rFonts w:hint="eastAsia" w:ascii="宋体" w:hAnsi="宋体" w:eastAsia="宋体" w:cs="宋体"/>
          <w:color w:val="auto"/>
          <w:spacing w:val="-4"/>
          <w:highlight w:val="none"/>
        </w:rPr>
      </w:pPr>
    </w:p>
    <w:p w14:paraId="118FD058">
      <w:pPr>
        <w:pStyle w:val="9"/>
        <w:keepNext w:val="0"/>
        <w:keepLines w:val="0"/>
        <w:pageBreakBefore w:val="0"/>
        <w:widowControl w:val="0"/>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投标人应按以下要点编制施工组织设计（文字宜精炼、内容具有针对性）：</w:t>
      </w:r>
    </w:p>
    <w:p w14:paraId="1B715DCC">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（1）总体施工组织布置及规划</w:t>
      </w:r>
    </w:p>
    <w:p w14:paraId="6EA32B5F">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（2）主要工程项目的施工方案、方法与技术措施（尤其对重点、关键和难点工程的施工方案、方法及措施）</w:t>
      </w:r>
    </w:p>
    <w:p w14:paraId="6AFE2144">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（3）工期保证体系及保证措施</w:t>
      </w:r>
    </w:p>
    <w:p w14:paraId="3EF51841">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（4）工程质量管理体系及保证措施</w:t>
      </w:r>
    </w:p>
    <w:p w14:paraId="687BD03F">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（5）安全生产管理体系及保证措施</w:t>
      </w:r>
    </w:p>
    <w:p w14:paraId="7930CA78">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（6）环境保护、水土保持保证体系及保证措施</w:t>
      </w:r>
    </w:p>
    <w:p w14:paraId="22BA3027">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（7）文明施工、文物保护保证体系及保证措施</w:t>
      </w:r>
    </w:p>
    <w:p w14:paraId="0EE19BE7">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（8）项目风险预测与防范，事故应急预案</w:t>
      </w:r>
    </w:p>
    <w:p w14:paraId="0C2FC20A">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（9）其他应说明的事项</w:t>
      </w:r>
    </w:p>
    <w:p w14:paraId="7997886D">
      <w:pPr>
        <w:pStyle w:val="12"/>
        <w:rPr>
          <w:rFonts w:hint="default"/>
          <w:color w:val="auto"/>
          <w:highlight w:val="none"/>
          <w:lang w:val="en-US"/>
        </w:rPr>
      </w:pPr>
    </w:p>
    <w:p w14:paraId="0A26B008">
      <w:pPr>
        <w:rPr>
          <w:rFonts w:hint="default"/>
          <w:color w:val="auto"/>
          <w:highlight w:val="none"/>
          <w:lang w:val="en-US"/>
        </w:rPr>
      </w:pPr>
    </w:p>
    <w:p w14:paraId="3FCD6190">
      <w:pPr>
        <w:pStyle w:val="12"/>
        <w:rPr>
          <w:rFonts w:hint="default"/>
          <w:color w:val="auto"/>
          <w:highlight w:val="none"/>
          <w:lang w:val="en-US"/>
        </w:rPr>
      </w:pPr>
    </w:p>
    <w:p w14:paraId="056F101F">
      <w:pPr>
        <w:rPr>
          <w:rFonts w:hint="default"/>
          <w:color w:val="auto"/>
          <w:highlight w:val="none"/>
          <w:lang w:val="en-US"/>
        </w:rPr>
      </w:pPr>
    </w:p>
    <w:p w14:paraId="07FCFCF1">
      <w:pPr>
        <w:pStyle w:val="12"/>
        <w:rPr>
          <w:rFonts w:hint="default"/>
          <w:color w:val="auto"/>
          <w:highlight w:val="none"/>
          <w:lang w:val="en-US"/>
        </w:rPr>
      </w:pPr>
    </w:p>
    <w:p w14:paraId="6824CBEB">
      <w:pPr>
        <w:rPr>
          <w:rFonts w:hint="default"/>
          <w:color w:val="auto"/>
          <w:highlight w:val="none"/>
          <w:lang w:val="en-US"/>
        </w:rPr>
      </w:pPr>
    </w:p>
    <w:p w14:paraId="5447909C">
      <w:pPr>
        <w:pStyle w:val="12"/>
        <w:rPr>
          <w:rFonts w:hint="default"/>
          <w:color w:val="auto"/>
          <w:highlight w:val="none"/>
          <w:lang w:val="en-US"/>
        </w:rPr>
      </w:pPr>
    </w:p>
    <w:p w14:paraId="740D6BCD">
      <w:pPr>
        <w:rPr>
          <w:rFonts w:hint="default"/>
          <w:color w:val="auto"/>
          <w:highlight w:val="none"/>
          <w:lang w:val="en-US"/>
        </w:rPr>
      </w:pPr>
    </w:p>
    <w:p w14:paraId="27D79897">
      <w:pPr>
        <w:pStyle w:val="12"/>
        <w:rPr>
          <w:rFonts w:hint="default"/>
          <w:color w:val="auto"/>
          <w:highlight w:val="none"/>
          <w:lang w:val="en-US"/>
        </w:rPr>
      </w:pPr>
    </w:p>
    <w:p w14:paraId="106CAFFC">
      <w:pPr>
        <w:rPr>
          <w:rFonts w:hint="default"/>
          <w:color w:val="auto"/>
          <w:highlight w:val="none"/>
          <w:lang w:val="en-US"/>
        </w:rPr>
      </w:pPr>
    </w:p>
    <w:p w14:paraId="218AA185">
      <w:pPr>
        <w:pStyle w:val="12"/>
        <w:rPr>
          <w:rFonts w:hint="default"/>
          <w:color w:val="auto"/>
          <w:highlight w:val="none"/>
          <w:lang w:val="en-US"/>
        </w:rPr>
      </w:pPr>
    </w:p>
    <w:p w14:paraId="362D6454">
      <w:pPr>
        <w:rPr>
          <w:rFonts w:hint="default"/>
          <w:color w:val="auto"/>
          <w:highlight w:val="none"/>
          <w:lang w:val="en-US"/>
        </w:rPr>
      </w:pPr>
    </w:p>
    <w:p w14:paraId="03E04152">
      <w:pPr>
        <w:pStyle w:val="12"/>
        <w:rPr>
          <w:rFonts w:hint="default"/>
          <w:color w:val="auto"/>
          <w:highlight w:val="none"/>
          <w:lang w:val="en-US"/>
        </w:rPr>
      </w:pPr>
    </w:p>
    <w:p w14:paraId="3D7F63B6">
      <w:pPr>
        <w:rPr>
          <w:rFonts w:hint="default"/>
          <w:color w:val="auto"/>
          <w:highlight w:val="none"/>
          <w:lang w:val="en-US"/>
        </w:rPr>
      </w:pPr>
    </w:p>
    <w:p w14:paraId="70F41CB8">
      <w:pPr>
        <w:pStyle w:val="12"/>
        <w:rPr>
          <w:rFonts w:hint="default"/>
          <w:color w:val="auto"/>
          <w:highlight w:val="none"/>
          <w:lang w:val="en-US"/>
        </w:rPr>
      </w:pPr>
    </w:p>
    <w:p w14:paraId="1C4C3756">
      <w:pPr>
        <w:rPr>
          <w:rFonts w:hint="default"/>
          <w:color w:val="auto"/>
          <w:highlight w:val="none"/>
          <w:lang w:val="en-US"/>
        </w:rPr>
      </w:pPr>
    </w:p>
    <w:p w14:paraId="4B95DC85">
      <w:pPr>
        <w:pStyle w:val="12"/>
        <w:rPr>
          <w:rFonts w:hint="default"/>
          <w:color w:val="auto"/>
          <w:highlight w:val="none"/>
          <w:lang w:val="en-US"/>
        </w:rPr>
      </w:pPr>
    </w:p>
    <w:p w14:paraId="67420694">
      <w:pPr>
        <w:rPr>
          <w:rFonts w:hint="default"/>
          <w:color w:val="auto"/>
          <w:highlight w:val="none"/>
          <w:lang w:val="en-US"/>
        </w:rPr>
      </w:pPr>
    </w:p>
    <w:p w14:paraId="555B72A7">
      <w:pPr>
        <w:pStyle w:val="12"/>
        <w:rPr>
          <w:rFonts w:hint="default"/>
          <w:color w:val="auto"/>
          <w:highlight w:val="none"/>
          <w:lang w:val="en-US"/>
        </w:rPr>
      </w:pPr>
    </w:p>
    <w:p w14:paraId="1751FD97">
      <w:pPr>
        <w:rPr>
          <w:rFonts w:hint="default"/>
          <w:color w:val="auto"/>
          <w:highlight w:val="none"/>
          <w:lang w:val="en-US"/>
        </w:rPr>
      </w:pPr>
    </w:p>
    <w:p w14:paraId="08BBE45F">
      <w:pPr>
        <w:pStyle w:val="12"/>
        <w:rPr>
          <w:rFonts w:hint="default"/>
          <w:color w:val="auto"/>
          <w:highlight w:val="none"/>
          <w:lang w:val="en-US"/>
        </w:rPr>
      </w:pPr>
    </w:p>
    <w:p w14:paraId="00953713">
      <w:pPr>
        <w:rPr>
          <w:rFonts w:hint="default"/>
          <w:color w:val="auto"/>
          <w:highlight w:val="none"/>
          <w:lang w:val="en-US"/>
        </w:rPr>
      </w:pPr>
    </w:p>
    <w:p w14:paraId="49056770">
      <w:pPr>
        <w:pStyle w:val="24"/>
        <w:keepNext w:val="0"/>
        <w:keepLines w:val="0"/>
        <w:pageBreakBefore w:val="0"/>
        <w:widowControl w:val="0"/>
        <w:kinsoku/>
        <w:wordWrap w:val="0"/>
        <w:overflowPunct/>
        <w:topLinePunct w:val="0"/>
        <w:autoSpaceDE/>
        <w:autoSpaceDN/>
        <w:bidi w:val="0"/>
        <w:adjustRightInd/>
        <w:snapToGrid/>
        <w:spacing w:after="157" w:afterLines="50"/>
        <w:textAlignment w:val="auto"/>
        <w:outlineLvl w:val="1"/>
        <w:rPr>
          <w:rFonts w:ascii="宋体" w:hAnsi="宋体" w:cs="宋体"/>
          <w:color w:val="auto"/>
          <w:kern w:val="0"/>
          <w:sz w:val="28"/>
          <w:highlight w:val="none"/>
        </w:rPr>
      </w:pPr>
      <w:bookmarkStart w:id="469" w:name="_Toc228337206"/>
      <w:bookmarkStart w:id="470" w:name="_Toc228591765"/>
      <w:bookmarkStart w:id="471" w:name="_Toc214433997"/>
      <w:bookmarkStart w:id="472" w:name="_Toc227492353"/>
      <w:bookmarkStart w:id="473" w:name="_Toc228881257"/>
      <w:bookmarkStart w:id="474" w:name="_Toc228591617"/>
      <w:bookmarkStart w:id="475" w:name="_Toc228589271"/>
      <w:bookmarkStart w:id="476" w:name="_Toc227657595"/>
      <w:bookmarkStart w:id="477" w:name="_Toc272772676"/>
      <w:bookmarkStart w:id="478" w:name="_Toc27491"/>
      <w:bookmarkStart w:id="479" w:name="_Toc431367152"/>
      <w:r>
        <w:rPr>
          <w:rFonts w:hint="eastAsia" w:ascii="宋体" w:hAnsi="宋体" w:cs="宋体"/>
          <w:color w:val="auto"/>
          <w:kern w:val="0"/>
          <w:sz w:val="30"/>
          <w:szCs w:val="30"/>
          <w:highlight w:val="none"/>
          <w:lang w:eastAsia="zh-CN"/>
        </w:rPr>
        <w:t>五</w:t>
      </w:r>
      <w:r>
        <w:rPr>
          <w:rFonts w:hint="eastAsia" w:ascii="宋体" w:hAnsi="宋体" w:cs="宋体"/>
          <w:color w:val="auto"/>
          <w:kern w:val="0"/>
          <w:sz w:val="30"/>
          <w:szCs w:val="30"/>
          <w:highlight w:val="none"/>
        </w:rPr>
        <w:t>、</w:t>
      </w:r>
      <w:bookmarkEnd w:id="469"/>
      <w:bookmarkEnd w:id="470"/>
      <w:bookmarkEnd w:id="471"/>
      <w:bookmarkEnd w:id="472"/>
      <w:bookmarkEnd w:id="473"/>
      <w:bookmarkEnd w:id="474"/>
      <w:bookmarkEnd w:id="475"/>
      <w:bookmarkEnd w:id="476"/>
      <w:r>
        <w:rPr>
          <w:rFonts w:hint="eastAsia" w:ascii="宋体" w:hAnsi="宋体" w:cs="宋体"/>
          <w:color w:val="auto"/>
          <w:kern w:val="0"/>
          <w:sz w:val="30"/>
          <w:szCs w:val="30"/>
          <w:highlight w:val="none"/>
        </w:rPr>
        <w:t>项目管理机构</w:t>
      </w:r>
      <w:bookmarkEnd w:id="477"/>
      <w:bookmarkEnd w:id="478"/>
      <w:bookmarkEnd w:id="479"/>
    </w:p>
    <w:tbl>
      <w:tblPr>
        <w:tblStyle w:val="27"/>
        <w:tblW w:w="0" w:type="auto"/>
        <w:jc w:val="center"/>
        <w:tblLayout w:type="fixed"/>
        <w:tblCellMar>
          <w:top w:w="0" w:type="dxa"/>
          <w:left w:w="0" w:type="dxa"/>
          <w:bottom w:w="0" w:type="dxa"/>
          <w:right w:w="0" w:type="dxa"/>
        </w:tblCellMar>
      </w:tblPr>
      <w:tblGrid>
        <w:gridCol w:w="8726"/>
      </w:tblGrid>
      <w:tr w14:paraId="282035A3">
        <w:tblPrEx>
          <w:tblCellMar>
            <w:top w:w="0" w:type="dxa"/>
            <w:left w:w="0" w:type="dxa"/>
            <w:bottom w:w="0" w:type="dxa"/>
            <w:right w:w="0" w:type="dxa"/>
          </w:tblCellMar>
        </w:tblPrEx>
        <w:trPr>
          <w:trHeight w:val="8685" w:hRule="exact"/>
          <w:jc w:val="center"/>
        </w:trPr>
        <w:tc>
          <w:tcPr>
            <w:tcW w:w="8726" w:type="dxa"/>
            <w:tcBorders>
              <w:top w:val="single" w:color="000000" w:sz="6" w:space="0"/>
              <w:left w:val="single" w:color="000000" w:sz="6" w:space="0"/>
              <w:bottom w:val="single" w:color="000000" w:sz="6" w:space="0"/>
              <w:right w:val="single" w:color="000000" w:sz="6" w:space="0"/>
            </w:tcBorders>
          </w:tcPr>
          <w:p w14:paraId="5E504E1A">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宋体" w:hAnsi="宋体" w:eastAsia="宋体" w:cs="宋体"/>
                <w:color w:val="auto"/>
                <w:sz w:val="21"/>
                <w:szCs w:val="21"/>
                <w:highlight w:val="none"/>
              </w:rPr>
            </w:pPr>
          </w:p>
          <w:p w14:paraId="53C9D7CB">
            <w:pPr>
              <w:pStyle w:val="37"/>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拟为承包本标段工程设立的组织机构以框图方式表示。</w:t>
            </w:r>
          </w:p>
        </w:tc>
      </w:tr>
      <w:tr w14:paraId="3DDC3BD2">
        <w:tblPrEx>
          <w:tblCellMar>
            <w:top w:w="0" w:type="dxa"/>
            <w:left w:w="0" w:type="dxa"/>
            <w:bottom w:w="0" w:type="dxa"/>
            <w:right w:w="0" w:type="dxa"/>
          </w:tblCellMar>
        </w:tblPrEx>
        <w:trPr>
          <w:trHeight w:val="3123" w:hRule="exact"/>
          <w:jc w:val="center"/>
        </w:trPr>
        <w:tc>
          <w:tcPr>
            <w:tcW w:w="8726" w:type="dxa"/>
            <w:tcBorders>
              <w:top w:val="single" w:color="000000" w:sz="6" w:space="0"/>
              <w:left w:val="single" w:color="000000" w:sz="6" w:space="0"/>
              <w:bottom w:val="single" w:color="000000" w:sz="6" w:space="0"/>
              <w:right w:val="single" w:color="000000" w:sz="6" w:space="0"/>
            </w:tcBorders>
          </w:tcPr>
          <w:p w14:paraId="36D994F5">
            <w:pPr>
              <w:pStyle w:val="37"/>
              <w:keepNext w:val="0"/>
              <w:keepLines w:val="0"/>
              <w:pageBreakBefore w:val="0"/>
              <w:widowControl w:val="0"/>
              <w:kinsoku/>
              <w:wordWrap w:val="0"/>
              <w:overflowPunct/>
              <w:topLinePunct w:val="0"/>
              <w:autoSpaceDE/>
              <w:autoSpaceDN/>
              <w:bidi w:val="0"/>
              <w:snapToGrid/>
              <w:spacing w:before="6" w:line="240" w:lineRule="auto"/>
              <w:ind w:right="0"/>
              <w:jc w:val="left"/>
              <w:rPr>
                <w:rFonts w:ascii="黑体" w:hAnsi="黑体" w:eastAsia="黑体" w:cs="黑体"/>
                <w:color w:val="auto"/>
                <w:sz w:val="16"/>
                <w:szCs w:val="16"/>
                <w:highlight w:val="none"/>
              </w:rPr>
            </w:pPr>
          </w:p>
          <w:p w14:paraId="77C42405">
            <w:pPr>
              <w:pStyle w:val="37"/>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w:t>
            </w:r>
          </w:p>
        </w:tc>
      </w:tr>
    </w:tbl>
    <w:p w14:paraId="7404AFD7">
      <w:pPr>
        <w:pStyle w:val="12"/>
        <w:rPr>
          <w:rFonts w:hint="default"/>
          <w:color w:val="auto"/>
          <w:highlight w:val="none"/>
          <w:lang w:val="en-US"/>
        </w:rPr>
      </w:pPr>
    </w:p>
    <w:p w14:paraId="2903D2C7">
      <w:pPr>
        <w:rPr>
          <w:rFonts w:hint="default"/>
          <w:color w:val="auto"/>
          <w:highlight w:val="none"/>
          <w:lang w:val="en-US"/>
        </w:rPr>
      </w:pPr>
    </w:p>
    <w:p w14:paraId="4A1ECC9A">
      <w:pPr>
        <w:pStyle w:val="12"/>
        <w:rPr>
          <w:rFonts w:hint="default"/>
          <w:color w:val="auto"/>
          <w:highlight w:val="none"/>
          <w:lang w:val="en-US"/>
        </w:rPr>
      </w:pPr>
    </w:p>
    <w:p w14:paraId="082DFDFF">
      <w:pPr>
        <w:rPr>
          <w:rFonts w:hint="default"/>
          <w:color w:val="auto"/>
          <w:highlight w:val="none"/>
          <w:lang w:val="en-US"/>
        </w:rPr>
      </w:pPr>
    </w:p>
    <w:p w14:paraId="6D7A445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1"/>
        <w:rPr>
          <w:rFonts w:ascii="宋体" w:hAnsi="宋体" w:cs="宋体"/>
          <w:b/>
          <w:color w:val="auto"/>
          <w:kern w:val="0"/>
          <w:sz w:val="28"/>
          <w:highlight w:val="none"/>
        </w:rPr>
      </w:pPr>
      <w:bookmarkStart w:id="480" w:name="_Toc37747011"/>
      <w:bookmarkStart w:id="481" w:name="_Toc228589275"/>
      <w:bookmarkStart w:id="482" w:name="_Toc228591769"/>
      <w:bookmarkStart w:id="483" w:name="_Toc227492357"/>
      <w:bookmarkStart w:id="484" w:name="_Toc228881261"/>
      <w:bookmarkStart w:id="485" w:name="_Toc431367156"/>
      <w:bookmarkStart w:id="486" w:name="_Toc228591621"/>
      <w:bookmarkStart w:id="487" w:name="_Toc272772681"/>
      <w:bookmarkStart w:id="488" w:name="_Toc227657599"/>
      <w:bookmarkStart w:id="489" w:name="_Toc12047"/>
      <w:bookmarkStart w:id="490" w:name="_Toc18871"/>
      <w:bookmarkStart w:id="491" w:name="_Toc214434001"/>
      <w:bookmarkStart w:id="492" w:name="_Toc500864551"/>
      <w:bookmarkStart w:id="493" w:name="_Toc228337210"/>
      <w:bookmarkStart w:id="494" w:name="_Toc37422295"/>
      <w:r>
        <w:rPr>
          <w:rFonts w:hint="eastAsia" w:ascii="宋体" w:hAnsi="宋体" w:cs="宋体"/>
          <w:b/>
          <w:bCs/>
          <w:color w:val="auto"/>
          <w:kern w:val="0"/>
          <w:sz w:val="30"/>
          <w:szCs w:val="30"/>
          <w:highlight w:val="none"/>
          <w:lang w:eastAsia="zh-CN"/>
        </w:rPr>
        <w:t>六</w:t>
      </w:r>
      <w:r>
        <w:rPr>
          <w:rFonts w:hint="eastAsia" w:ascii="宋体" w:hAnsi="宋体" w:cs="宋体"/>
          <w:b/>
          <w:bCs/>
          <w:color w:val="auto"/>
          <w:kern w:val="0"/>
          <w:sz w:val="30"/>
          <w:szCs w:val="30"/>
          <w:highlight w:val="none"/>
        </w:rPr>
        <w:t>、资格审查资料</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2B68D64">
      <w:pPr>
        <w:keepNext w:val="0"/>
        <w:keepLines w:val="0"/>
        <w:pageBreakBefore w:val="0"/>
        <w:widowControl w:val="0"/>
        <w:kinsoku/>
        <w:wordWrap w:val="0"/>
        <w:overflowPunct/>
        <w:topLinePunct w:val="0"/>
        <w:autoSpaceDE/>
        <w:autoSpaceDN/>
        <w:bidi w:val="0"/>
        <w:adjustRightInd w:val="0"/>
        <w:snapToGrid/>
        <w:spacing w:before="157" w:beforeLines="50" w:after="157" w:afterLines="50" w:line="400" w:lineRule="exact"/>
        <w:ind w:right="-34" w:rightChars="-16"/>
        <w:jc w:val="center"/>
        <w:textAlignment w:val="auto"/>
        <w:outlineLvl w:val="1"/>
        <w:rPr>
          <w:rFonts w:ascii="宋体" w:hAnsi="宋体" w:cs="宋体"/>
          <w:b/>
          <w:bCs/>
          <w:color w:val="auto"/>
          <w:kern w:val="0"/>
          <w:sz w:val="24"/>
          <w:szCs w:val="18"/>
          <w:highlight w:val="none"/>
        </w:rPr>
      </w:pPr>
      <w:bookmarkStart w:id="495" w:name="_Toc272772682"/>
      <w:bookmarkStart w:id="496" w:name="_Toc214434002"/>
      <w:bookmarkStart w:id="497" w:name="_Toc228591622"/>
      <w:bookmarkStart w:id="498" w:name="_Toc513740274"/>
      <w:bookmarkStart w:id="499" w:name="_Toc38738911"/>
      <w:bookmarkStart w:id="500" w:name="_Toc227492358"/>
      <w:bookmarkStart w:id="501" w:name="_Toc228881262"/>
      <w:bookmarkStart w:id="502" w:name="_Toc37747013"/>
      <w:bookmarkStart w:id="503" w:name="_Toc11990"/>
      <w:bookmarkStart w:id="504" w:name="_Toc431367157"/>
      <w:bookmarkStart w:id="505" w:name="_Toc32399"/>
      <w:bookmarkStart w:id="506" w:name="_Toc37422297"/>
      <w:bookmarkStart w:id="507" w:name="_Toc500864552"/>
      <w:bookmarkStart w:id="508" w:name="_Toc227657600"/>
      <w:bookmarkStart w:id="509" w:name="_Toc228591770"/>
      <w:bookmarkStart w:id="510" w:name="_Toc228589276"/>
      <w:bookmarkStart w:id="511" w:name="_Toc228337211"/>
      <w:r>
        <w:rPr>
          <w:rFonts w:hint="eastAsia" w:ascii="宋体" w:hAnsi="宋体" w:cs="宋体"/>
          <w:b/>
          <w:bCs/>
          <w:color w:val="auto"/>
          <w:kern w:val="0"/>
          <w:sz w:val="28"/>
          <w:szCs w:val="28"/>
          <w:highlight w:val="none"/>
        </w:rPr>
        <w:t>（一）投标人基本情况表</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tbl>
      <w:tblPr>
        <w:tblStyle w:val="27"/>
        <w:tblW w:w="0" w:type="auto"/>
        <w:jc w:val="center"/>
        <w:tblLayout w:type="fixed"/>
        <w:tblCellMar>
          <w:top w:w="0" w:type="dxa"/>
          <w:left w:w="0" w:type="dxa"/>
          <w:bottom w:w="0" w:type="dxa"/>
          <w:right w:w="0" w:type="dxa"/>
        </w:tblCellMar>
      </w:tblPr>
      <w:tblGrid>
        <w:gridCol w:w="1908"/>
        <w:gridCol w:w="901"/>
        <w:gridCol w:w="1080"/>
        <w:gridCol w:w="528"/>
        <w:gridCol w:w="732"/>
        <w:gridCol w:w="1078"/>
        <w:gridCol w:w="182"/>
        <w:gridCol w:w="900"/>
        <w:gridCol w:w="1621"/>
      </w:tblGrid>
      <w:tr w14:paraId="709AABAA">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4C63ACB9">
            <w:pPr>
              <w:pStyle w:val="37"/>
              <w:keepNext w:val="0"/>
              <w:keepLines w:val="0"/>
              <w:pageBreakBefore w:val="0"/>
              <w:widowControl w:val="0"/>
              <w:kinsoku/>
              <w:wordWrap w:val="0"/>
              <w:overflowPunct/>
              <w:topLinePunct w:val="0"/>
              <w:autoSpaceDE/>
              <w:autoSpaceDN/>
              <w:bidi w:val="0"/>
              <w:snapToGrid/>
              <w:spacing w:before="107"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投标人名称</w:t>
            </w:r>
          </w:p>
        </w:tc>
        <w:tc>
          <w:tcPr>
            <w:tcW w:w="7022" w:type="dxa"/>
            <w:gridSpan w:val="8"/>
            <w:tcBorders>
              <w:top w:val="single" w:color="000000" w:sz="4" w:space="0"/>
              <w:left w:val="single" w:color="000000" w:sz="4" w:space="0"/>
              <w:bottom w:val="single" w:color="000000" w:sz="4" w:space="0"/>
              <w:right w:val="single" w:color="000000" w:sz="4" w:space="0"/>
            </w:tcBorders>
          </w:tcPr>
          <w:p w14:paraId="6DBDE39C">
            <w:pPr>
              <w:keepNext w:val="0"/>
              <w:keepLines w:val="0"/>
              <w:pageBreakBefore w:val="0"/>
              <w:widowControl w:val="0"/>
              <w:kinsoku/>
              <w:wordWrap w:val="0"/>
              <w:overflowPunct/>
              <w:topLinePunct w:val="0"/>
              <w:autoSpaceDE/>
              <w:autoSpaceDN/>
              <w:bidi w:val="0"/>
              <w:snapToGrid/>
              <w:rPr>
                <w:color w:val="auto"/>
                <w:highlight w:val="none"/>
              </w:rPr>
            </w:pPr>
          </w:p>
        </w:tc>
      </w:tr>
      <w:tr w14:paraId="5D3960BB">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006CA283">
            <w:pPr>
              <w:pStyle w:val="37"/>
              <w:keepNext w:val="0"/>
              <w:keepLines w:val="0"/>
              <w:pageBreakBefore w:val="0"/>
              <w:widowControl w:val="0"/>
              <w:kinsoku/>
              <w:wordWrap w:val="0"/>
              <w:overflowPunct/>
              <w:topLinePunct w:val="0"/>
              <w:autoSpaceDE/>
              <w:autoSpaceDN/>
              <w:bidi w:val="0"/>
              <w:snapToGrid/>
              <w:spacing w:before="107"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注册地址</w:t>
            </w:r>
          </w:p>
        </w:tc>
        <w:tc>
          <w:tcPr>
            <w:tcW w:w="3241" w:type="dxa"/>
            <w:gridSpan w:val="4"/>
            <w:tcBorders>
              <w:top w:val="single" w:color="000000" w:sz="4" w:space="0"/>
              <w:left w:val="single" w:color="000000" w:sz="4" w:space="0"/>
              <w:bottom w:val="single" w:color="000000" w:sz="4" w:space="0"/>
              <w:right w:val="single" w:color="000000" w:sz="4" w:space="0"/>
            </w:tcBorders>
          </w:tcPr>
          <w:p w14:paraId="3B5537F4">
            <w:pPr>
              <w:keepNext w:val="0"/>
              <w:keepLines w:val="0"/>
              <w:pageBreakBefore w:val="0"/>
              <w:widowControl w:val="0"/>
              <w:kinsoku/>
              <w:wordWrap w:val="0"/>
              <w:overflowPunct/>
              <w:topLinePunct w:val="0"/>
              <w:autoSpaceDE/>
              <w:autoSpaceDN/>
              <w:bidi w:val="0"/>
              <w:snapToGrid/>
              <w:rPr>
                <w:color w:val="auto"/>
                <w:highlight w:val="none"/>
              </w:rPr>
            </w:pPr>
          </w:p>
        </w:tc>
        <w:tc>
          <w:tcPr>
            <w:tcW w:w="1078" w:type="dxa"/>
            <w:tcBorders>
              <w:top w:val="single" w:color="000000" w:sz="4" w:space="0"/>
              <w:left w:val="single" w:color="000000" w:sz="4" w:space="0"/>
              <w:bottom w:val="single" w:color="000000" w:sz="4" w:space="0"/>
              <w:right w:val="single" w:color="000000" w:sz="4" w:space="0"/>
            </w:tcBorders>
          </w:tcPr>
          <w:p w14:paraId="737B1683">
            <w:pPr>
              <w:pStyle w:val="37"/>
              <w:keepNext w:val="0"/>
              <w:keepLines w:val="0"/>
              <w:pageBreakBefore w:val="0"/>
              <w:widowControl w:val="0"/>
              <w:kinsoku/>
              <w:wordWrap w:val="0"/>
              <w:overflowPunct/>
              <w:topLinePunct w:val="0"/>
              <w:autoSpaceDE/>
              <w:autoSpaceDN/>
              <w:bidi w:val="0"/>
              <w:snapToGrid/>
              <w:spacing w:before="107" w:line="240" w:lineRule="auto"/>
              <w:ind w:left="11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邮政编码</w:t>
            </w:r>
          </w:p>
        </w:tc>
        <w:tc>
          <w:tcPr>
            <w:tcW w:w="2703" w:type="dxa"/>
            <w:gridSpan w:val="3"/>
            <w:tcBorders>
              <w:top w:val="single" w:color="000000" w:sz="4" w:space="0"/>
              <w:left w:val="single" w:color="000000" w:sz="4" w:space="0"/>
              <w:bottom w:val="single" w:color="000000" w:sz="4" w:space="0"/>
              <w:right w:val="single" w:color="000000" w:sz="4" w:space="0"/>
            </w:tcBorders>
          </w:tcPr>
          <w:p w14:paraId="2AFCD213">
            <w:pPr>
              <w:keepNext w:val="0"/>
              <w:keepLines w:val="0"/>
              <w:pageBreakBefore w:val="0"/>
              <w:widowControl w:val="0"/>
              <w:kinsoku/>
              <w:wordWrap w:val="0"/>
              <w:overflowPunct/>
              <w:topLinePunct w:val="0"/>
              <w:autoSpaceDE/>
              <w:autoSpaceDN/>
              <w:bidi w:val="0"/>
              <w:snapToGrid/>
              <w:rPr>
                <w:color w:val="auto"/>
                <w:highlight w:val="none"/>
              </w:rPr>
            </w:pPr>
          </w:p>
        </w:tc>
      </w:tr>
      <w:tr w14:paraId="7E36E18E">
        <w:tblPrEx>
          <w:tblCellMar>
            <w:top w:w="0" w:type="dxa"/>
            <w:left w:w="0" w:type="dxa"/>
            <w:bottom w:w="0" w:type="dxa"/>
            <w:right w:w="0" w:type="dxa"/>
          </w:tblCellMar>
        </w:tblPrEx>
        <w:trPr>
          <w:trHeight w:val="449" w:hRule="exact"/>
          <w:jc w:val="center"/>
        </w:trPr>
        <w:tc>
          <w:tcPr>
            <w:tcW w:w="1908" w:type="dxa"/>
            <w:vMerge w:val="restart"/>
            <w:tcBorders>
              <w:top w:val="single" w:color="000000" w:sz="4" w:space="0"/>
              <w:left w:val="single" w:color="000000" w:sz="4" w:space="0"/>
              <w:right w:val="single" w:color="000000" w:sz="4" w:space="0"/>
            </w:tcBorders>
          </w:tcPr>
          <w:p w14:paraId="1C7C7FA8">
            <w:pPr>
              <w:pStyle w:val="37"/>
              <w:keepNext w:val="0"/>
              <w:keepLines w:val="0"/>
              <w:pageBreakBefore w:val="0"/>
              <w:widowControl w:val="0"/>
              <w:kinsoku/>
              <w:wordWrap w:val="0"/>
              <w:overflowPunct/>
              <w:topLinePunct w:val="0"/>
              <w:autoSpaceDE/>
              <w:autoSpaceDN/>
              <w:bidi w:val="0"/>
              <w:snapToGrid/>
              <w:spacing w:before="6" w:line="240" w:lineRule="auto"/>
              <w:ind w:right="0"/>
              <w:jc w:val="left"/>
              <w:rPr>
                <w:rFonts w:ascii="黑体" w:hAnsi="黑体" w:eastAsia="黑体" w:cs="黑体"/>
                <w:color w:val="auto"/>
                <w:sz w:val="25"/>
                <w:szCs w:val="25"/>
                <w:highlight w:val="none"/>
              </w:rPr>
            </w:pPr>
          </w:p>
          <w:p w14:paraId="5C752FBA">
            <w:pPr>
              <w:pStyle w:val="37"/>
              <w:keepNext w:val="0"/>
              <w:keepLines w:val="0"/>
              <w:pageBreakBefore w:val="0"/>
              <w:widowControl w:val="0"/>
              <w:kinsoku/>
              <w:wordWrap w:val="0"/>
              <w:overflowPunct/>
              <w:topLinePunct w:val="0"/>
              <w:autoSpaceDE/>
              <w:autoSpaceDN/>
              <w:bidi w:val="0"/>
              <w:snapToGrid/>
              <w:spacing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联系方式</w:t>
            </w:r>
          </w:p>
        </w:tc>
        <w:tc>
          <w:tcPr>
            <w:tcW w:w="901" w:type="dxa"/>
            <w:tcBorders>
              <w:top w:val="single" w:color="000000" w:sz="4" w:space="0"/>
              <w:left w:val="single" w:color="000000" w:sz="4" w:space="0"/>
              <w:bottom w:val="single" w:color="000000" w:sz="4" w:space="0"/>
              <w:right w:val="single" w:color="000000" w:sz="4" w:space="0"/>
            </w:tcBorders>
          </w:tcPr>
          <w:p w14:paraId="63A8D7B6">
            <w:pPr>
              <w:pStyle w:val="37"/>
              <w:keepNext w:val="0"/>
              <w:keepLines w:val="0"/>
              <w:pageBreakBefore w:val="0"/>
              <w:widowControl w:val="0"/>
              <w:kinsoku/>
              <w:wordWrap w:val="0"/>
              <w:overflowPunct/>
              <w:topLinePunct w:val="0"/>
              <w:autoSpaceDE/>
              <w:autoSpaceDN/>
              <w:bidi w:val="0"/>
              <w:snapToGrid/>
              <w:spacing w:before="107" w:line="240" w:lineRule="auto"/>
              <w:ind w:left="12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联系人</w:t>
            </w:r>
          </w:p>
        </w:tc>
        <w:tc>
          <w:tcPr>
            <w:tcW w:w="2340" w:type="dxa"/>
            <w:gridSpan w:val="3"/>
            <w:tcBorders>
              <w:top w:val="single" w:color="000000" w:sz="4" w:space="0"/>
              <w:left w:val="single" w:color="000000" w:sz="4" w:space="0"/>
              <w:bottom w:val="single" w:color="000000" w:sz="4" w:space="0"/>
              <w:right w:val="single" w:color="000000" w:sz="4" w:space="0"/>
            </w:tcBorders>
          </w:tcPr>
          <w:p w14:paraId="4C7D470F">
            <w:pPr>
              <w:keepNext w:val="0"/>
              <w:keepLines w:val="0"/>
              <w:pageBreakBefore w:val="0"/>
              <w:widowControl w:val="0"/>
              <w:kinsoku/>
              <w:wordWrap w:val="0"/>
              <w:overflowPunct/>
              <w:topLinePunct w:val="0"/>
              <w:autoSpaceDE/>
              <w:autoSpaceDN/>
              <w:bidi w:val="0"/>
              <w:snapToGrid/>
              <w:rPr>
                <w:color w:val="auto"/>
                <w:highlight w:val="none"/>
              </w:rPr>
            </w:pPr>
          </w:p>
        </w:tc>
        <w:tc>
          <w:tcPr>
            <w:tcW w:w="1078" w:type="dxa"/>
            <w:tcBorders>
              <w:top w:val="single" w:color="000000" w:sz="4" w:space="0"/>
              <w:left w:val="single" w:color="000000" w:sz="4" w:space="0"/>
              <w:bottom w:val="single" w:color="000000" w:sz="4" w:space="0"/>
              <w:right w:val="single" w:color="000000" w:sz="4" w:space="0"/>
            </w:tcBorders>
          </w:tcPr>
          <w:p w14:paraId="1B60ADA8">
            <w:pPr>
              <w:pStyle w:val="37"/>
              <w:keepNext w:val="0"/>
              <w:keepLines w:val="0"/>
              <w:pageBreakBefore w:val="0"/>
              <w:widowControl w:val="0"/>
              <w:kinsoku/>
              <w:wordWrap w:val="0"/>
              <w:overflowPunct/>
              <w:topLinePunct w:val="0"/>
              <w:autoSpaceDE/>
              <w:autoSpaceDN/>
              <w:bidi w:val="0"/>
              <w:snapToGrid/>
              <w:spacing w:before="107" w:line="240" w:lineRule="auto"/>
              <w:ind w:left="27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w:t>
            </w:r>
            <w:r>
              <w:rPr>
                <w:rFonts w:ascii="宋体" w:hAnsi="宋体" w:eastAsia="宋体" w:cs="宋体"/>
                <w:color w:val="auto"/>
                <w:spacing w:val="2"/>
                <w:sz w:val="21"/>
                <w:szCs w:val="21"/>
                <w:highlight w:val="none"/>
              </w:rPr>
              <w:t xml:space="preserve"> </w:t>
            </w:r>
            <w:r>
              <w:rPr>
                <w:rFonts w:ascii="宋体" w:hAnsi="宋体" w:eastAsia="宋体" w:cs="宋体"/>
                <w:color w:val="auto"/>
                <w:sz w:val="21"/>
                <w:szCs w:val="21"/>
                <w:highlight w:val="none"/>
              </w:rPr>
              <w:t>话</w:t>
            </w:r>
          </w:p>
        </w:tc>
        <w:tc>
          <w:tcPr>
            <w:tcW w:w="2703" w:type="dxa"/>
            <w:gridSpan w:val="3"/>
            <w:tcBorders>
              <w:top w:val="single" w:color="000000" w:sz="4" w:space="0"/>
              <w:left w:val="single" w:color="000000" w:sz="4" w:space="0"/>
              <w:bottom w:val="single" w:color="000000" w:sz="4" w:space="0"/>
              <w:right w:val="single" w:color="000000" w:sz="4" w:space="0"/>
            </w:tcBorders>
          </w:tcPr>
          <w:p w14:paraId="0FECDF77">
            <w:pPr>
              <w:keepNext w:val="0"/>
              <w:keepLines w:val="0"/>
              <w:pageBreakBefore w:val="0"/>
              <w:widowControl w:val="0"/>
              <w:kinsoku/>
              <w:wordWrap w:val="0"/>
              <w:overflowPunct/>
              <w:topLinePunct w:val="0"/>
              <w:autoSpaceDE/>
              <w:autoSpaceDN/>
              <w:bidi w:val="0"/>
              <w:snapToGrid/>
              <w:rPr>
                <w:color w:val="auto"/>
                <w:highlight w:val="none"/>
              </w:rPr>
            </w:pPr>
          </w:p>
        </w:tc>
      </w:tr>
      <w:tr w14:paraId="464C6D7D">
        <w:tblPrEx>
          <w:tblCellMar>
            <w:top w:w="0" w:type="dxa"/>
            <w:left w:w="0" w:type="dxa"/>
            <w:bottom w:w="0" w:type="dxa"/>
            <w:right w:w="0" w:type="dxa"/>
          </w:tblCellMar>
        </w:tblPrEx>
        <w:trPr>
          <w:trHeight w:val="451" w:hRule="exact"/>
          <w:jc w:val="center"/>
        </w:trPr>
        <w:tc>
          <w:tcPr>
            <w:tcW w:w="1908" w:type="dxa"/>
            <w:vMerge w:val="continue"/>
            <w:tcBorders>
              <w:left w:val="single" w:color="000000" w:sz="4" w:space="0"/>
              <w:bottom w:val="single" w:color="000000" w:sz="4" w:space="0"/>
              <w:right w:val="single" w:color="000000" w:sz="4" w:space="0"/>
            </w:tcBorders>
          </w:tcPr>
          <w:p w14:paraId="73744DE3">
            <w:pPr>
              <w:keepNext w:val="0"/>
              <w:keepLines w:val="0"/>
              <w:pageBreakBefore w:val="0"/>
              <w:widowControl w:val="0"/>
              <w:kinsoku/>
              <w:wordWrap w:val="0"/>
              <w:overflowPunct/>
              <w:topLinePunct w:val="0"/>
              <w:autoSpaceDE/>
              <w:autoSpaceDN/>
              <w:bidi w:val="0"/>
              <w:snapToGrid/>
              <w:rPr>
                <w:color w:val="auto"/>
                <w:highlight w:val="none"/>
              </w:rPr>
            </w:pPr>
          </w:p>
        </w:tc>
        <w:tc>
          <w:tcPr>
            <w:tcW w:w="901" w:type="dxa"/>
            <w:tcBorders>
              <w:top w:val="single" w:color="000000" w:sz="4" w:space="0"/>
              <w:left w:val="single" w:color="000000" w:sz="4" w:space="0"/>
              <w:bottom w:val="single" w:color="000000" w:sz="4" w:space="0"/>
              <w:right w:val="single" w:color="000000" w:sz="4" w:space="0"/>
            </w:tcBorders>
          </w:tcPr>
          <w:p w14:paraId="4EE876C0">
            <w:pPr>
              <w:pStyle w:val="37"/>
              <w:keepNext w:val="0"/>
              <w:keepLines w:val="0"/>
              <w:pageBreakBefore w:val="0"/>
              <w:widowControl w:val="0"/>
              <w:tabs>
                <w:tab w:val="left" w:pos="552"/>
              </w:tabs>
              <w:kinsoku/>
              <w:wordWrap w:val="0"/>
              <w:overflowPunct/>
              <w:topLinePunct w:val="0"/>
              <w:autoSpaceDE/>
              <w:autoSpaceDN/>
              <w:bidi w:val="0"/>
              <w:snapToGrid/>
              <w:spacing w:before="107" w:line="240" w:lineRule="auto"/>
              <w:ind w:left="12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传</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真</w:t>
            </w:r>
          </w:p>
        </w:tc>
        <w:tc>
          <w:tcPr>
            <w:tcW w:w="2340" w:type="dxa"/>
            <w:gridSpan w:val="3"/>
            <w:tcBorders>
              <w:top w:val="single" w:color="000000" w:sz="4" w:space="0"/>
              <w:left w:val="single" w:color="000000" w:sz="4" w:space="0"/>
              <w:bottom w:val="single" w:color="000000" w:sz="4" w:space="0"/>
              <w:right w:val="single" w:color="000000" w:sz="4" w:space="0"/>
            </w:tcBorders>
          </w:tcPr>
          <w:p w14:paraId="7BE25478">
            <w:pPr>
              <w:keepNext w:val="0"/>
              <w:keepLines w:val="0"/>
              <w:pageBreakBefore w:val="0"/>
              <w:widowControl w:val="0"/>
              <w:kinsoku/>
              <w:wordWrap w:val="0"/>
              <w:overflowPunct/>
              <w:topLinePunct w:val="0"/>
              <w:autoSpaceDE/>
              <w:autoSpaceDN/>
              <w:bidi w:val="0"/>
              <w:snapToGrid/>
              <w:rPr>
                <w:color w:val="auto"/>
                <w:highlight w:val="none"/>
              </w:rPr>
            </w:pPr>
          </w:p>
        </w:tc>
        <w:tc>
          <w:tcPr>
            <w:tcW w:w="1078" w:type="dxa"/>
            <w:tcBorders>
              <w:top w:val="single" w:color="000000" w:sz="4" w:space="0"/>
              <w:left w:val="single" w:color="000000" w:sz="4" w:space="0"/>
              <w:bottom w:val="single" w:color="000000" w:sz="4" w:space="0"/>
              <w:right w:val="single" w:color="000000" w:sz="4" w:space="0"/>
            </w:tcBorders>
          </w:tcPr>
          <w:p w14:paraId="574EE094">
            <w:pPr>
              <w:pStyle w:val="37"/>
              <w:keepNext w:val="0"/>
              <w:keepLines w:val="0"/>
              <w:pageBreakBefore w:val="0"/>
              <w:widowControl w:val="0"/>
              <w:kinsoku/>
              <w:wordWrap w:val="0"/>
              <w:overflowPunct/>
              <w:topLinePunct w:val="0"/>
              <w:autoSpaceDE/>
              <w:autoSpaceDN/>
              <w:bidi w:val="0"/>
              <w:snapToGrid/>
              <w:spacing w:before="107" w:line="240" w:lineRule="auto"/>
              <w:ind w:left="11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电子邮件</w:t>
            </w:r>
          </w:p>
        </w:tc>
        <w:tc>
          <w:tcPr>
            <w:tcW w:w="2703" w:type="dxa"/>
            <w:gridSpan w:val="3"/>
            <w:tcBorders>
              <w:top w:val="single" w:color="000000" w:sz="4" w:space="0"/>
              <w:left w:val="single" w:color="000000" w:sz="4" w:space="0"/>
              <w:bottom w:val="single" w:color="000000" w:sz="4" w:space="0"/>
              <w:right w:val="single" w:color="000000" w:sz="4" w:space="0"/>
            </w:tcBorders>
          </w:tcPr>
          <w:p w14:paraId="53C48408">
            <w:pPr>
              <w:keepNext w:val="0"/>
              <w:keepLines w:val="0"/>
              <w:pageBreakBefore w:val="0"/>
              <w:widowControl w:val="0"/>
              <w:kinsoku/>
              <w:wordWrap w:val="0"/>
              <w:overflowPunct/>
              <w:topLinePunct w:val="0"/>
              <w:autoSpaceDE/>
              <w:autoSpaceDN/>
              <w:bidi w:val="0"/>
              <w:snapToGrid/>
              <w:rPr>
                <w:color w:val="auto"/>
                <w:highlight w:val="none"/>
              </w:rPr>
            </w:pPr>
          </w:p>
        </w:tc>
      </w:tr>
      <w:tr w14:paraId="73BB45A3">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4207F3EE">
            <w:pPr>
              <w:pStyle w:val="37"/>
              <w:keepNext w:val="0"/>
              <w:keepLines w:val="0"/>
              <w:pageBreakBefore w:val="0"/>
              <w:widowControl w:val="0"/>
              <w:kinsoku/>
              <w:wordWrap w:val="0"/>
              <w:overflowPunct/>
              <w:topLinePunct w:val="0"/>
              <w:autoSpaceDE/>
              <w:autoSpaceDN/>
              <w:bidi w:val="0"/>
              <w:snapToGrid/>
              <w:spacing w:before="108"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法定代表人</w:t>
            </w:r>
          </w:p>
        </w:tc>
        <w:tc>
          <w:tcPr>
            <w:tcW w:w="901" w:type="dxa"/>
            <w:tcBorders>
              <w:top w:val="single" w:color="000000" w:sz="4" w:space="0"/>
              <w:left w:val="single" w:color="000000" w:sz="4" w:space="0"/>
              <w:bottom w:val="single" w:color="000000" w:sz="4" w:space="0"/>
              <w:right w:val="single" w:color="000000" w:sz="4" w:space="0"/>
            </w:tcBorders>
          </w:tcPr>
          <w:p w14:paraId="71C284B1">
            <w:pPr>
              <w:pStyle w:val="37"/>
              <w:keepNext w:val="0"/>
              <w:keepLines w:val="0"/>
              <w:pageBreakBefore w:val="0"/>
              <w:widowControl w:val="0"/>
              <w:kinsoku/>
              <w:wordWrap w:val="0"/>
              <w:overflowPunct/>
              <w:topLinePunct w:val="0"/>
              <w:autoSpaceDE/>
              <w:autoSpaceDN/>
              <w:bidi w:val="0"/>
              <w:snapToGrid/>
              <w:spacing w:before="108" w:line="240" w:lineRule="auto"/>
              <w:ind w:left="235"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姓名</w:t>
            </w:r>
          </w:p>
        </w:tc>
        <w:tc>
          <w:tcPr>
            <w:tcW w:w="1080" w:type="dxa"/>
            <w:tcBorders>
              <w:top w:val="single" w:color="000000" w:sz="4" w:space="0"/>
              <w:left w:val="single" w:color="000000" w:sz="4" w:space="0"/>
              <w:bottom w:val="single" w:color="000000" w:sz="4" w:space="0"/>
              <w:right w:val="single" w:color="000000" w:sz="4" w:space="0"/>
            </w:tcBorders>
          </w:tcPr>
          <w:p w14:paraId="3A43BBFA">
            <w:pPr>
              <w:keepNext w:val="0"/>
              <w:keepLines w:val="0"/>
              <w:pageBreakBefore w:val="0"/>
              <w:widowControl w:val="0"/>
              <w:kinsoku/>
              <w:wordWrap w:val="0"/>
              <w:overflowPunct/>
              <w:topLinePunct w:val="0"/>
              <w:autoSpaceDE/>
              <w:autoSpaceDN/>
              <w:bidi w:val="0"/>
              <w:snapToGrid/>
              <w:rPr>
                <w:color w:val="auto"/>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tcPr>
          <w:p w14:paraId="58946345">
            <w:pPr>
              <w:pStyle w:val="37"/>
              <w:keepNext w:val="0"/>
              <w:keepLines w:val="0"/>
              <w:pageBreakBefore w:val="0"/>
              <w:widowControl w:val="0"/>
              <w:kinsoku/>
              <w:wordWrap w:val="0"/>
              <w:overflowPunct/>
              <w:topLinePunct w:val="0"/>
              <w:autoSpaceDE/>
              <w:autoSpaceDN/>
              <w:bidi w:val="0"/>
              <w:snapToGrid/>
              <w:spacing w:before="108" w:line="240" w:lineRule="auto"/>
              <w:ind w:left="20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078" w:type="dxa"/>
            <w:tcBorders>
              <w:top w:val="single" w:color="000000" w:sz="4" w:space="0"/>
              <w:left w:val="single" w:color="000000" w:sz="4" w:space="0"/>
              <w:bottom w:val="single" w:color="000000" w:sz="4" w:space="0"/>
              <w:right w:val="single" w:color="000000" w:sz="4" w:space="0"/>
            </w:tcBorders>
          </w:tcPr>
          <w:p w14:paraId="20649F4E">
            <w:pPr>
              <w:keepNext w:val="0"/>
              <w:keepLines w:val="0"/>
              <w:pageBreakBefore w:val="0"/>
              <w:widowControl w:val="0"/>
              <w:kinsoku/>
              <w:wordWrap w:val="0"/>
              <w:overflowPunct/>
              <w:topLinePunct w:val="0"/>
              <w:autoSpaceDE/>
              <w:autoSpaceDN/>
              <w:bidi w:val="0"/>
              <w:snapToGrid/>
              <w:rPr>
                <w:color w:val="auto"/>
                <w:highlight w:val="none"/>
              </w:rPr>
            </w:pPr>
          </w:p>
        </w:tc>
        <w:tc>
          <w:tcPr>
            <w:tcW w:w="1082" w:type="dxa"/>
            <w:gridSpan w:val="2"/>
            <w:tcBorders>
              <w:top w:val="single" w:color="000000" w:sz="4" w:space="0"/>
              <w:left w:val="single" w:color="000000" w:sz="4" w:space="0"/>
              <w:bottom w:val="single" w:color="000000" w:sz="4" w:space="0"/>
              <w:right w:val="single" w:color="000000" w:sz="4" w:space="0"/>
            </w:tcBorders>
          </w:tcPr>
          <w:p w14:paraId="12BBE6F0">
            <w:pPr>
              <w:pStyle w:val="37"/>
              <w:keepNext w:val="0"/>
              <w:keepLines w:val="0"/>
              <w:pageBreakBefore w:val="0"/>
              <w:widowControl w:val="0"/>
              <w:kinsoku/>
              <w:wordWrap w:val="0"/>
              <w:overflowPunct/>
              <w:topLinePunct w:val="0"/>
              <w:autoSpaceDE/>
              <w:autoSpaceDN/>
              <w:bidi w:val="0"/>
              <w:snapToGrid/>
              <w:spacing w:before="108" w:line="240" w:lineRule="auto"/>
              <w:ind w:left="326"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电话</w:t>
            </w:r>
          </w:p>
        </w:tc>
        <w:tc>
          <w:tcPr>
            <w:tcW w:w="1621" w:type="dxa"/>
            <w:tcBorders>
              <w:top w:val="single" w:color="000000" w:sz="4" w:space="0"/>
              <w:left w:val="single" w:color="000000" w:sz="4" w:space="0"/>
              <w:bottom w:val="single" w:color="000000" w:sz="4" w:space="0"/>
              <w:right w:val="single" w:color="000000" w:sz="4" w:space="0"/>
            </w:tcBorders>
          </w:tcPr>
          <w:p w14:paraId="61505F58">
            <w:pPr>
              <w:keepNext w:val="0"/>
              <w:keepLines w:val="0"/>
              <w:pageBreakBefore w:val="0"/>
              <w:widowControl w:val="0"/>
              <w:kinsoku/>
              <w:wordWrap w:val="0"/>
              <w:overflowPunct/>
              <w:topLinePunct w:val="0"/>
              <w:autoSpaceDE/>
              <w:autoSpaceDN/>
              <w:bidi w:val="0"/>
              <w:snapToGrid/>
              <w:rPr>
                <w:color w:val="auto"/>
                <w:highlight w:val="none"/>
              </w:rPr>
            </w:pPr>
          </w:p>
        </w:tc>
      </w:tr>
      <w:tr w14:paraId="25C3F866">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466DF49C">
            <w:pPr>
              <w:pStyle w:val="37"/>
              <w:keepNext w:val="0"/>
              <w:keepLines w:val="0"/>
              <w:pageBreakBefore w:val="0"/>
              <w:widowControl w:val="0"/>
              <w:kinsoku/>
              <w:wordWrap w:val="0"/>
              <w:overflowPunct/>
              <w:topLinePunct w:val="0"/>
              <w:autoSpaceDE/>
              <w:autoSpaceDN/>
              <w:bidi w:val="0"/>
              <w:snapToGrid/>
              <w:spacing w:before="107"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技术负责人</w:t>
            </w:r>
          </w:p>
        </w:tc>
        <w:tc>
          <w:tcPr>
            <w:tcW w:w="901" w:type="dxa"/>
            <w:tcBorders>
              <w:top w:val="single" w:color="000000" w:sz="4" w:space="0"/>
              <w:left w:val="single" w:color="000000" w:sz="4" w:space="0"/>
              <w:bottom w:val="single" w:color="000000" w:sz="4" w:space="0"/>
              <w:right w:val="single" w:color="000000" w:sz="4" w:space="0"/>
            </w:tcBorders>
          </w:tcPr>
          <w:p w14:paraId="66A684BF">
            <w:pPr>
              <w:pStyle w:val="37"/>
              <w:keepNext w:val="0"/>
              <w:keepLines w:val="0"/>
              <w:pageBreakBefore w:val="0"/>
              <w:widowControl w:val="0"/>
              <w:kinsoku/>
              <w:wordWrap w:val="0"/>
              <w:overflowPunct/>
              <w:topLinePunct w:val="0"/>
              <w:autoSpaceDE/>
              <w:autoSpaceDN/>
              <w:bidi w:val="0"/>
              <w:snapToGrid/>
              <w:spacing w:before="107" w:line="240" w:lineRule="auto"/>
              <w:ind w:left="235"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姓名</w:t>
            </w:r>
          </w:p>
        </w:tc>
        <w:tc>
          <w:tcPr>
            <w:tcW w:w="1080" w:type="dxa"/>
            <w:tcBorders>
              <w:top w:val="single" w:color="000000" w:sz="4" w:space="0"/>
              <w:left w:val="single" w:color="000000" w:sz="4" w:space="0"/>
              <w:bottom w:val="single" w:color="000000" w:sz="4" w:space="0"/>
              <w:right w:val="single" w:color="000000" w:sz="4" w:space="0"/>
            </w:tcBorders>
          </w:tcPr>
          <w:p w14:paraId="162789F3">
            <w:pPr>
              <w:keepNext w:val="0"/>
              <w:keepLines w:val="0"/>
              <w:pageBreakBefore w:val="0"/>
              <w:widowControl w:val="0"/>
              <w:kinsoku/>
              <w:wordWrap w:val="0"/>
              <w:overflowPunct/>
              <w:topLinePunct w:val="0"/>
              <w:autoSpaceDE/>
              <w:autoSpaceDN/>
              <w:bidi w:val="0"/>
              <w:snapToGrid/>
              <w:rPr>
                <w:color w:val="auto"/>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tcPr>
          <w:p w14:paraId="0187613A">
            <w:pPr>
              <w:pStyle w:val="37"/>
              <w:keepNext w:val="0"/>
              <w:keepLines w:val="0"/>
              <w:pageBreakBefore w:val="0"/>
              <w:widowControl w:val="0"/>
              <w:kinsoku/>
              <w:wordWrap w:val="0"/>
              <w:overflowPunct/>
              <w:topLinePunct w:val="0"/>
              <w:autoSpaceDE/>
              <w:autoSpaceDN/>
              <w:bidi w:val="0"/>
              <w:snapToGrid/>
              <w:spacing w:before="107" w:line="240" w:lineRule="auto"/>
              <w:ind w:left="20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078" w:type="dxa"/>
            <w:tcBorders>
              <w:top w:val="single" w:color="000000" w:sz="4" w:space="0"/>
              <w:left w:val="single" w:color="000000" w:sz="4" w:space="0"/>
              <w:bottom w:val="single" w:color="000000" w:sz="4" w:space="0"/>
              <w:right w:val="single" w:color="000000" w:sz="4" w:space="0"/>
            </w:tcBorders>
          </w:tcPr>
          <w:p w14:paraId="2C4C3EB0">
            <w:pPr>
              <w:keepNext w:val="0"/>
              <w:keepLines w:val="0"/>
              <w:pageBreakBefore w:val="0"/>
              <w:widowControl w:val="0"/>
              <w:kinsoku/>
              <w:wordWrap w:val="0"/>
              <w:overflowPunct/>
              <w:topLinePunct w:val="0"/>
              <w:autoSpaceDE/>
              <w:autoSpaceDN/>
              <w:bidi w:val="0"/>
              <w:snapToGrid/>
              <w:rPr>
                <w:color w:val="auto"/>
                <w:highlight w:val="none"/>
              </w:rPr>
            </w:pPr>
          </w:p>
        </w:tc>
        <w:tc>
          <w:tcPr>
            <w:tcW w:w="1082" w:type="dxa"/>
            <w:gridSpan w:val="2"/>
            <w:tcBorders>
              <w:top w:val="single" w:color="000000" w:sz="4" w:space="0"/>
              <w:left w:val="single" w:color="000000" w:sz="4" w:space="0"/>
              <w:bottom w:val="single" w:color="000000" w:sz="4" w:space="0"/>
              <w:right w:val="single" w:color="000000" w:sz="4" w:space="0"/>
            </w:tcBorders>
          </w:tcPr>
          <w:p w14:paraId="7B70EF11">
            <w:pPr>
              <w:pStyle w:val="37"/>
              <w:keepNext w:val="0"/>
              <w:keepLines w:val="0"/>
              <w:pageBreakBefore w:val="0"/>
              <w:widowControl w:val="0"/>
              <w:kinsoku/>
              <w:wordWrap w:val="0"/>
              <w:overflowPunct/>
              <w:topLinePunct w:val="0"/>
              <w:autoSpaceDE/>
              <w:autoSpaceDN/>
              <w:bidi w:val="0"/>
              <w:snapToGrid/>
              <w:spacing w:before="107" w:line="240" w:lineRule="auto"/>
              <w:ind w:left="326"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电话</w:t>
            </w:r>
          </w:p>
        </w:tc>
        <w:tc>
          <w:tcPr>
            <w:tcW w:w="1621" w:type="dxa"/>
            <w:tcBorders>
              <w:top w:val="single" w:color="000000" w:sz="4" w:space="0"/>
              <w:left w:val="single" w:color="000000" w:sz="4" w:space="0"/>
              <w:bottom w:val="single" w:color="000000" w:sz="4" w:space="0"/>
              <w:right w:val="single" w:color="000000" w:sz="4" w:space="0"/>
            </w:tcBorders>
          </w:tcPr>
          <w:p w14:paraId="1BA7D863">
            <w:pPr>
              <w:keepNext w:val="0"/>
              <w:keepLines w:val="0"/>
              <w:pageBreakBefore w:val="0"/>
              <w:widowControl w:val="0"/>
              <w:kinsoku/>
              <w:wordWrap w:val="0"/>
              <w:overflowPunct/>
              <w:topLinePunct w:val="0"/>
              <w:autoSpaceDE/>
              <w:autoSpaceDN/>
              <w:bidi w:val="0"/>
              <w:snapToGrid/>
              <w:rPr>
                <w:color w:val="auto"/>
                <w:highlight w:val="none"/>
              </w:rPr>
            </w:pPr>
          </w:p>
        </w:tc>
      </w:tr>
      <w:tr w14:paraId="21B1FD3C">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4CB4A213">
            <w:pPr>
              <w:pStyle w:val="37"/>
              <w:keepNext w:val="0"/>
              <w:keepLines w:val="0"/>
              <w:pageBreakBefore w:val="0"/>
              <w:widowControl w:val="0"/>
              <w:kinsoku/>
              <w:wordWrap w:val="0"/>
              <w:overflowPunct/>
              <w:topLinePunct w:val="0"/>
              <w:autoSpaceDE/>
              <w:autoSpaceDN/>
              <w:bidi w:val="0"/>
              <w:snapToGrid/>
              <w:spacing w:before="107" w:line="240" w:lineRule="auto"/>
              <w:ind w:left="42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营业执照号</w:t>
            </w:r>
          </w:p>
        </w:tc>
        <w:tc>
          <w:tcPr>
            <w:tcW w:w="1981" w:type="dxa"/>
            <w:gridSpan w:val="2"/>
            <w:tcBorders>
              <w:top w:val="single" w:color="000000" w:sz="4" w:space="0"/>
              <w:left w:val="single" w:color="000000" w:sz="4" w:space="0"/>
              <w:bottom w:val="single" w:color="000000" w:sz="4" w:space="0"/>
              <w:right w:val="single" w:color="000000" w:sz="4" w:space="0"/>
            </w:tcBorders>
          </w:tcPr>
          <w:p w14:paraId="1048B838">
            <w:pPr>
              <w:keepNext w:val="0"/>
              <w:keepLines w:val="0"/>
              <w:pageBreakBefore w:val="0"/>
              <w:widowControl w:val="0"/>
              <w:kinsoku/>
              <w:wordWrap w:val="0"/>
              <w:overflowPunct/>
              <w:topLinePunct w:val="0"/>
              <w:autoSpaceDE/>
              <w:autoSpaceDN/>
              <w:bidi w:val="0"/>
              <w:snapToGrid/>
              <w:rPr>
                <w:color w:val="auto"/>
                <w:highlight w:val="none"/>
              </w:rPr>
            </w:pPr>
          </w:p>
        </w:tc>
        <w:tc>
          <w:tcPr>
            <w:tcW w:w="5041" w:type="dxa"/>
            <w:gridSpan w:val="6"/>
            <w:tcBorders>
              <w:top w:val="single" w:color="000000" w:sz="4" w:space="0"/>
              <w:left w:val="single" w:color="000000" w:sz="4" w:space="0"/>
              <w:bottom w:val="single" w:color="000000" w:sz="4" w:space="0"/>
              <w:right w:val="single" w:color="000000" w:sz="4" w:space="0"/>
            </w:tcBorders>
          </w:tcPr>
          <w:p w14:paraId="16B2A7FD">
            <w:pPr>
              <w:pStyle w:val="37"/>
              <w:keepNext w:val="0"/>
              <w:keepLines w:val="0"/>
              <w:pageBreakBefore w:val="0"/>
              <w:widowControl w:val="0"/>
              <w:kinsoku/>
              <w:wordWrap w:val="0"/>
              <w:overflowPunct/>
              <w:topLinePunct w:val="0"/>
              <w:autoSpaceDE/>
              <w:autoSpaceDN/>
              <w:bidi w:val="0"/>
              <w:snapToGrid/>
              <w:spacing w:before="107" w:line="240" w:lineRule="auto"/>
              <w:ind w:left="105"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员工总人数：</w:t>
            </w:r>
          </w:p>
        </w:tc>
      </w:tr>
      <w:tr w14:paraId="54C5063F">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25451FDA">
            <w:pPr>
              <w:pStyle w:val="37"/>
              <w:keepNext w:val="0"/>
              <w:keepLines w:val="0"/>
              <w:pageBreakBefore w:val="0"/>
              <w:widowControl w:val="0"/>
              <w:kinsoku/>
              <w:wordWrap w:val="0"/>
              <w:overflowPunct/>
              <w:topLinePunct w:val="0"/>
              <w:autoSpaceDE/>
              <w:autoSpaceDN/>
              <w:bidi w:val="0"/>
              <w:snapToGrid/>
              <w:spacing w:before="107" w:line="240" w:lineRule="auto"/>
              <w:ind w:left="31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企业资质等级</w:t>
            </w:r>
          </w:p>
        </w:tc>
        <w:tc>
          <w:tcPr>
            <w:tcW w:w="1981" w:type="dxa"/>
            <w:gridSpan w:val="2"/>
            <w:tcBorders>
              <w:top w:val="single" w:color="000000" w:sz="4" w:space="0"/>
              <w:left w:val="single" w:color="000000" w:sz="4" w:space="0"/>
              <w:bottom w:val="single" w:color="000000" w:sz="4" w:space="0"/>
              <w:right w:val="single" w:color="000000" w:sz="4" w:space="0"/>
            </w:tcBorders>
          </w:tcPr>
          <w:p w14:paraId="320655ED">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restart"/>
            <w:tcBorders>
              <w:top w:val="single" w:color="000000" w:sz="4" w:space="0"/>
              <w:left w:val="single" w:color="000000" w:sz="4" w:space="0"/>
              <w:right w:val="single" w:color="000000" w:sz="4" w:space="0"/>
            </w:tcBorders>
          </w:tcPr>
          <w:p w14:paraId="1B95E65F">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19C0AFF5">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3C9410CB">
            <w:pPr>
              <w:pStyle w:val="37"/>
              <w:keepNext w:val="0"/>
              <w:keepLines w:val="0"/>
              <w:pageBreakBefore w:val="0"/>
              <w:widowControl w:val="0"/>
              <w:kinsoku/>
              <w:wordWrap w:val="0"/>
              <w:overflowPunct/>
              <w:topLinePunct w:val="0"/>
              <w:autoSpaceDE/>
              <w:autoSpaceDN/>
              <w:bidi w:val="0"/>
              <w:snapToGrid/>
              <w:spacing w:before="4" w:line="240" w:lineRule="auto"/>
              <w:ind w:right="0"/>
              <w:jc w:val="left"/>
              <w:rPr>
                <w:rFonts w:ascii="黑体" w:hAnsi="黑体" w:eastAsia="黑体" w:cs="黑体"/>
                <w:color w:val="auto"/>
                <w:sz w:val="20"/>
                <w:szCs w:val="20"/>
                <w:highlight w:val="none"/>
              </w:rPr>
            </w:pPr>
          </w:p>
          <w:p w14:paraId="62FF98AA">
            <w:pPr>
              <w:pStyle w:val="37"/>
              <w:keepNext w:val="0"/>
              <w:keepLines w:val="0"/>
              <w:pageBreakBefore w:val="0"/>
              <w:widowControl w:val="0"/>
              <w:kinsoku/>
              <w:wordWrap w:val="0"/>
              <w:overflowPunct/>
              <w:topLinePunct w:val="0"/>
              <w:autoSpaceDE/>
              <w:autoSpaceDN/>
              <w:bidi w:val="0"/>
              <w:snapToGrid/>
              <w:spacing w:line="384" w:lineRule="auto"/>
              <w:ind w:left="153" w:right="151"/>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其</w:t>
            </w:r>
            <w:r>
              <w:rPr>
                <w:rFonts w:ascii="宋体" w:hAnsi="宋体" w:eastAsia="宋体" w:cs="宋体"/>
                <w:color w:val="auto"/>
                <w:w w:val="100"/>
                <w:sz w:val="21"/>
                <w:szCs w:val="21"/>
                <w:highlight w:val="none"/>
              </w:rPr>
              <w:t xml:space="preserve"> </w:t>
            </w:r>
            <w:r>
              <w:rPr>
                <w:rFonts w:ascii="宋体" w:hAnsi="宋体" w:eastAsia="宋体" w:cs="宋体"/>
                <w:color w:val="auto"/>
                <w:sz w:val="21"/>
                <w:szCs w:val="21"/>
                <w:highlight w:val="none"/>
              </w:rPr>
              <w:t>中</w:t>
            </w:r>
          </w:p>
        </w:tc>
        <w:tc>
          <w:tcPr>
            <w:tcW w:w="1992" w:type="dxa"/>
            <w:gridSpan w:val="3"/>
            <w:tcBorders>
              <w:top w:val="single" w:color="000000" w:sz="4" w:space="0"/>
              <w:left w:val="single" w:color="000000" w:sz="4" w:space="0"/>
              <w:bottom w:val="single" w:color="000000" w:sz="4" w:space="0"/>
              <w:right w:val="single" w:color="000000" w:sz="4" w:space="0"/>
            </w:tcBorders>
          </w:tcPr>
          <w:p w14:paraId="5AD3F936">
            <w:pPr>
              <w:pStyle w:val="37"/>
              <w:keepNext w:val="0"/>
              <w:keepLines w:val="0"/>
              <w:pageBreakBefore w:val="0"/>
              <w:widowControl w:val="0"/>
              <w:kinsoku/>
              <w:wordWrap w:val="0"/>
              <w:overflowPunct/>
              <w:topLinePunct w:val="0"/>
              <w:autoSpaceDE/>
              <w:autoSpaceDN/>
              <w:bidi w:val="0"/>
              <w:snapToGrid/>
              <w:spacing w:before="107" w:line="240" w:lineRule="auto"/>
              <w:ind w:left="57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项目经理</w:t>
            </w:r>
          </w:p>
        </w:tc>
        <w:tc>
          <w:tcPr>
            <w:tcW w:w="2521" w:type="dxa"/>
            <w:gridSpan w:val="2"/>
            <w:tcBorders>
              <w:top w:val="single" w:color="000000" w:sz="4" w:space="0"/>
              <w:left w:val="single" w:color="000000" w:sz="4" w:space="0"/>
              <w:bottom w:val="single" w:color="000000" w:sz="4" w:space="0"/>
              <w:right w:val="single" w:color="000000" w:sz="4" w:space="0"/>
            </w:tcBorders>
          </w:tcPr>
          <w:p w14:paraId="1859D7C8">
            <w:pPr>
              <w:keepNext w:val="0"/>
              <w:keepLines w:val="0"/>
              <w:pageBreakBefore w:val="0"/>
              <w:widowControl w:val="0"/>
              <w:kinsoku/>
              <w:wordWrap w:val="0"/>
              <w:overflowPunct/>
              <w:topLinePunct w:val="0"/>
              <w:autoSpaceDE/>
              <w:autoSpaceDN/>
              <w:bidi w:val="0"/>
              <w:snapToGrid/>
              <w:rPr>
                <w:color w:val="auto"/>
                <w:highlight w:val="none"/>
              </w:rPr>
            </w:pPr>
          </w:p>
        </w:tc>
      </w:tr>
      <w:tr w14:paraId="34780011">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402F0ADD">
            <w:pPr>
              <w:pStyle w:val="37"/>
              <w:keepNext w:val="0"/>
              <w:keepLines w:val="0"/>
              <w:pageBreakBefore w:val="0"/>
              <w:widowControl w:val="0"/>
              <w:kinsoku/>
              <w:wordWrap w:val="0"/>
              <w:overflowPunct/>
              <w:topLinePunct w:val="0"/>
              <w:autoSpaceDE/>
              <w:autoSpaceDN/>
              <w:bidi w:val="0"/>
              <w:snapToGrid/>
              <w:spacing w:before="107"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注册资本</w:t>
            </w:r>
          </w:p>
        </w:tc>
        <w:tc>
          <w:tcPr>
            <w:tcW w:w="1981" w:type="dxa"/>
            <w:gridSpan w:val="2"/>
            <w:tcBorders>
              <w:top w:val="single" w:color="000000" w:sz="4" w:space="0"/>
              <w:left w:val="single" w:color="000000" w:sz="4" w:space="0"/>
              <w:bottom w:val="single" w:color="000000" w:sz="4" w:space="0"/>
              <w:right w:val="single" w:color="000000" w:sz="4" w:space="0"/>
            </w:tcBorders>
          </w:tcPr>
          <w:p w14:paraId="60AB447D">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right w:val="single" w:color="000000" w:sz="4" w:space="0"/>
            </w:tcBorders>
          </w:tcPr>
          <w:p w14:paraId="621EDE7E">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3C70830F">
            <w:pPr>
              <w:pStyle w:val="37"/>
              <w:keepNext w:val="0"/>
              <w:keepLines w:val="0"/>
              <w:pageBreakBefore w:val="0"/>
              <w:widowControl w:val="0"/>
              <w:kinsoku/>
              <w:wordWrap w:val="0"/>
              <w:overflowPunct/>
              <w:topLinePunct w:val="0"/>
              <w:autoSpaceDE/>
              <w:autoSpaceDN/>
              <w:bidi w:val="0"/>
              <w:snapToGrid/>
              <w:spacing w:before="107" w:line="240" w:lineRule="auto"/>
              <w:ind w:left="35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高级职称人员</w:t>
            </w:r>
          </w:p>
        </w:tc>
        <w:tc>
          <w:tcPr>
            <w:tcW w:w="2521" w:type="dxa"/>
            <w:gridSpan w:val="2"/>
            <w:tcBorders>
              <w:top w:val="single" w:color="000000" w:sz="4" w:space="0"/>
              <w:left w:val="single" w:color="000000" w:sz="4" w:space="0"/>
              <w:bottom w:val="single" w:color="000000" w:sz="4" w:space="0"/>
              <w:right w:val="single" w:color="000000" w:sz="4" w:space="0"/>
            </w:tcBorders>
          </w:tcPr>
          <w:p w14:paraId="6E20F575">
            <w:pPr>
              <w:keepNext w:val="0"/>
              <w:keepLines w:val="0"/>
              <w:pageBreakBefore w:val="0"/>
              <w:widowControl w:val="0"/>
              <w:kinsoku/>
              <w:wordWrap w:val="0"/>
              <w:overflowPunct/>
              <w:topLinePunct w:val="0"/>
              <w:autoSpaceDE/>
              <w:autoSpaceDN/>
              <w:bidi w:val="0"/>
              <w:snapToGrid/>
              <w:rPr>
                <w:color w:val="auto"/>
                <w:highlight w:val="none"/>
              </w:rPr>
            </w:pPr>
          </w:p>
        </w:tc>
      </w:tr>
      <w:tr w14:paraId="73BBA9EF">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41B9120D">
            <w:pPr>
              <w:pStyle w:val="37"/>
              <w:keepNext w:val="0"/>
              <w:keepLines w:val="0"/>
              <w:pageBreakBefore w:val="0"/>
              <w:widowControl w:val="0"/>
              <w:kinsoku/>
              <w:wordWrap w:val="0"/>
              <w:overflowPunct/>
              <w:topLinePunct w:val="0"/>
              <w:autoSpaceDE/>
              <w:autoSpaceDN/>
              <w:bidi w:val="0"/>
              <w:snapToGrid/>
              <w:spacing w:before="107" w:line="240" w:lineRule="auto"/>
              <w:ind w:left="52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成立日期</w:t>
            </w:r>
          </w:p>
        </w:tc>
        <w:tc>
          <w:tcPr>
            <w:tcW w:w="1981" w:type="dxa"/>
            <w:gridSpan w:val="2"/>
            <w:tcBorders>
              <w:top w:val="single" w:color="000000" w:sz="4" w:space="0"/>
              <w:left w:val="single" w:color="000000" w:sz="4" w:space="0"/>
              <w:bottom w:val="single" w:color="000000" w:sz="4" w:space="0"/>
              <w:right w:val="single" w:color="000000" w:sz="4" w:space="0"/>
            </w:tcBorders>
          </w:tcPr>
          <w:p w14:paraId="3C6A92D7">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right w:val="single" w:color="000000" w:sz="4" w:space="0"/>
            </w:tcBorders>
          </w:tcPr>
          <w:p w14:paraId="473DE5DE">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188CF3B4">
            <w:pPr>
              <w:pStyle w:val="37"/>
              <w:keepNext w:val="0"/>
              <w:keepLines w:val="0"/>
              <w:pageBreakBefore w:val="0"/>
              <w:widowControl w:val="0"/>
              <w:kinsoku/>
              <w:wordWrap w:val="0"/>
              <w:overflowPunct/>
              <w:topLinePunct w:val="0"/>
              <w:autoSpaceDE/>
              <w:autoSpaceDN/>
              <w:bidi w:val="0"/>
              <w:snapToGrid/>
              <w:spacing w:before="107" w:line="240" w:lineRule="auto"/>
              <w:ind w:left="35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中级职称人员</w:t>
            </w:r>
          </w:p>
        </w:tc>
        <w:tc>
          <w:tcPr>
            <w:tcW w:w="2521" w:type="dxa"/>
            <w:gridSpan w:val="2"/>
            <w:tcBorders>
              <w:top w:val="single" w:color="000000" w:sz="4" w:space="0"/>
              <w:left w:val="single" w:color="000000" w:sz="4" w:space="0"/>
              <w:bottom w:val="single" w:color="000000" w:sz="4" w:space="0"/>
              <w:right w:val="single" w:color="000000" w:sz="4" w:space="0"/>
            </w:tcBorders>
          </w:tcPr>
          <w:p w14:paraId="70D67D20">
            <w:pPr>
              <w:keepNext w:val="0"/>
              <w:keepLines w:val="0"/>
              <w:pageBreakBefore w:val="0"/>
              <w:widowControl w:val="0"/>
              <w:kinsoku/>
              <w:wordWrap w:val="0"/>
              <w:overflowPunct/>
              <w:topLinePunct w:val="0"/>
              <w:autoSpaceDE/>
              <w:autoSpaceDN/>
              <w:bidi w:val="0"/>
              <w:snapToGrid/>
              <w:rPr>
                <w:color w:val="auto"/>
                <w:highlight w:val="none"/>
              </w:rPr>
            </w:pPr>
          </w:p>
        </w:tc>
      </w:tr>
      <w:tr w14:paraId="2A26679A">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4896D98F">
            <w:pPr>
              <w:pStyle w:val="37"/>
              <w:keepNext w:val="0"/>
              <w:keepLines w:val="0"/>
              <w:pageBreakBefore w:val="0"/>
              <w:widowControl w:val="0"/>
              <w:kinsoku/>
              <w:wordWrap w:val="0"/>
              <w:overflowPunct/>
              <w:topLinePunct w:val="0"/>
              <w:autoSpaceDE/>
              <w:autoSpaceDN/>
              <w:bidi w:val="0"/>
              <w:snapToGrid/>
              <w:spacing w:before="107" w:line="240" w:lineRule="auto"/>
              <w:ind w:left="10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基本账户开户银行</w:t>
            </w:r>
          </w:p>
        </w:tc>
        <w:tc>
          <w:tcPr>
            <w:tcW w:w="1981" w:type="dxa"/>
            <w:gridSpan w:val="2"/>
            <w:tcBorders>
              <w:top w:val="single" w:color="000000" w:sz="4" w:space="0"/>
              <w:left w:val="single" w:color="000000" w:sz="4" w:space="0"/>
              <w:bottom w:val="single" w:color="000000" w:sz="4" w:space="0"/>
              <w:right w:val="single" w:color="000000" w:sz="4" w:space="0"/>
            </w:tcBorders>
          </w:tcPr>
          <w:p w14:paraId="22667E82">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right w:val="single" w:color="000000" w:sz="4" w:space="0"/>
            </w:tcBorders>
          </w:tcPr>
          <w:p w14:paraId="3978E8F0">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4178DEEC">
            <w:pPr>
              <w:pStyle w:val="37"/>
              <w:keepNext w:val="0"/>
              <w:keepLines w:val="0"/>
              <w:pageBreakBefore w:val="0"/>
              <w:widowControl w:val="0"/>
              <w:kinsoku/>
              <w:wordWrap w:val="0"/>
              <w:overflowPunct/>
              <w:topLinePunct w:val="0"/>
              <w:autoSpaceDE/>
              <w:autoSpaceDN/>
              <w:bidi w:val="0"/>
              <w:snapToGrid/>
              <w:spacing w:before="107" w:line="240" w:lineRule="auto"/>
              <w:ind w:left="35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初级职称人员</w:t>
            </w:r>
          </w:p>
        </w:tc>
        <w:tc>
          <w:tcPr>
            <w:tcW w:w="2521" w:type="dxa"/>
            <w:gridSpan w:val="2"/>
            <w:tcBorders>
              <w:top w:val="single" w:color="000000" w:sz="4" w:space="0"/>
              <w:left w:val="single" w:color="000000" w:sz="4" w:space="0"/>
              <w:bottom w:val="single" w:color="000000" w:sz="4" w:space="0"/>
              <w:right w:val="single" w:color="000000" w:sz="4" w:space="0"/>
            </w:tcBorders>
          </w:tcPr>
          <w:p w14:paraId="58F9F6C7">
            <w:pPr>
              <w:keepNext w:val="0"/>
              <w:keepLines w:val="0"/>
              <w:pageBreakBefore w:val="0"/>
              <w:widowControl w:val="0"/>
              <w:kinsoku/>
              <w:wordWrap w:val="0"/>
              <w:overflowPunct/>
              <w:topLinePunct w:val="0"/>
              <w:autoSpaceDE/>
              <w:autoSpaceDN/>
              <w:bidi w:val="0"/>
              <w:snapToGrid/>
              <w:rPr>
                <w:color w:val="auto"/>
                <w:highlight w:val="none"/>
              </w:rPr>
            </w:pPr>
          </w:p>
        </w:tc>
      </w:tr>
      <w:tr w14:paraId="594FA4FB">
        <w:tblPrEx>
          <w:tblCellMar>
            <w:top w:w="0" w:type="dxa"/>
            <w:left w:w="0" w:type="dxa"/>
            <w:bottom w:w="0" w:type="dxa"/>
            <w:right w:w="0" w:type="dxa"/>
          </w:tblCellMar>
        </w:tblPrEx>
        <w:trPr>
          <w:trHeight w:val="452" w:hRule="exact"/>
          <w:jc w:val="center"/>
        </w:trPr>
        <w:tc>
          <w:tcPr>
            <w:tcW w:w="1908" w:type="dxa"/>
            <w:tcBorders>
              <w:top w:val="single" w:color="000000" w:sz="4" w:space="0"/>
              <w:left w:val="single" w:color="000000" w:sz="4" w:space="0"/>
              <w:bottom w:val="single" w:color="000000" w:sz="4" w:space="0"/>
              <w:right w:val="single" w:color="000000" w:sz="4" w:space="0"/>
            </w:tcBorders>
          </w:tcPr>
          <w:p w14:paraId="732BBDC3">
            <w:pPr>
              <w:pStyle w:val="37"/>
              <w:keepNext w:val="0"/>
              <w:keepLines w:val="0"/>
              <w:pageBreakBefore w:val="0"/>
              <w:widowControl w:val="0"/>
              <w:kinsoku/>
              <w:wordWrap w:val="0"/>
              <w:overflowPunct/>
              <w:topLinePunct w:val="0"/>
              <w:autoSpaceDE/>
              <w:autoSpaceDN/>
              <w:bidi w:val="0"/>
              <w:snapToGrid/>
              <w:spacing w:before="108" w:line="240" w:lineRule="auto"/>
              <w:ind w:left="10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基本账户银行账号</w:t>
            </w:r>
          </w:p>
        </w:tc>
        <w:tc>
          <w:tcPr>
            <w:tcW w:w="1981" w:type="dxa"/>
            <w:gridSpan w:val="2"/>
            <w:tcBorders>
              <w:top w:val="single" w:color="000000" w:sz="4" w:space="0"/>
              <w:left w:val="single" w:color="000000" w:sz="4" w:space="0"/>
              <w:bottom w:val="single" w:color="000000" w:sz="4" w:space="0"/>
              <w:right w:val="single" w:color="000000" w:sz="4" w:space="0"/>
            </w:tcBorders>
          </w:tcPr>
          <w:p w14:paraId="6DF984B4">
            <w:pPr>
              <w:keepNext w:val="0"/>
              <w:keepLines w:val="0"/>
              <w:pageBreakBefore w:val="0"/>
              <w:widowControl w:val="0"/>
              <w:kinsoku/>
              <w:wordWrap w:val="0"/>
              <w:overflowPunct/>
              <w:topLinePunct w:val="0"/>
              <w:autoSpaceDE/>
              <w:autoSpaceDN/>
              <w:bidi w:val="0"/>
              <w:snapToGrid/>
              <w:rPr>
                <w:color w:val="auto"/>
                <w:highlight w:val="none"/>
              </w:rPr>
            </w:pPr>
          </w:p>
        </w:tc>
        <w:tc>
          <w:tcPr>
            <w:tcW w:w="528" w:type="dxa"/>
            <w:vMerge w:val="continue"/>
            <w:tcBorders>
              <w:left w:val="single" w:color="000000" w:sz="4" w:space="0"/>
              <w:bottom w:val="single" w:color="000000" w:sz="4" w:space="0"/>
              <w:right w:val="single" w:color="000000" w:sz="4" w:space="0"/>
            </w:tcBorders>
          </w:tcPr>
          <w:p w14:paraId="2CA80F18">
            <w:pPr>
              <w:keepNext w:val="0"/>
              <w:keepLines w:val="0"/>
              <w:pageBreakBefore w:val="0"/>
              <w:widowControl w:val="0"/>
              <w:kinsoku/>
              <w:wordWrap w:val="0"/>
              <w:overflowPunct/>
              <w:topLinePunct w:val="0"/>
              <w:autoSpaceDE/>
              <w:autoSpaceDN/>
              <w:bidi w:val="0"/>
              <w:snapToGrid/>
              <w:rPr>
                <w:color w:val="auto"/>
                <w:highlight w:val="none"/>
              </w:rPr>
            </w:pPr>
          </w:p>
        </w:tc>
        <w:tc>
          <w:tcPr>
            <w:tcW w:w="1992" w:type="dxa"/>
            <w:gridSpan w:val="3"/>
            <w:tcBorders>
              <w:top w:val="single" w:color="000000" w:sz="4" w:space="0"/>
              <w:left w:val="single" w:color="000000" w:sz="4" w:space="0"/>
              <w:bottom w:val="single" w:color="000000" w:sz="4" w:space="0"/>
              <w:right w:val="single" w:color="000000" w:sz="4" w:space="0"/>
            </w:tcBorders>
          </w:tcPr>
          <w:p w14:paraId="4BF1CD84">
            <w:pPr>
              <w:pStyle w:val="37"/>
              <w:keepNext w:val="0"/>
              <w:keepLines w:val="0"/>
              <w:pageBreakBefore w:val="0"/>
              <w:widowControl w:val="0"/>
              <w:kinsoku/>
              <w:wordWrap w:val="0"/>
              <w:overflowPunct/>
              <w:topLinePunct w:val="0"/>
              <w:autoSpaceDE/>
              <w:autoSpaceDN/>
              <w:bidi w:val="0"/>
              <w:snapToGrid/>
              <w:spacing w:before="119" w:line="240" w:lineRule="auto"/>
              <w:ind w:right="2"/>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t>技工</w:t>
            </w:r>
          </w:p>
        </w:tc>
        <w:tc>
          <w:tcPr>
            <w:tcW w:w="2521" w:type="dxa"/>
            <w:gridSpan w:val="2"/>
            <w:tcBorders>
              <w:top w:val="single" w:color="000000" w:sz="4" w:space="0"/>
              <w:left w:val="single" w:color="000000" w:sz="4" w:space="0"/>
              <w:bottom w:val="single" w:color="000000" w:sz="4" w:space="0"/>
              <w:right w:val="single" w:color="000000" w:sz="4" w:space="0"/>
            </w:tcBorders>
          </w:tcPr>
          <w:p w14:paraId="462B15D7">
            <w:pPr>
              <w:keepNext w:val="0"/>
              <w:keepLines w:val="0"/>
              <w:pageBreakBefore w:val="0"/>
              <w:widowControl w:val="0"/>
              <w:kinsoku/>
              <w:wordWrap w:val="0"/>
              <w:overflowPunct/>
              <w:topLinePunct w:val="0"/>
              <w:autoSpaceDE/>
              <w:autoSpaceDN/>
              <w:bidi w:val="0"/>
              <w:snapToGrid/>
              <w:rPr>
                <w:color w:val="auto"/>
                <w:highlight w:val="none"/>
              </w:rPr>
            </w:pPr>
          </w:p>
        </w:tc>
      </w:tr>
      <w:tr w14:paraId="69228778">
        <w:tblPrEx>
          <w:tblCellMar>
            <w:top w:w="0" w:type="dxa"/>
            <w:left w:w="0" w:type="dxa"/>
            <w:bottom w:w="0" w:type="dxa"/>
            <w:right w:w="0" w:type="dxa"/>
          </w:tblCellMar>
        </w:tblPrEx>
        <w:trPr>
          <w:trHeight w:val="1769" w:hRule="exact"/>
          <w:jc w:val="center"/>
        </w:trPr>
        <w:tc>
          <w:tcPr>
            <w:tcW w:w="1908" w:type="dxa"/>
            <w:tcBorders>
              <w:top w:val="single" w:color="000000" w:sz="4" w:space="0"/>
              <w:left w:val="single" w:color="000000" w:sz="4" w:space="0"/>
              <w:bottom w:val="single" w:color="000000" w:sz="4" w:space="0"/>
              <w:right w:val="single" w:color="000000" w:sz="4" w:space="0"/>
            </w:tcBorders>
          </w:tcPr>
          <w:p w14:paraId="25386278">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F495E4F">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17D92220">
            <w:pPr>
              <w:pStyle w:val="37"/>
              <w:keepNext w:val="0"/>
              <w:keepLines w:val="0"/>
              <w:pageBreakBefore w:val="0"/>
              <w:widowControl w:val="0"/>
              <w:kinsoku/>
              <w:wordWrap w:val="0"/>
              <w:overflowPunct/>
              <w:topLinePunct w:val="0"/>
              <w:autoSpaceDE/>
              <w:autoSpaceDN/>
              <w:bidi w:val="0"/>
              <w:snapToGrid/>
              <w:spacing w:before="9" w:line="240" w:lineRule="auto"/>
              <w:ind w:right="0"/>
              <w:jc w:val="left"/>
              <w:rPr>
                <w:rFonts w:ascii="黑体" w:hAnsi="黑体" w:eastAsia="黑体" w:cs="黑体"/>
                <w:color w:val="auto"/>
                <w:sz w:val="18"/>
                <w:szCs w:val="18"/>
                <w:highlight w:val="none"/>
              </w:rPr>
            </w:pPr>
          </w:p>
          <w:p w14:paraId="0AC9017E">
            <w:pPr>
              <w:pStyle w:val="37"/>
              <w:keepNext w:val="0"/>
              <w:keepLines w:val="0"/>
              <w:pageBreakBefore w:val="0"/>
              <w:widowControl w:val="0"/>
              <w:kinsoku/>
              <w:wordWrap w:val="0"/>
              <w:overflowPunct/>
              <w:topLinePunct w:val="0"/>
              <w:autoSpaceDE/>
              <w:autoSpaceDN/>
              <w:bidi w:val="0"/>
              <w:snapToGrid/>
              <w:spacing w:line="240" w:lineRule="auto"/>
              <w:ind w:left="63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经营范围</w:t>
            </w:r>
          </w:p>
        </w:tc>
        <w:tc>
          <w:tcPr>
            <w:tcW w:w="7022" w:type="dxa"/>
            <w:gridSpan w:val="8"/>
            <w:tcBorders>
              <w:top w:val="single" w:color="000000" w:sz="4" w:space="0"/>
              <w:left w:val="single" w:color="000000" w:sz="4" w:space="0"/>
              <w:bottom w:val="single" w:color="000000" w:sz="4" w:space="0"/>
              <w:right w:val="single" w:color="000000" w:sz="4" w:space="0"/>
            </w:tcBorders>
          </w:tcPr>
          <w:p w14:paraId="137E2479">
            <w:pPr>
              <w:keepNext w:val="0"/>
              <w:keepLines w:val="0"/>
              <w:pageBreakBefore w:val="0"/>
              <w:widowControl w:val="0"/>
              <w:kinsoku/>
              <w:wordWrap w:val="0"/>
              <w:overflowPunct/>
              <w:topLinePunct w:val="0"/>
              <w:autoSpaceDE/>
              <w:autoSpaceDN/>
              <w:bidi w:val="0"/>
              <w:snapToGrid/>
              <w:rPr>
                <w:color w:val="auto"/>
                <w:highlight w:val="none"/>
              </w:rPr>
            </w:pPr>
          </w:p>
        </w:tc>
      </w:tr>
      <w:tr w14:paraId="6F04CAB2">
        <w:tblPrEx>
          <w:tblCellMar>
            <w:top w:w="0" w:type="dxa"/>
            <w:left w:w="0" w:type="dxa"/>
            <w:bottom w:w="0" w:type="dxa"/>
            <w:right w:w="0" w:type="dxa"/>
          </w:tblCellMar>
        </w:tblPrEx>
        <w:trPr>
          <w:trHeight w:val="3248" w:hRule="exact"/>
          <w:jc w:val="center"/>
        </w:trPr>
        <w:tc>
          <w:tcPr>
            <w:tcW w:w="1908" w:type="dxa"/>
            <w:tcBorders>
              <w:top w:val="single" w:color="000000" w:sz="4" w:space="0"/>
              <w:left w:val="single" w:color="000000" w:sz="4" w:space="0"/>
              <w:bottom w:val="single" w:color="000000" w:sz="4" w:space="0"/>
              <w:right w:val="single" w:color="000000" w:sz="4" w:space="0"/>
            </w:tcBorders>
          </w:tcPr>
          <w:p w14:paraId="794E4A71">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64092C4E">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1803C611">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6C1C10CA">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12C9ACF">
            <w:pPr>
              <w:pStyle w:val="37"/>
              <w:keepNext w:val="0"/>
              <w:keepLines w:val="0"/>
              <w:pageBreakBefore w:val="0"/>
              <w:widowControl w:val="0"/>
              <w:kinsoku/>
              <w:wordWrap w:val="0"/>
              <w:overflowPunct/>
              <w:topLinePunct w:val="0"/>
              <w:autoSpaceDE/>
              <w:autoSpaceDN/>
              <w:bidi w:val="0"/>
              <w:snapToGrid/>
              <w:spacing w:before="7" w:line="240" w:lineRule="auto"/>
              <w:ind w:right="0"/>
              <w:jc w:val="left"/>
              <w:rPr>
                <w:rFonts w:ascii="黑体" w:hAnsi="黑体" w:eastAsia="黑体" w:cs="黑体"/>
                <w:color w:val="auto"/>
                <w:sz w:val="18"/>
                <w:szCs w:val="18"/>
                <w:highlight w:val="none"/>
              </w:rPr>
            </w:pPr>
          </w:p>
          <w:p w14:paraId="40B3990D">
            <w:pPr>
              <w:pStyle w:val="37"/>
              <w:keepNext w:val="0"/>
              <w:keepLines w:val="0"/>
              <w:pageBreakBefore w:val="0"/>
              <w:widowControl w:val="0"/>
              <w:kinsoku/>
              <w:wordWrap w:val="0"/>
              <w:overflowPunct/>
              <w:topLinePunct w:val="0"/>
              <w:autoSpaceDE/>
              <w:autoSpaceDN/>
              <w:bidi w:val="0"/>
              <w:snapToGrid/>
              <w:spacing w:line="384" w:lineRule="auto"/>
              <w:ind w:left="842" w:right="105" w:hanging="735"/>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投标人关联企业情</w:t>
            </w:r>
            <w:r>
              <w:rPr>
                <w:rFonts w:ascii="宋体" w:hAnsi="宋体" w:eastAsia="宋体" w:cs="宋体"/>
                <w:color w:val="auto"/>
                <w:w w:val="100"/>
                <w:sz w:val="21"/>
                <w:szCs w:val="21"/>
                <w:highlight w:val="none"/>
              </w:rPr>
              <w:t xml:space="preserve"> </w:t>
            </w:r>
            <w:r>
              <w:rPr>
                <w:rFonts w:ascii="宋体" w:hAnsi="宋体" w:eastAsia="宋体" w:cs="宋体"/>
                <w:color w:val="auto"/>
                <w:sz w:val="21"/>
                <w:szCs w:val="21"/>
                <w:highlight w:val="none"/>
              </w:rPr>
              <w:t>况</w:t>
            </w:r>
          </w:p>
        </w:tc>
        <w:tc>
          <w:tcPr>
            <w:tcW w:w="7022" w:type="dxa"/>
            <w:gridSpan w:val="8"/>
            <w:tcBorders>
              <w:top w:val="single" w:color="000000" w:sz="4" w:space="0"/>
              <w:left w:val="single" w:color="000000" w:sz="4" w:space="0"/>
              <w:bottom w:val="single" w:color="000000" w:sz="4" w:space="0"/>
              <w:right w:val="single" w:color="000000" w:sz="4" w:space="0"/>
            </w:tcBorders>
            <w:vAlign w:val="center"/>
          </w:tcPr>
          <w:p w14:paraId="3D70E0C6">
            <w:pPr>
              <w:pStyle w:val="37"/>
              <w:keepNext w:val="0"/>
              <w:keepLines w:val="0"/>
              <w:pageBreakBefore w:val="0"/>
              <w:widowControl w:val="0"/>
              <w:kinsoku/>
              <w:wordWrap w:val="0"/>
              <w:overflowPunct/>
              <w:topLinePunct w:val="0"/>
              <w:autoSpaceDE/>
              <w:autoSpaceDN/>
              <w:bidi w:val="0"/>
              <w:snapToGrid/>
              <w:spacing w:before="93" w:line="240" w:lineRule="auto"/>
              <w:ind w:left="10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投标人应提供关联企业情况，包括：</w:t>
            </w:r>
          </w:p>
          <w:p w14:paraId="23B44CE4">
            <w:pPr>
              <w:pStyle w:val="37"/>
              <w:keepNext w:val="0"/>
              <w:keepLines w:val="0"/>
              <w:pageBreakBefore w:val="0"/>
              <w:widowControl w:val="0"/>
              <w:kinsoku/>
              <w:wordWrap w:val="0"/>
              <w:overflowPunct/>
              <w:topLinePunct w:val="0"/>
              <w:autoSpaceDE/>
              <w:autoSpaceDN/>
              <w:bidi w:val="0"/>
              <w:snapToGrid/>
              <w:spacing w:before="126" w:line="331" w:lineRule="auto"/>
              <w:ind w:left="103" w:right="96" w:hanging="106"/>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1</w:t>
            </w:r>
            <w:r>
              <w:rPr>
                <w:rFonts w:ascii="宋体" w:hAnsi="宋体" w:eastAsia="宋体" w:cs="宋体"/>
                <w:color w:val="auto"/>
                <w:sz w:val="21"/>
                <w:szCs w:val="21"/>
                <w:highlight w:val="none"/>
              </w:rPr>
              <w:t>）投标人的所有股东名称及相应股权（出资额）比例</w:t>
            </w: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rPr>
              <w:t>如投标人为上市公司，投标人应提供股权占公司股份总数</w:t>
            </w:r>
            <w:r>
              <w:rPr>
                <w:rFonts w:hint="eastAsia" w:ascii="宋体" w:hAnsi="宋体" w:eastAsia="宋体" w:cs="宋体"/>
                <w:color w:val="auto"/>
                <w:sz w:val="21"/>
                <w:szCs w:val="21"/>
                <w:highlight w:val="none"/>
                <w:u w:val="single"/>
                <w:lang w:val="en-US" w:eastAsia="zh-CN"/>
              </w:rPr>
              <w:t xml:space="preserve">    </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以上的所有股东名称及相应</w:t>
            </w:r>
            <w:r>
              <w:rPr>
                <w:rFonts w:ascii="宋体" w:hAnsi="宋体" w:eastAsia="宋体" w:cs="宋体"/>
                <w:color w:val="auto"/>
                <w:w w:val="100"/>
                <w:sz w:val="21"/>
                <w:szCs w:val="21"/>
                <w:highlight w:val="none"/>
              </w:rPr>
              <w:t xml:space="preserve"> </w:t>
            </w:r>
            <w:r>
              <w:rPr>
                <w:rFonts w:ascii="宋体" w:hAnsi="宋体" w:eastAsia="宋体" w:cs="宋体"/>
                <w:color w:val="auto"/>
                <w:sz w:val="21"/>
                <w:szCs w:val="21"/>
                <w:highlight w:val="none"/>
              </w:rPr>
              <w:t>股权比例；</w:t>
            </w:r>
          </w:p>
          <w:p w14:paraId="5FF50FF5">
            <w:pPr>
              <w:pStyle w:val="37"/>
              <w:keepNext w:val="0"/>
              <w:keepLines w:val="0"/>
              <w:pageBreakBefore w:val="0"/>
              <w:widowControl w:val="0"/>
              <w:kinsoku/>
              <w:wordWrap w:val="0"/>
              <w:overflowPunct/>
              <w:topLinePunct w:val="0"/>
              <w:autoSpaceDE/>
              <w:autoSpaceDN/>
              <w:bidi w:val="0"/>
              <w:snapToGrid/>
              <w:spacing w:before="46" w:line="331" w:lineRule="auto"/>
              <w:ind w:left="103" w:right="100" w:hanging="106"/>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2</w:t>
            </w:r>
            <w:r>
              <w:rPr>
                <w:rFonts w:ascii="宋体" w:hAnsi="宋体" w:eastAsia="宋体" w:cs="宋体"/>
                <w:color w:val="auto"/>
                <w:sz w:val="21"/>
                <w:szCs w:val="21"/>
                <w:highlight w:val="none"/>
              </w:rPr>
              <w:t>）投标人投资（控股）或管理的下属企业名称、持有股权（出资额）比</w:t>
            </w:r>
            <w:r>
              <w:rPr>
                <w:rFonts w:ascii="宋体" w:hAnsi="宋体" w:eastAsia="宋体" w:cs="宋体"/>
                <w:color w:val="auto"/>
                <w:spacing w:val="-23"/>
                <w:sz w:val="21"/>
                <w:szCs w:val="21"/>
                <w:highlight w:val="none"/>
              </w:rPr>
              <w:t xml:space="preserve"> </w:t>
            </w:r>
            <w:r>
              <w:rPr>
                <w:rFonts w:ascii="宋体" w:hAnsi="宋体" w:eastAsia="宋体" w:cs="宋体"/>
                <w:color w:val="auto"/>
                <w:sz w:val="21"/>
                <w:szCs w:val="21"/>
                <w:highlight w:val="none"/>
              </w:rPr>
              <w:t>例；</w:t>
            </w:r>
          </w:p>
          <w:p w14:paraId="24ECAACD">
            <w:pPr>
              <w:pStyle w:val="37"/>
              <w:keepNext w:val="0"/>
              <w:keepLines w:val="0"/>
              <w:pageBreakBefore w:val="0"/>
              <w:widowControl w:val="0"/>
              <w:kinsoku/>
              <w:wordWrap w:val="0"/>
              <w:overflowPunct/>
              <w:topLinePunct w:val="0"/>
              <w:autoSpaceDE/>
              <w:autoSpaceDN/>
              <w:bidi w:val="0"/>
              <w:snapToGrid/>
              <w:spacing w:before="43" w:line="240" w:lineRule="auto"/>
              <w:ind w:left="-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3</w:t>
            </w:r>
            <w:r>
              <w:rPr>
                <w:rFonts w:ascii="宋体" w:hAnsi="宋体" w:eastAsia="宋体" w:cs="宋体"/>
                <w:color w:val="auto"/>
                <w:sz w:val="21"/>
                <w:szCs w:val="21"/>
                <w:highlight w:val="none"/>
              </w:rPr>
              <w:t>）与投标人单位负责人（即法定代表人）为同一人的其他单位名称</w:t>
            </w:r>
          </w:p>
        </w:tc>
      </w:tr>
      <w:tr w14:paraId="2AC77AA2">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tcPr>
          <w:p w14:paraId="6CFE58F9">
            <w:pPr>
              <w:pStyle w:val="37"/>
              <w:keepNext w:val="0"/>
              <w:keepLines w:val="0"/>
              <w:pageBreakBefore w:val="0"/>
              <w:widowControl w:val="0"/>
              <w:kinsoku/>
              <w:wordWrap w:val="0"/>
              <w:overflowPunct/>
              <w:topLinePunct w:val="0"/>
              <w:autoSpaceDE/>
              <w:autoSpaceDN/>
              <w:bidi w:val="0"/>
              <w:snapToGrid/>
              <w:spacing w:before="107"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备注</w:t>
            </w:r>
          </w:p>
        </w:tc>
        <w:tc>
          <w:tcPr>
            <w:tcW w:w="7022" w:type="dxa"/>
            <w:gridSpan w:val="8"/>
            <w:tcBorders>
              <w:top w:val="single" w:color="000000" w:sz="4" w:space="0"/>
              <w:left w:val="single" w:color="000000" w:sz="4" w:space="0"/>
              <w:bottom w:val="single" w:color="000000" w:sz="4" w:space="0"/>
              <w:right w:val="single" w:color="000000" w:sz="4" w:space="0"/>
            </w:tcBorders>
          </w:tcPr>
          <w:p w14:paraId="2CE4BC70">
            <w:pPr>
              <w:keepNext w:val="0"/>
              <w:keepLines w:val="0"/>
              <w:pageBreakBefore w:val="0"/>
              <w:widowControl w:val="0"/>
              <w:kinsoku/>
              <w:wordWrap w:val="0"/>
              <w:overflowPunct/>
              <w:topLinePunct w:val="0"/>
              <w:autoSpaceDE/>
              <w:autoSpaceDN/>
              <w:bidi w:val="0"/>
              <w:snapToGrid/>
              <w:rPr>
                <w:color w:val="auto"/>
                <w:highlight w:val="none"/>
              </w:rPr>
            </w:pPr>
          </w:p>
        </w:tc>
      </w:tr>
    </w:tbl>
    <w:p w14:paraId="49DA4A22">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注：投标人应根据招标文件第二章“投标人须知”第3.5.1项的要求在本表后附相关证明材料。</w:t>
      </w:r>
    </w:p>
    <w:p w14:paraId="44518A47">
      <w:pPr>
        <w:pStyle w:val="12"/>
        <w:keepNext w:val="0"/>
        <w:keepLines w:val="0"/>
        <w:pageBreakBefore w:val="0"/>
        <w:widowControl w:val="0"/>
        <w:kinsoku/>
        <w:overflowPunct/>
        <w:topLinePunct w:val="0"/>
        <w:autoSpaceDE/>
        <w:autoSpaceDN/>
        <w:bidi w:val="0"/>
        <w:adjustRightInd/>
        <w:snapToGrid/>
        <w:spacing w:line="360" w:lineRule="auto"/>
        <w:textAlignment w:val="auto"/>
        <w:rPr>
          <w:rFonts w:hint="default"/>
          <w:color w:val="auto"/>
          <w:highlight w:val="none"/>
          <w:lang w:val="en-US"/>
        </w:rPr>
      </w:pPr>
    </w:p>
    <w:p w14:paraId="01995355">
      <w:pPr>
        <w:rPr>
          <w:rFonts w:hint="default"/>
          <w:color w:val="auto"/>
          <w:highlight w:val="none"/>
          <w:lang w:val="en-US"/>
        </w:rPr>
      </w:pPr>
    </w:p>
    <w:p w14:paraId="337225E6">
      <w:pPr>
        <w:pStyle w:val="12"/>
        <w:ind w:left="0" w:leftChars="0" w:firstLine="0" w:firstLineChars="0"/>
        <w:rPr>
          <w:rFonts w:hint="default"/>
          <w:color w:val="auto"/>
          <w:highlight w:val="none"/>
          <w:lang w:val="en-US"/>
        </w:rPr>
      </w:pPr>
    </w:p>
    <w:p w14:paraId="21D0A346">
      <w:pPr>
        <w:pStyle w:val="9"/>
        <w:keepNext w:val="0"/>
        <w:keepLines w:val="0"/>
        <w:pageBreakBefore w:val="0"/>
        <w:widowControl w:val="0"/>
        <w:kinsoku/>
        <w:wordWrap w:val="0"/>
        <w:overflowPunct/>
        <w:topLinePunct w:val="0"/>
        <w:autoSpaceDE/>
        <w:autoSpaceDN/>
        <w:bidi w:val="0"/>
        <w:snapToGrid/>
        <w:spacing w:before="190" w:line="240" w:lineRule="auto"/>
        <w:ind w:left="2881" w:right="102"/>
        <w:jc w:val="left"/>
        <w:rPr>
          <w:rFonts w:ascii="黑体" w:hAnsi="黑体" w:eastAsia="黑体" w:cs="黑体"/>
          <w:color w:val="auto"/>
          <w:sz w:val="20"/>
          <w:szCs w:val="20"/>
          <w:highlight w:val="none"/>
        </w:rPr>
      </w:pPr>
      <w:r>
        <w:rPr>
          <w:rFonts w:hint="eastAsia" w:ascii="宋体" w:hAnsi="宋体" w:eastAsia="宋体" w:cs="宋体"/>
          <w:b/>
          <w:bCs/>
          <w:color w:val="auto"/>
          <w:sz w:val="28"/>
          <w:szCs w:val="28"/>
          <w:highlight w:val="none"/>
        </w:rPr>
        <w:t>（二）投标人企业组织机构框图</w:t>
      </w:r>
    </w:p>
    <w:p w14:paraId="5D1FC062">
      <w:pPr>
        <w:keepNext w:val="0"/>
        <w:keepLines w:val="0"/>
        <w:pageBreakBefore w:val="0"/>
        <w:widowControl w:val="0"/>
        <w:kinsoku/>
        <w:wordWrap w:val="0"/>
        <w:overflowPunct/>
        <w:topLinePunct w:val="0"/>
        <w:autoSpaceDE/>
        <w:autoSpaceDN/>
        <w:bidi w:val="0"/>
        <w:snapToGrid/>
        <w:spacing w:before="11" w:line="240" w:lineRule="auto"/>
        <w:rPr>
          <w:rFonts w:ascii="黑体" w:hAnsi="黑体" w:eastAsia="黑体" w:cs="黑体"/>
          <w:color w:val="auto"/>
          <w:sz w:val="23"/>
          <w:szCs w:val="23"/>
          <w:highlight w:val="none"/>
        </w:rPr>
      </w:pPr>
    </w:p>
    <w:tbl>
      <w:tblPr>
        <w:tblStyle w:val="27"/>
        <w:tblW w:w="0" w:type="auto"/>
        <w:jc w:val="center"/>
        <w:tblLayout w:type="fixed"/>
        <w:tblCellMar>
          <w:top w:w="0" w:type="dxa"/>
          <w:left w:w="0" w:type="dxa"/>
          <w:bottom w:w="0" w:type="dxa"/>
          <w:right w:w="0" w:type="dxa"/>
        </w:tblCellMar>
      </w:tblPr>
      <w:tblGrid>
        <w:gridCol w:w="8894"/>
      </w:tblGrid>
      <w:tr w14:paraId="06F0AF99">
        <w:tblPrEx>
          <w:tblCellMar>
            <w:top w:w="0" w:type="dxa"/>
            <w:left w:w="0" w:type="dxa"/>
            <w:bottom w:w="0" w:type="dxa"/>
            <w:right w:w="0" w:type="dxa"/>
          </w:tblCellMar>
        </w:tblPrEx>
        <w:trPr>
          <w:trHeight w:val="7542" w:hRule="exact"/>
          <w:jc w:val="center"/>
        </w:trPr>
        <w:tc>
          <w:tcPr>
            <w:tcW w:w="8894" w:type="dxa"/>
            <w:tcBorders>
              <w:top w:val="single" w:color="000000" w:sz="6" w:space="0"/>
              <w:left w:val="single" w:color="000000" w:sz="6" w:space="0"/>
              <w:bottom w:val="single" w:color="000000" w:sz="6" w:space="0"/>
              <w:right w:val="single" w:color="000000" w:sz="6" w:space="0"/>
            </w:tcBorders>
          </w:tcPr>
          <w:p w14:paraId="7D159B9F">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14A6DB57">
            <w:pPr>
              <w:pStyle w:val="37"/>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以框图方式表示。</w:t>
            </w:r>
          </w:p>
        </w:tc>
      </w:tr>
      <w:tr w14:paraId="1C8D0B81">
        <w:tblPrEx>
          <w:tblCellMar>
            <w:top w:w="0" w:type="dxa"/>
            <w:left w:w="0" w:type="dxa"/>
            <w:bottom w:w="0" w:type="dxa"/>
            <w:right w:w="0" w:type="dxa"/>
          </w:tblCellMar>
        </w:tblPrEx>
        <w:trPr>
          <w:trHeight w:val="3418" w:hRule="exact"/>
          <w:jc w:val="center"/>
        </w:trPr>
        <w:tc>
          <w:tcPr>
            <w:tcW w:w="8894" w:type="dxa"/>
            <w:tcBorders>
              <w:top w:val="single" w:color="000000" w:sz="6" w:space="0"/>
              <w:left w:val="single" w:color="000000" w:sz="6" w:space="0"/>
              <w:bottom w:val="single" w:color="000000" w:sz="6" w:space="0"/>
              <w:right w:val="single" w:color="000000" w:sz="6" w:space="0"/>
            </w:tcBorders>
          </w:tcPr>
          <w:p w14:paraId="22B23BAA">
            <w:pPr>
              <w:pStyle w:val="37"/>
              <w:keepNext w:val="0"/>
              <w:keepLines w:val="0"/>
              <w:pageBreakBefore w:val="0"/>
              <w:widowControl w:val="0"/>
              <w:kinsoku/>
              <w:wordWrap w:val="0"/>
              <w:overflowPunct/>
              <w:topLinePunct w:val="0"/>
              <w:autoSpaceDE/>
              <w:autoSpaceDN/>
              <w:bidi w:val="0"/>
              <w:snapToGrid/>
              <w:spacing w:before="93" w:line="240" w:lineRule="auto"/>
              <w:ind w:right="0"/>
              <w:jc w:val="left"/>
              <w:rPr>
                <w:rFonts w:ascii="宋体" w:hAnsi="宋体" w:eastAsia="宋体" w:cs="宋体"/>
                <w:color w:val="auto"/>
                <w:sz w:val="21"/>
                <w:szCs w:val="21"/>
                <w:highlight w:val="none"/>
              </w:rPr>
            </w:pPr>
          </w:p>
          <w:p w14:paraId="60515F73">
            <w:pPr>
              <w:pStyle w:val="37"/>
              <w:keepNext w:val="0"/>
              <w:keepLines w:val="0"/>
              <w:pageBreakBefore w:val="0"/>
              <w:widowControl w:val="0"/>
              <w:kinsoku/>
              <w:wordWrap w:val="0"/>
              <w:overflowPunct/>
              <w:topLinePunct w:val="0"/>
              <w:autoSpaceDE/>
              <w:autoSpaceDN/>
              <w:bidi w:val="0"/>
              <w:snapToGrid/>
              <w:spacing w:before="93"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w:t>
            </w:r>
          </w:p>
        </w:tc>
      </w:tr>
    </w:tbl>
    <w:p w14:paraId="799FFF84">
      <w:pPr>
        <w:pStyle w:val="12"/>
        <w:rPr>
          <w:rFonts w:hint="default"/>
          <w:color w:val="auto"/>
          <w:highlight w:val="none"/>
          <w:lang w:val="en-US"/>
        </w:rPr>
      </w:pPr>
    </w:p>
    <w:p w14:paraId="30C4FF85">
      <w:pPr>
        <w:rPr>
          <w:rFonts w:hint="default"/>
          <w:color w:val="auto"/>
          <w:highlight w:val="none"/>
          <w:lang w:val="en-US"/>
        </w:rPr>
      </w:pPr>
    </w:p>
    <w:p w14:paraId="7BC039A5">
      <w:pPr>
        <w:pStyle w:val="12"/>
        <w:rPr>
          <w:rFonts w:hint="default"/>
          <w:color w:val="auto"/>
          <w:highlight w:val="none"/>
          <w:lang w:val="en-US"/>
        </w:rPr>
      </w:pPr>
    </w:p>
    <w:p w14:paraId="51FBC100">
      <w:pPr>
        <w:rPr>
          <w:rFonts w:hint="default"/>
          <w:color w:val="auto"/>
          <w:highlight w:val="none"/>
          <w:lang w:val="en-US"/>
        </w:rPr>
      </w:pPr>
    </w:p>
    <w:p w14:paraId="0E24E36D">
      <w:pPr>
        <w:pStyle w:val="12"/>
        <w:rPr>
          <w:rFonts w:hint="default"/>
          <w:color w:val="auto"/>
          <w:highlight w:val="none"/>
          <w:lang w:val="en-US"/>
        </w:rPr>
      </w:pPr>
    </w:p>
    <w:p w14:paraId="5AE918AF">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highlight w:val="none"/>
          <w:lang w:eastAsia="zh-CN"/>
        </w:rPr>
        <w:t>（三）</w:t>
      </w:r>
      <w:r>
        <w:rPr>
          <w:rFonts w:hint="eastAsia" w:ascii="宋体" w:hAnsi="宋体" w:eastAsia="宋体" w:cs="宋体"/>
          <w:b/>
          <w:bCs/>
          <w:color w:val="auto"/>
          <w:sz w:val="28"/>
          <w:szCs w:val="28"/>
          <w:highlight w:val="none"/>
        </w:rPr>
        <w:t>近年财务状况</w:t>
      </w:r>
    </w:p>
    <w:p w14:paraId="007ED1D8">
      <w:pPr>
        <w:pStyle w:val="9"/>
        <w:keepNext w:val="0"/>
        <w:keepLines w:val="0"/>
        <w:pageBreakBefore w:val="0"/>
        <w:widowControl w:val="0"/>
        <w:numPr>
          <w:ilvl w:val="0"/>
          <w:numId w:val="0"/>
        </w:numPr>
        <w:kinsoku/>
        <w:wordWrap w:val="0"/>
        <w:overflowPunct/>
        <w:topLinePunct w:val="0"/>
        <w:autoSpaceDE/>
        <w:autoSpaceDN/>
        <w:bidi w:val="0"/>
        <w:adjustRightInd/>
        <w:snapToGrid/>
        <w:spacing w:before="0"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财务状况表</w:t>
      </w:r>
    </w:p>
    <w:tbl>
      <w:tblPr>
        <w:tblStyle w:val="27"/>
        <w:tblW w:w="0" w:type="auto"/>
        <w:jc w:val="center"/>
        <w:tblLayout w:type="fixed"/>
        <w:tblCellMar>
          <w:top w:w="0" w:type="dxa"/>
          <w:left w:w="0" w:type="dxa"/>
          <w:bottom w:w="0" w:type="dxa"/>
          <w:right w:w="0" w:type="dxa"/>
        </w:tblCellMar>
      </w:tblPr>
      <w:tblGrid>
        <w:gridCol w:w="4066"/>
        <w:gridCol w:w="900"/>
        <w:gridCol w:w="1320"/>
        <w:gridCol w:w="1321"/>
        <w:gridCol w:w="1320"/>
      </w:tblGrid>
      <w:tr w14:paraId="44D7CDFD">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A69FD6C">
            <w:pPr>
              <w:pStyle w:val="37"/>
              <w:keepNext w:val="0"/>
              <w:keepLines w:val="0"/>
              <w:pageBreakBefore w:val="0"/>
              <w:widowControl w:val="0"/>
              <w:kinsoku/>
              <w:wordWrap w:val="0"/>
              <w:overflowPunct/>
              <w:topLinePunct w:val="0"/>
              <w:autoSpaceDE/>
              <w:autoSpaceDN/>
              <w:bidi w:val="0"/>
              <w:snapToGrid/>
              <w:spacing w:before="121" w:line="240" w:lineRule="auto"/>
              <w:ind w:left="126"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项目或指标</w:t>
            </w:r>
          </w:p>
        </w:tc>
        <w:tc>
          <w:tcPr>
            <w:tcW w:w="900" w:type="dxa"/>
            <w:tcBorders>
              <w:top w:val="single" w:color="000000" w:sz="6" w:space="0"/>
              <w:left w:val="single" w:color="000000" w:sz="6" w:space="0"/>
              <w:bottom w:val="single" w:color="000000" w:sz="6" w:space="0"/>
              <w:right w:val="single" w:color="000000" w:sz="6" w:space="0"/>
            </w:tcBorders>
          </w:tcPr>
          <w:p w14:paraId="764B1040">
            <w:pPr>
              <w:pStyle w:val="37"/>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320" w:type="dxa"/>
            <w:tcBorders>
              <w:top w:val="single" w:color="000000" w:sz="6" w:space="0"/>
              <w:left w:val="single" w:color="000000" w:sz="6" w:space="0"/>
              <w:bottom w:val="single" w:color="000000" w:sz="6" w:space="0"/>
              <w:right w:val="single" w:color="000000" w:sz="6" w:space="0"/>
            </w:tcBorders>
          </w:tcPr>
          <w:p w14:paraId="58069E42">
            <w:pPr>
              <w:pStyle w:val="37"/>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c>
          <w:tcPr>
            <w:tcW w:w="1321" w:type="dxa"/>
            <w:tcBorders>
              <w:top w:val="single" w:color="000000" w:sz="6" w:space="0"/>
              <w:left w:val="single" w:color="000000" w:sz="6" w:space="0"/>
              <w:bottom w:val="single" w:color="000000" w:sz="6" w:space="0"/>
              <w:right w:val="single" w:color="000000" w:sz="6" w:space="0"/>
            </w:tcBorders>
          </w:tcPr>
          <w:p w14:paraId="5DDCB800">
            <w:pPr>
              <w:pStyle w:val="37"/>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c>
          <w:tcPr>
            <w:tcW w:w="1320" w:type="dxa"/>
            <w:tcBorders>
              <w:top w:val="single" w:color="000000" w:sz="6" w:space="0"/>
              <w:left w:val="single" w:color="000000" w:sz="6" w:space="0"/>
              <w:bottom w:val="single" w:color="000000" w:sz="6" w:space="0"/>
              <w:right w:val="single" w:color="000000" w:sz="6" w:space="0"/>
            </w:tcBorders>
          </w:tcPr>
          <w:p w14:paraId="0FE71068">
            <w:pPr>
              <w:pStyle w:val="37"/>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r>
      <w:tr w14:paraId="5E18B5B0">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0E5285DA">
            <w:pPr>
              <w:pStyle w:val="37"/>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注册资本</w:t>
            </w:r>
          </w:p>
        </w:tc>
        <w:tc>
          <w:tcPr>
            <w:tcW w:w="900" w:type="dxa"/>
            <w:tcBorders>
              <w:top w:val="single" w:color="000000" w:sz="6" w:space="0"/>
              <w:left w:val="single" w:color="000000" w:sz="6" w:space="0"/>
              <w:bottom w:val="single" w:color="000000" w:sz="6" w:space="0"/>
              <w:right w:val="single" w:color="000000" w:sz="6" w:space="0"/>
            </w:tcBorders>
          </w:tcPr>
          <w:p w14:paraId="5B4978A2">
            <w:pPr>
              <w:pStyle w:val="37"/>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30D0F18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348D39A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6D18715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4AD5FE10">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1796B433">
            <w:pPr>
              <w:pStyle w:val="37"/>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净资产</w:t>
            </w:r>
          </w:p>
        </w:tc>
        <w:tc>
          <w:tcPr>
            <w:tcW w:w="900" w:type="dxa"/>
            <w:tcBorders>
              <w:top w:val="single" w:color="000000" w:sz="6" w:space="0"/>
              <w:left w:val="single" w:color="000000" w:sz="6" w:space="0"/>
              <w:bottom w:val="single" w:color="000000" w:sz="6" w:space="0"/>
              <w:right w:val="single" w:color="000000" w:sz="6" w:space="0"/>
            </w:tcBorders>
          </w:tcPr>
          <w:p w14:paraId="05CBCFCF">
            <w:pPr>
              <w:pStyle w:val="37"/>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3F34AED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4466B8A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D8D929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72D34F31">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30023DBC">
            <w:pPr>
              <w:pStyle w:val="37"/>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总资产</w:t>
            </w:r>
          </w:p>
        </w:tc>
        <w:tc>
          <w:tcPr>
            <w:tcW w:w="900" w:type="dxa"/>
            <w:tcBorders>
              <w:top w:val="single" w:color="000000" w:sz="6" w:space="0"/>
              <w:left w:val="single" w:color="000000" w:sz="6" w:space="0"/>
              <w:bottom w:val="single" w:color="000000" w:sz="6" w:space="0"/>
              <w:right w:val="single" w:color="000000" w:sz="6" w:space="0"/>
            </w:tcBorders>
          </w:tcPr>
          <w:p w14:paraId="54214DD0">
            <w:pPr>
              <w:pStyle w:val="37"/>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215A1C3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3AE2AC1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0D7DAC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236B48E1">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166265CC">
            <w:pPr>
              <w:pStyle w:val="37"/>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固定资产</w:t>
            </w:r>
          </w:p>
        </w:tc>
        <w:tc>
          <w:tcPr>
            <w:tcW w:w="900" w:type="dxa"/>
            <w:tcBorders>
              <w:top w:val="single" w:color="000000" w:sz="6" w:space="0"/>
              <w:left w:val="single" w:color="000000" w:sz="6" w:space="0"/>
              <w:bottom w:val="single" w:color="000000" w:sz="6" w:space="0"/>
              <w:right w:val="single" w:color="000000" w:sz="6" w:space="0"/>
            </w:tcBorders>
          </w:tcPr>
          <w:p w14:paraId="0E663A72">
            <w:pPr>
              <w:pStyle w:val="37"/>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36DF977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4509C4C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33DA0C9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75E3378">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4EBB9062">
            <w:pPr>
              <w:pStyle w:val="37"/>
              <w:keepNext w:val="0"/>
              <w:keepLines w:val="0"/>
              <w:pageBreakBefore w:val="0"/>
              <w:widowControl w:val="0"/>
              <w:kinsoku/>
              <w:wordWrap w:val="0"/>
              <w:overflowPunct/>
              <w:topLinePunct w:val="0"/>
              <w:autoSpaceDE/>
              <w:autoSpaceDN/>
              <w:bidi w:val="0"/>
              <w:snapToGrid/>
              <w:spacing w:before="121"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流动资产</w:t>
            </w:r>
          </w:p>
        </w:tc>
        <w:tc>
          <w:tcPr>
            <w:tcW w:w="900" w:type="dxa"/>
            <w:tcBorders>
              <w:top w:val="single" w:color="000000" w:sz="6" w:space="0"/>
              <w:left w:val="single" w:color="000000" w:sz="6" w:space="0"/>
              <w:bottom w:val="single" w:color="000000" w:sz="6" w:space="0"/>
              <w:right w:val="single" w:color="000000" w:sz="6" w:space="0"/>
            </w:tcBorders>
          </w:tcPr>
          <w:p w14:paraId="517F6C58">
            <w:pPr>
              <w:pStyle w:val="37"/>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16896C68">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4712C9B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C2D85A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7B6474A1">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78FD945E">
            <w:pPr>
              <w:pStyle w:val="37"/>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流动负债</w:t>
            </w:r>
          </w:p>
        </w:tc>
        <w:tc>
          <w:tcPr>
            <w:tcW w:w="900" w:type="dxa"/>
            <w:tcBorders>
              <w:top w:val="single" w:color="000000" w:sz="6" w:space="0"/>
              <w:left w:val="single" w:color="000000" w:sz="6" w:space="0"/>
              <w:bottom w:val="single" w:color="000000" w:sz="6" w:space="0"/>
              <w:right w:val="single" w:color="000000" w:sz="6" w:space="0"/>
            </w:tcBorders>
          </w:tcPr>
          <w:p w14:paraId="2A536BB8">
            <w:pPr>
              <w:pStyle w:val="37"/>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42BA05B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B09318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488B535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0EE06C1">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6932E39">
            <w:pPr>
              <w:pStyle w:val="37"/>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负债合计</w:t>
            </w:r>
          </w:p>
        </w:tc>
        <w:tc>
          <w:tcPr>
            <w:tcW w:w="900" w:type="dxa"/>
            <w:tcBorders>
              <w:top w:val="single" w:color="000000" w:sz="6" w:space="0"/>
              <w:left w:val="single" w:color="000000" w:sz="6" w:space="0"/>
              <w:bottom w:val="single" w:color="000000" w:sz="6" w:space="0"/>
              <w:right w:val="single" w:color="000000" w:sz="6" w:space="0"/>
            </w:tcBorders>
          </w:tcPr>
          <w:p w14:paraId="0325AB60">
            <w:pPr>
              <w:pStyle w:val="37"/>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0A145AE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FE4467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446CBF4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6CA614C5">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683236AD">
            <w:pPr>
              <w:pStyle w:val="37"/>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营业收入</w:t>
            </w:r>
          </w:p>
        </w:tc>
        <w:tc>
          <w:tcPr>
            <w:tcW w:w="900" w:type="dxa"/>
            <w:tcBorders>
              <w:top w:val="single" w:color="000000" w:sz="6" w:space="0"/>
              <w:left w:val="single" w:color="000000" w:sz="6" w:space="0"/>
              <w:bottom w:val="single" w:color="000000" w:sz="6" w:space="0"/>
              <w:right w:val="single" w:color="000000" w:sz="6" w:space="0"/>
            </w:tcBorders>
          </w:tcPr>
          <w:p w14:paraId="6B691846">
            <w:pPr>
              <w:pStyle w:val="37"/>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365C399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0644474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24129AF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5E28924">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CC1A1BB">
            <w:pPr>
              <w:pStyle w:val="37"/>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净利润</w:t>
            </w:r>
          </w:p>
        </w:tc>
        <w:tc>
          <w:tcPr>
            <w:tcW w:w="900" w:type="dxa"/>
            <w:tcBorders>
              <w:top w:val="single" w:color="000000" w:sz="6" w:space="0"/>
              <w:left w:val="single" w:color="000000" w:sz="6" w:space="0"/>
              <w:bottom w:val="single" w:color="000000" w:sz="6" w:space="0"/>
              <w:right w:val="single" w:color="000000" w:sz="6" w:space="0"/>
            </w:tcBorders>
          </w:tcPr>
          <w:p w14:paraId="0C4B7B77">
            <w:pPr>
              <w:pStyle w:val="37"/>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0D2178F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0719159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E44A66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7A146E5C">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1D80FC86">
            <w:pPr>
              <w:pStyle w:val="37"/>
              <w:keepNext w:val="0"/>
              <w:keepLines w:val="0"/>
              <w:pageBreakBefore w:val="0"/>
              <w:widowControl w:val="0"/>
              <w:kinsoku/>
              <w:wordWrap w:val="0"/>
              <w:overflowPunct/>
              <w:topLinePunct w:val="0"/>
              <w:autoSpaceDE/>
              <w:autoSpaceDN/>
              <w:bidi w:val="0"/>
              <w:snapToGrid/>
              <w:spacing w:before="121"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现金流量净额</w:t>
            </w:r>
          </w:p>
        </w:tc>
        <w:tc>
          <w:tcPr>
            <w:tcW w:w="900" w:type="dxa"/>
            <w:tcBorders>
              <w:top w:val="single" w:color="000000" w:sz="6" w:space="0"/>
              <w:left w:val="single" w:color="000000" w:sz="6" w:space="0"/>
              <w:bottom w:val="single" w:color="000000" w:sz="6" w:space="0"/>
              <w:right w:val="single" w:color="000000" w:sz="6" w:space="0"/>
            </w:tcBorders>
          </w:tcPr>
          <w:p w14:paraId="4EF0075E">
            <w:pPr>
              <w:pStyle w:val="37"/>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56DA5FA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3709198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8C0590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B8B026B">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12A6A50B">
            <w:pPr>
              <w:pStyle w:val="37"/>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主要财务指标</w:t>
            </w:r>
          </w:p>
        </w:tc>
        <w:tc>
          <w:tcPr>
            <w:tcW w:w="900" w:type="dxa"/>
            <w:tcBorders>
              <w:top w:val="single" w:color="000000" w:sz="6" w:space="0"/>
              <w:left w:val="single" w:color="000000" w:sz="6" w:space="0"/>
              <w:bottom w:val="single" w:color="000000" w:sz="6" w:space="0"/>
              <w:right w:val="single" w:color="000000" w:sz="6" w:space="0"/>
            </w:tcBorders>
          </w:tcPr>
          <w:p w14:paraId="2B4D0A1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26E3A27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395A2F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2687CE3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E5D4AE1">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C4EC180">
            <w:pPr>
              <w:pStyle w:val="37"/>
              <w:keepNext w:val="0"/>
              <w:keepLines w:val="0"/>
              <w:pageBreakBefore w:val="0"/>
              <w:widowControl w:val="0"/>
              <w:kinsoku/>
              <w:wordWrap w:val="0"/>
              <w:overflowPunct/>
              <w:topLinePunct w:val="0"/>
              <w:autoSpaceDE/>
              <w:autoSpaceDN/>
              <w:bidi w:val="0"/>
              <w:snapToGrid/>
              <w:spacing w:before="121"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z w:val="21"/>
                <w:szCs w:val="21"/>
                <w:highlight w:val="none"/>
              </w:rPr>
              <w:t>净资产收益率</w:t>
            </w:r>
          </w:p>
        </w:tc>
        <w:tc>
          <w:tcPr>
            <w:tcW w:w="900" w:type="dxa"/>
            <w:tcBorders>
              <w:top w:val="single" w:color="000000" w:sz="6" w:space="0"/>
              <w:left w:val="single" w:color="000000" w:sz="6" w:space="0"/>
              <w:bottom w:val="single" w:color="000000" w:sz="6" w:space="0"/>
              <w:right w:val="single" w:color="000000" w:sz="6" w:space="0"/>
            </w:tcBorders>
          </w:tcPr>
          <w:p w14:paraId="06EB458D">
            <w:pPr>
              <w:pStyle w:val="37"/>
              <w:keepNext w:val="0"/>
              <w:keepLines w:val="0"/>
              <w:pageBreakBefore w:val="0"/>
              <w:widowControl w:val="0"/>
              <w:kinsoku/>
              <w:wordWrap w:val="0"/>
              <w:overflowPunct/>
              <w:topLinePunct w:val="0"/>
              <w:autoSpaceDE/>
              <w:autoSpaceDN/>
              <w:bidi w:val="0"/>
              <w:snapToGrid/>
              <w:spacing w:before="168"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22D6874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420E445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49EDB6A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2FF57373">
        <w:tblPrEx>
          <w:tblCellMar>
            <w:top w:w="0" w:type="dxa"/>
            <w:left w:w="0" w:type="dxa"/>
            <w:bottom w:w="0" w:type="dxa"/>
            <w:right w:w="0" w:type="dxa"/>
          </w:tblCellMar>
        </w:tblPrEx>
        <w:trPr>
          <w:trHeight w:val="577"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B556939">
            <w:pPr>
              <w:pStyle w:val="37"/>
              <w:keepNext w:val="0"/>
              <w:keepLines w:val="0"/>
              <w:pageBreakBefore w:val="0"/>
              <w:widowControl w:val="0"/>
              <w:kinsoku/>
              <w:wordWrap w:val="0"/>
              <w:overflowPunct/>
              <w:topLinePunct w:val="0"/>
              <w:autoSpaceDE/>
              <w:autoSpaceDN/>
              <w:bidi w:val="0"/>
              <w:snapToGrid/>
              <w:spacing w:before="120"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z w:val="21"/>
                <w:szCs w:val="21"/>
                <w:highlight w:val="none"/>
              </w:rPr>
              <w:t>总资产报酬率</w:t>
            </w:r>
          </w:p>
        </w:tc>
        <w:tc>
          <w:tcPr>
            <w:tcW w:w="900" w:type="dxa"/>
            <w:tcBorders>
              <w:top w:val="single" w:color="000000" w:sz="6" w:space="0"/>
              <w:left w:val="single" w:color="000000" w:sz="6" w:space="0"/>
              <w:bottom w:val="single" w:color="000000" w:sz="6" w:space="0"/>
              <w:right w:val="single" w:color="000000" w:sz="6" w:space="0"/>
            </w:tcBorders>
          </w:tcPr>
          <w:p w14:paraId="48C5551E">
            <w:pPr>
              <w:pStyle w:val="37"/>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6487AA2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E2D994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5212E68">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7BD983CB">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40EA7A45">
            <w:pPr>
              <w:pStyle w:val="37"/>
              <w:keepNext w:val="0"/>
              <w:keepLines w:val="0"/>
              <w:pageBreakBefore w:val="0"/>
              <w:widowControl w:val="0"/>
              <w:kinsoku/>
              <w:wordWrap w:val="0"/>
              <w:overflowPunct/>
              <w:topLinePunct w:val="0"/>
              <w:autoSpaceDE/>
              <w:autoSpaceDN/>
              <w:bidi w:val="0"/>
              <w:snapToGrid/>
              <w:spacing w:before="119"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主营业务利润率</w:t>
            </w:r>
          </w:p>
        </w:tc>
        <w:tc>
          <w:tcPr>
            <w:tcW w:w="900" w:type="dxa"/>
            <w:tcBorders>
              <w:top w:val="single" w:color="000000" w:sz="6" w:space="0"/>
              <w:left w:val="single" w:color="000000" w:sz="6" w:space="0"/>
              <w:bottom w:val="single" w:color="000000" w:sz="6" w:space="0"/>
              <w:right w:val="single" w:color="000000" w:sz="6" w:space="0"/>
            </w:tcBorders>
          </w:tcPr>
          <w:p w14:paraId="669E98CA">
            <w:pPr>
              <w:pStyle w:val="37"/>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50963F0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0105595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756FF1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1DD73CE">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36F7464D">
            <w:pPr>
              <w:pStyle w:val="37"/>
              <w:keepNext w:val="0"/>
              <w:keepLines w:val="0"/>
              <w:pageBreakBefore w:val="0"/>
              <w:widowControl w:val="0"/>
              <w:kinsoku/>
              <w:wordWrap w:val="0"/>
              <w:overflowPunct/>
              <w:topLinePunct w:val="0"/>
              <w:autoSpaceDE/>
              <w:autoSpaceDN/>
              <w:bidi w:val="0"/>
              <w:snapToGrid/>
              <w:spacing w:before="119"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资产负债率</w:t>
            </w:r>
          </w:p>
        </w:tc>
        <w:tc>
          <w:tcPr>
            <w:tcW w:w="900" w:type="dxa"/>
            <w:tcBorders>
              <w:top w:val="single" w:color="000000" w:sz="6" w:space="0"/>
              <w:left w:val="single" w:color="000000" w:sz="6" w:space="0"/>
              <w:bottom w:val="single" w:color="000000" w:sz="6" w:space="0"/>
              <w:right w:val="single" w:color="000000" w:sz="6" w:space="0"/>
            </w:tcBorders>
          </w:tcPr>
          <w:p w14:paraId="3716D3CE">
            <w:pPr>
              <w:pStyle w:val="37"/>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3E1AAB8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1EF6F6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6BEB049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4CD62199">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vAlign w:val="top"/>
          </w:tcPr>
          <w:p w14:paraId="610C8399">
            <w:pPr>
              <w:pStyle w:val="37"/>
              <w:keepNext w:val="0"/>
              <w:keepLines w:val="0"/>
              <w:pageBreakBefore w:val="0"/>
              <w:widowControl w:val="0"/>
              <w:kinsoku/>
              <w:wordWrap w:val="0"/>
              <w:overflowPunct/>
              <w:topLinePunct w:val="0"/>
              <w:autoSpaceDE/>
              <w:autoSpaceDN/>
              <w:bidi w:val="0"/>
              <w:snapToGrid/>
              <w:spacing w:before="119" w:line="240" w:lineRule="auto"/>
              <w:ind w:left="945"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pacing w:val="52"/>
                <w:sz w:val="21"/>
                <w:szCs w:val="21"/>
                <w:highlight w:val="none"/>
              </w:rPr>
              <w:t xml:space="preserve"> </w:t>
            </w:r>
            <w:r>
              <w:rPr>
                <w:rFonts w:hint="eastAsia" w:ascii="宋体" w:hAnsi="宋体" w:eastAsia="宋体" w:cs="宋体"/>
                <w:color w:val="auto"/>
                <w:sz w:val="21"/>
                <w:szCs w:val="21"/>
                <w:highlight w:val="none"/>
              </w:rPr>
              <w:t>流动比率</w:t>
            </w:r>
          </w:p>
        </w:tc>
        <w:tc>
          <w:tcPr>
            <w:tcW w:w="900" w:type="dxa"/>
            <w:tcBorders>
              <w:top w:val="single" w:color="000000" w:sz="6" w:space="0"/>
              <w:left w:val="single" w:color="000000" w:sz="6" w:space="0"/>
              <w:bottom w:val="single" w:color="000000" w:sz="6" w:space="0"/>
              <w:right w:val="single" w:color="000000" w:sz="6" w:space="0"/>
            </w:tcBorders>
            <w:vAlign w:val="top"/>
          </w:tcPr>
          <w:p w14:paraId="79587543">
            <w:pPr>
              <w:pStyle w:val="37"/>
              <w:keepNext w:val="0"/>
              <w:keepLines w:val="0"/>
              <w:pageBreakBefore w:val="0"/>
              <w:widowControl w:val="0"/>
              <w:kinsoku/>
              <w:wordWrap w:val="0"/>
              <w:overflowPunct/>
              <w:topLinePunct w:val="0"/>
              <w:autoSpaceDE/>
              <w:autoSpaceDN/>
              <w:bidi w:val="0"/>
              <w:snapToGrid/>
              <w:spacing w:before="166" w:line="240" w:lineRule="auto"/>
              <w:ind w:left="14" w:leftChars="0" w:right="0" w:rightChars="0"/>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vAlign w:val="top"/>
          </w:tcPr>
          <w:p w14:paraId="74B886C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vAlign w:val="top"/>
          </w:tcPr>
          <w:p w14:paraId="6EDEDEC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vAlign w:val="top"/>
          </w:tcPr>
          <w:p w14:paraId="321C6B3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C54BBAE">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vAlign w:val="top"/>
          </w:tcPr>
          <w:p w14:paraId="397D487C">
            <w:pPr>
              <w:pStyle w:val="37"/>
              <w:keepNext w:val="0"/>
              <w:keepLines w:val="0"/>
              <w:pageBreakBefore w:val="0"/>
              <w:widowControl w:val="0"/>
              <w:kinsoku/>
              <w:wordWrap w:val="0"/>
              <w:overflowPunct/>
              <w:topLinePunct w:val="0"/>
              <w:autoSpaceDE/>
              <w:autoSpaceDN/>
              <w:bidi w:val="0"/>
              <w:snapToGrid/>
              <w:spacing w:before="121" w:line="240" w:lineRule="auto"/>
              <w:ind w:left="945"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w:t>
            </w:r>
            <w:r>
              <w:rPr>
                <w:rFonts w:hint="eastAsia" w:ascii="宋体" w:hAnsi="宋体" w:eastAsia="宋体" w:cs="宋体"/>
                <w:color w:val="auto"/>
                <w:spacing w:val="8"/>
                <w:sz w:val="21"/>
                <w:szCs w:val="21"/>
                <w:highlight w:val="none"/>
              </w:rPr>
              <w:t xml:space="preserve"> </w:t>
            </w:r>
            <w:r>
              <w:rPr>
                <w:rFonts w:hint="eastAsia" w:ascii="宋体" w:hAnsi="宋体" w:eastAsia="宋体" w:cs="宋体"/>
                <w:color w:val="auto"/>
                <w:spacing w:val="-3"/>
                <w:sz w:val="21"/>
                <w:szCs w:val="21"/>
                <w:highlight w:val="none"/>
              </w:rPr>
              <w:t>速动比率</w:t>
            </w:r>
          </w:p>
        </w:tc>
        <w:tc>
          <w:tcPr>
            <w:tcW w:w="900" w:type="dxa"/>
            <w:tcBorders>
              <w:top w:val="single" w:color="000000" w:sz="6" w:space="0"/>
              <w:left w:val="single" w:color="000000" w:sz="6" w:space="0"/>
              <w:bottom w:val="single" w:color="000000" w:sz="6" w:space="0"/>
              <w:right w:val="single" w:color="000000" w:sz="6" w:space="0"/>
            </w:tcBorders>
            <w:vAlign w:val="top"/>
          </w:tcPr>
          <w:p w14:paraId="5FBB0A56">
            <w:pPr>
              <w:pStyle w:val="37"/>
              <w:keepNext w:val="0"/>
              <w:keepLines w:val="0"/>
              <w:pageBreakBefore w:val="0"/>
              <w:widowControl w:val="0"/>
              <w:kinsoku/>
              <w:wordWrap w:val="0"/>
              <w:overflowPunct/>
              <w:topLinePunct w:val="0"/>
              <w:autoSpaceDE/>
              <w:autoSpaceDN/>
              <w:bidi w:val="0"/>
              <w:snapToGrid/>
              <w:spacing w:before="168" w:line="240" w:lineRule="auto"/>
              <w:ind w:left="14" w:leftChars="0" w:right="0" w:rightChars="0"/>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vAlign w:val="top"/>
          </w:tcPr>
          <w:p w14:paraId="72351F3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vAlign w:val="top"/>
          </w:tcPr>
          <w:p w14:paraId="2B4B157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vAlign w:val="top"/>
          </w:tcPr>
          <w:p w14:paraId="4F984EB8">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bl>
    <w:p w14:paraId="46E76F55">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396"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cs="宋体"/>
          <w:color w:val="auto"/>
          <w:spacing w:val="-6"/>
          <w:sz w:val="21"/>
          <w:szCs w:val="21"/>
          <w:highlight w:val="none"/>
          <w:lang w:val="en-US" w:eastAsia="zh-CN"/>
        </w:rPr>
        <w:t xml:space="preserve"> </w:t>
      </w:r>
      <w:r>
        <w:rPr>
          <w:rFonts w:hint="eastAsia" w:ascii="宋体" w:hAnsi="宋体" w:eastAsia="宋体" w:cs="宋体"/>
          <w:color w:val="auto"/>
          <w:spacing w:val="-6"/>
          <w:sz w:val="21"/>
          <w:szCs w:val="21"/>
          <w:highlight w:val="none"/>
        </w:rPr>
        <w:t xml:space="preserve">1.投标人应根据招标文件第二章“投标人须知”第 </w:t>
      </w:r>
      <w:r>
        <w:rPr>
          <w:rFonts w:hint="eastAsia" w:ascii="宋体" w:hAnsi="宋体" w:eastAsia="宋体" w:cs="宋体"/>
          <w:color w:val="auto"/>
          <w:sz w:val="21"/>
          <w:szCs w:val="21"/>
          <w:highlight w:val="none"/>
        </w:rPr>
        <w:t>3.5.2</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0452894A">
      <w:pPr>
        <w:keepNext w:val="0"/>
        <w:keepLines w:val="0"/>
        <w:pageBreakBefore w:val="0"/>
        <w:widowControl w:val="0"/>
        <w:kinsoku/>
        <w:wordWrap w:val="0"/>
        <w:overflowPunct/>
        <w:topLinePunct w:val="0"/>
        <w:autoSpaceDE/>
        <w:autoSpaceDN/>
        <w:bidi w:val="0"/>
        <w:adjustRightInd/>
        <w:snapToGrid/>
        <w:ind w:left="0" w:right="0" w:firstLine="840" w:firstLineChars="400"/>
        <w:jc w:val="lef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2.本表所列数据必须与本表各附件中的数据相一致。</w:t>
      </w:r>
    </w:p>
    <w:p w14:paraId="119E3855">
      <w:pPr>
        <w:pStyle w:val="37"/>
        <w:keepNext w:val="0"/>
        <w:keepLines w:val="0"/>
        <w:pageBreakBefore w:val="0"/>
        <w:widowControl w:val="0"/>
        <w:kinsoku/>
        <w:wordWrap w:val="0"/>
        <w:overflowPunct/>
        <w:topLinePunct w:val="0"/>
        <w:autoSpaceDE/>
        <w:autoSpaceDN/>
        <w:bidi w:val="0"/>
        <w:snapToGrid/>
        <w:spacing w:before="119" w:line="240" w:lineRule="auto"/>
        <w:ind w:right="0"/>
        <w:jc w:val="left"/>
        <w:rPr>
          <w:rFonts w:hint="eastAsia" w:ascii="宋体" w:hAnsi="宋体" w:eastAsia="宋体" w:cs="宋体"/>
          <w:color w:val="auto"/>
          <w:sz w:val="21"/>
          <w:szCs w:val="21"/>
          <w:highlight w:val="none"/>
        </w:rPr>
        <w:sectPr>
          <w:headerReference r:id="rId9" w:type="default"/>
          <w:footerReference r:id="rId10" w:type="default"/>
          <w:pgSz w:w="11910" w:h="16850"/>
          <w:pgMar w:top="1587" w:right="1417" w:bottom="1417" w:left="1417" w:header="0" w:footer="1071" w:gutter="0"/>
          <w:pgNumType w:fmt="decimal"/>
          <w:cols w:space="0" w:num="1"/>
          <w:rtlGutter w:val="0"/>
          <w:docGrid w:linePitch="0" w:charSpace="0"/>
        </w:sectPr>
      </w:pPr>
    </w:p>
    <w:p w14:paraId="6CB6188A">
      <w:pPr>
        <w:keepNext w:val="0"/>
        <w:keepLines w:val="0"/>
        <w:pageBreakBefore w:val="0"/>
        <w:widowControl w:val="0"/>
        <w:kinsoku/>
        <w:wordWrap w:val="0"/>
        <w:overflowPunct/>
        <w:topLinePunct w:val="0"/>
        <w:autoSpaceDE/>
        <w:autoSpaceDN/>
        <w:bidi w:val="0"/>
        <w:adjustRightInd w:val="0"/>
        <w:snapToGrid/>
        <w:spacing w:after="0" w:afterLines="100" w:line="360" w:lineRule="auto"/>
        <w:ind w:right="-34" w:rightChars="-16"/>
        <w:jc w:val="center"/>
        <w:textAlignment w:val="auto"/>
        <w:outlineLvl w:val="1"/>
        <w:rPr>
          <w:rFonts w:ascii="宋体" w:hAnsi="宋体" w:cs="宋体"/>
          <w:b/>
          <w:bCs/>
          <w:color w:val="auto"/>
          <w:kern w:val="0"/>
          <w:sz w:val="28"/>
          <w:szCs w:val="28"/>
          <w:highlight w:val="none"/>
        </w:rPr>
      </w:pPr>
      <w:bookmarkStart w:id="512" w:name="_Toc37747015"/>
      <w:bookmarkStart w:id="513" w:name="_Toc513740276"/>
      <w:bookmarkStart w:id="514" w:name="_Toc12036"/>
      <w:bookmarkStart w:id="515" w:name="_Toc228881264"/>
      <w:bookmarkStart w:id="516" w:name="_Toc214434004"/>
      <w:bookmarkStart w:id="517" w:name="_Toc500864554"/>
      <w:bookmarkStart w:id="518" w:name="_Toc272772684"/>
      <w:bookmarkStart w:id="519" w:name="_Toc228591624"/>
      <w:bookmarkStart w:id="520" w:name="_Toc227657602"/>
      <w:bookmarkStart w:id="521" w:name="_Toc37422299"/>
      <w:bookmarkStart w:id="522" w:name="_Toc431367159"/>
      <w:bookmarkStart w:id="523" w:name="_Toc38738913"/>
      <w:bookmarkStart w:id="524" w:name="_Toc228591772"/>
      <w:bookmarkStart w:id="525" w:name="_Toc26594"/>
      <w:bookmarkStart w:id="526" w:name="_Toc228589278"/>
      <w:bookmarkStart w:id="527" w:name="_Toc227492360"/>
      <w:bookmarkStart w:id="528" w:name="_Toc228337213"/>
      <w:r>
        <w:rPr>
          <w:rFonts w:hint="eastAsia" w:ascii="宋体" w:hAnsi="宋体" w:cs="宋体"/>
          <w:b/>
          <w:bCs/>
          <w:color w:val="auto"/>
          <w:kern w:val="0"/>
          <w:sz w:val="28"/>
          <w:szCs w:val="28"/>
          <w:highlight w:val="none"/>
        </w:rPr>
        <w:t>（</w:t>
      </w:r>
      <w:r>
        <w:rPr>
          <w:rFonts w:hint="eastAsia" w:ascii="宋体" w:hAnsi="宋体" w:cs="宋体"/>
          <w:b/>
          <w:bCs/>
          <w:color w:val="auto"/>
          <w:kern w:val="0"/>
          <w:sz w:val="28"/>
          <w:szCs w:val="28"/>
          <w:highlight w:val="none"/>
          <w:lang w:eastAsia="zh-CN"/>
        </w:rPr>
        <w:t>四</w:t>
      </w:r>
      <w:r>
        <w:rPr>
          <w:rFonts w:hint="eastAsia" w:ascii="宋体" w:hAnsi="宋体" w:cs="宋体"/>
          <w:b/>
          <w:bCs/>
          <w:color w:val="auto"/>
          <w:kern w:val="0"/>
          <w:sz w:val="28"/>
          <w:szCs w:val="28"/>
          <w:highlight w:val="none"/>
        </w:rPr>
        <w:t>）近年类似项目情况表</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6688"/>
      </w:tblGrid>
      <w:tr w14:paraId="48FC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2F139C05">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项目名称</w:t>
            </w:r>
          </w:p>
        </w:tc>
        <w:tc>
          <w:tcPr>
            <w:tcW w:w="6688" w:type="dxa"/>
            <w:vAlign w:val="center"/>
          </w:tcPr>
          <w:p w14:paraId="158A1D4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675B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7784CB2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项目所在地</w:t>
            </w:r>
          </w:p>
        </w:tc>
        <w:tc>
          <w:tcPr>
            <w:tcW w:w="6688" w:type="dxa"/>
            <w:vAlign w:val="center"/>
          </w:tcPr>
          <w:p w14:paraId="4E19B095">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64E75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01209E0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发包人名称</w:t>
            </w:r>
          </w:p>
        </w:tc>
        <w:tc>
          <w:tcPr>
            <w:tcW w:w="6688" w:type="dxa"/>
            <w:vAlign w:val="center"/>
          </w:tcPr>
          <w:p w14:paraId="4820D148">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33B2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555CCADE">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发包人地址</w:t>
            </w:r>
          </w:p>
        </w:tc>
        <w:tc>
          <w:tcPr>
            <w:tcW w:w="6688" w:type="dxa"/>
            <w:vAlign w:val="center"/>
          </w:tcPr>
          <w:p w14:paraId="632B0463">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14BC2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3974BA8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发包人电话</w:t>
            </w:r>
          </w:p>
        </w:tc>
        <w:tc>
          <w:tcPr>
            <w:tcW w:w="6688" w:type="dxa"/>
            <w:vAlign w:val="center"/>
          </w:tcPr>
          <w:p w14:paraId="31A49EB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28DB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03A35D9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合同价格</w:t>
            </w:r>
          </w:p>
        </w:tc>
        <w:tc>
          <w:tcPr>
            <w:tcW w:w="6688" w:type="dxa"/>
            <w:vAlign w:val="center"/>
          </w:tcPr>
          <w:p w14:paraId="37F35058">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51966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29C02FD8">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开工日期</w:t>
            </w:r>
          </w:p>
        </w:tc>
        <w:tc>
          <w:tcPr>
            <w:tcW w:w="6688" w:type="dxa"/>
            <w:vAlign w:val="center"/>
          </w:tcPr>
          <w:p w14:paraId="41823BC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5986B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2FC8489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竣工日期</w:t>
            </w:r>
          </w:p>
        </w:tc>
        <w:tc>
          <w:tcPr>
            <w:tcW w:w="6688" w:type="dxa"/>
            <w:vAlign w:val="center"/>
          </w:tcPr>
          <w:p w14:paraId="1141B708">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710F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7259A3A7">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承担的工作</w:t>
            </w:r>
          </w:p>
        </w:tc>
        <w:tc>
          <w:tcPr>
            <w:tcW w:w="6688" w:type="dxa"/>
            <w:vAlign w:val="center"/>
          </w:tcPr>
          <w:p w14:paraId="33B7F15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EB53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53715AF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工程质量</w:t>
            </w:r>
          </w:p>
        </w:tc>
        <w:tc>
          <w:tcPr>
            <w:tcW w:w="6688" w:type="dxa"/>
            <w:vAlign w:val="center"/>
          </w:tcPr>
          <w:p w14:paraId="2325C97E">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EA8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60931F7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项目经理</w:t>
            </w:r>
          </w:p>
        </w:tc>
        <w:tc>
          <w:tcPr>
            <w:tcW w:w="6688" w:type="dxa"/>
            <w:vAlign w:val="center"/>
          </w:tcPr>
          <w:p w14:paraId="0E74AA8F">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58152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16089C7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技术负责人</w:t>
            </w:r>
          </w:p>
        </w:tc>
        <w:tc>
          <w:tcPr>
            <w:tcW w:w="6688" w:type="dxa"/>
            <w:vAlign w:val="center"/>
          </w:tcPr>
          <w:p w14:paraId="77FAA5A7">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106D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4287699C">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总监理工程师及电话</w:t>
            </w:r>
          </w:p>
        </w:tc>
        <w:tc>
          <w:tcPr>
            <w:tcW w:w="6688" w:type="dxa"/>
            <w:vAlign w:val="center"/>
          </w:tcPr>
          <w:p w14:paraId="3CAD074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21017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2678" w:type="dxa"/>
            <w:vAlign w:val="center"/>
          </w:tcPr>
          <w:p w14:paraId="1599B7DF">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项目描述</w:t>
            </w:r>
          </w:p>
        </w:tc>
        <w:tc>
          <w:tcPr>
            <w:tcW w:w="6688" w:type="dxa"/>
            <w:vAlign w:val="center"/>
          </w:tcPr>
          <w:p w14:paraId="080B630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5A8EE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4F72823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备注</w:t>
            </w:r>
          </w:p>
        </w:tc>
        <w:tc>
          <w:tcPr>
            <w:tcW w:w="6688" w:type="dxa"/>
            <w:vAlign w:val="center"/>
          </w:tcPr>
          <w:p w14:paraId="10E8E04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bl>
    <w:p w14:paraId="3D58B15F">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210" w:firstLineChars="100"/>
        <w:jc w:val="left"/>
        <w:textAlignment w:val="auto"/>
        <w:rPr>
          <w:rFonts w:hint="eastAsia" w:ascii="宋体" w:hAnsi="宋体" w:eastAsia="宋体" w:cs="宋体"/>
          <w:color w:val="auto"/>
          <w:sz w:val="21"/>
          <w:szCs w:val="21"/>
          <w:highlight w:val="none"/>
        </w:rPr>
      </w:pPr>
      <w:bookmarkStart w:id="529" w:name="_Toc272772685"/>
      <w:bookmarkStart w:id="530" w:name="_Toc228589279"/>
      <w:bookmarkStart w:id="531" w:name="_Toc214434005"/>
      <w:bookmarkStart w:id="532" w:name="_Toc227657603"/>
      <w:bookmarkStart w:id="533" w:name="_Toc431367160"/>
      <w:bookmarkStart w:id="534" w:name="_Toc228591773"/>
      <w:bookmarkStart w:id="535" w:name="_Toc228337214"/>
      <w:bookmarkStart w:id="536" w:name="_Toc227492361"/>
      <w:bookmarkStart w:id="537" w:name="_Toc228591625"/>
      <w:bookmarkStart w:id="538" w:name="_Toc228881265"/>
      <w:r>
        <w:rPr>
          <w:rFonts w:hint="eastAsia" w:ascii="宋体" w:hAnsi="宋体" w:eastAsia="宋体" w:cs="宋体"/>
          <w:color w:val="auto"/>
          <w:sz w:val="21"/>
          <w:szCs w:val="21"/>
          <w:highlight w:val="none"/>
        </w:rPr>
        <w:t>注：1.每张表格只填写一个项目，并标明序号。</w:t>
      </w:r>
    </w:p>
    <w:p w14:paraId="02D78C1D">
      <w:pPr>
        <w:keepNext w:val="0"/>
        <w:keepLines w:val="0"/>
        <w:pageBreakBefore w:val="0"/>
        <w:widowControl w:val="0"/>
        <w:kinsoku/>
        <w:wordWrap w:val="0"/>
        <w:overflowPunct/>
        <w:topLinePunct w:val="0"/>
        <w:autoSpaceDE/>
        <w:autoSpaceDN/>
        <w:bidi w:val="0"/>
        <w:adjustRightInd/>
        <w:snapToGrid/>
        <w:spacing w:line="360" w:lineRule="auto"/>
        <w:ind w:left="644" w:righ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2.投标人应根据招标文件第二章“投标人须知”第 </w:t>
      </w:r>
      <w:r>
        <w:rPr>
          <w:rFonts w:hint="eastAsia" w:ascii="宋体" w:hAnsi="宋体" w:eastAsia="宋体" w:cs="宋体"/>
          <w:color w:val="auto"/>
          <w:sz w:val="21"/>
          <w:szCs w:val="21"/>
          <w:highlight w:val="none"/>
        </w:rPr>
        <w:t>3.5.3</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17C30AA7">
      <w:pPr>
        <w:keepNext w:val="0"/>
        <w:keepLines w:val="0"/>
        <w:pageBreakBefore w:val="0"/>
        <w:widowControl w:val="0"/>
        <w:kinsoku/>
        <w:wordWrap w:val="0"/>
        <w:overflowPunct/>
        <w:topLinePunct w:val="0"/>
        <w:autoSpaceDE/>
        <w:autoSpaceDN/>
        <w:bidi w:val="0"/>
        <w:adjustRightInd/>
        <w:snapToGrid/>
        <w:spacing w:line="360" w:lineRule="auto"/>
        <w:ind w:left="812" w:right="0" w:hanging="16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3.如近年来</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rPr>
        <w:t>投标人法人机构发生合法变更或重组或法人名称变更时，应提供相关部门的合</w:t>
      </w:r>
      <w:r>
        <w:rPr>
          <w:rFonts w:hint="eastAsia" w:ascii="宋体" w:hAnsi="宋体" w:eastAsia="宋体" w:cs="宋体"/>
          <w:color w:val="auto"/>
          <w:spacing w:val="-41"/>
          <w:sz w:val="21"/>
          <w:szCs w:val="21"/>
          <w:highlight w:val="none"/>
        </w:rPr>
        <w:t xml:space="preserve"> </w:t>
      </w:r>
      <w:r>
        <w:rPr>
          <w:rFonts w:hint="eastAsia" w:ascii="宋体" w:hAnsi="宋体" w:eastAsia="宋体" w:cs="宋体"/>
          <w:color w:val="auto"/>
          <w:sz w:val="21"/>
          <w:szCs w:val="21"/>
          <w:highlight w:val="none"/>
        </w:rPr>
        <w:t>法批件或其他相关证明材料来证明其所附业绩的继承性。</w:t>
      </w:r>
    </w:p>
    <w:bookmarkEnd w:id="529"/>
    <w:bookmarkEnd w:id="530"/>
    <w:bookmarkEnd w:id="531"/>
    <w:bookmarkEnd w:id="532"/>
    <w:bookmarkEnd w:id="533"/>
    <w:bookmarkEnd w:id="534"/>
    <w:bookmarkEnd w:id="535"/>
    <w:bookmarkEnd w:id="536"/>
    <w:bookmarkEnd w:id="537"/>
    <w:bookmarkEnd w:id="538"/>
    <w:p w14:paraId="759BAB9E">
      <w:pPr>
        <w:pStyle w:val="9"/>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hint="eastAsia" w:ascii="宋体" w:hAnsi="宋体" w:eastAsia="宋体" w:cs="宋体"/>
          <w:b/>
          <w:bCs/>
          <w:color w:val="auto"/>
          <w:sz w:val="28"/>
          <w:szCs w:val="28"/>
          <w:highlight w:val="none"/>
        </w:rPr>
        <w:sectPr>
          <w:headerReference r:id="rId11" w:type="default"/>
          <w:pgSz w:w="11910" w:h="16850"/>
          <w:pgMar w:top="1587" w:right="1417" w:bottom="1417" w:left="1417" w:header="883" w:footer="845" w:gutter="0"/>
          <w:pgNumType w:fmt="decimal"/>
          <w:cols w:space="720" w:num="1"/>
        </w:sectPr>
      </w:pPr>
    </w:p>
    <w:p w14:paraId="2F5C5D03">
      <w:pPr>
        <w:pStyle w:val="9"/>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ascii="黑体" w:hAnsi="黑体" w:eastAsia="黑体" w:cs="黑体"/>
          <w:color w:val="auto"/>
          <w:sz w:val="13"/>
          <w:szCs w:val="13"/>
          <w:highlight w:val="none"/>
        </w:rPr>
      </w:pPr>
      <w:r>
        <w:rPr>
          <w:rFonts w:hint="eastAsia" w:ascii="宋体" w:hAnsi="宋体" w:eastAsia="宋体" w:cs="宋体"/>
          <w:b/>
          <w:bCs/>
          <w:color w:val="auto"/>
          <w:sz w:val="28"/>
          <w:szCs w:val="28"/>
          <w:highlight w:val="none"/>
        </w:rPr>
        <w:t>（五）投标人的信誉情况表</w:t>
      </w:r>
    </w:p>
    <w:tbl>
      <w:tblPr>
        <w:tblStyle w:val="27"/>
        <w:tblW w:w="0" w:type="auto"/>
        <w:jc w:val="center"/>
        <w:tblLayout w:type="fixed"/>
        <w:tblCellMar>
          <w:top w:w="0" w:type="dxa"/>
          <w:left w:w="0" w:type="dxa"/>
          <w:bottom w:w="0" w:type="dxa"/>
          <w:right w:w="0" w:type="dxa"/>
        </w:tblCellMar>
      </w:tblPr>
      <w:tblGrid>
        <w:gridCol w:w="4261"/>
        <w:gridCol w:w="4263"/>
      </w:tblGrid>
      <w:tr w14:paraId="22368FF3">
        <w:tblPrEx>
          <w:tblCellMar>
            <w:top w:w="0" w:type="dxa"/>
            <w:left w:w="0" w:type="dxa"/>
            <w:bottom w:w="0" w:type="dxa"/>
            <w:right w:w="0" w:type="dxa"/>
          </w:tblCellMar>
        </w:tblPrEx>
        <w:trPr>
          <w:trHeight w:val="106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1409CEDD">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651C368B">
            <w:pPr>
              <w:pStyle w:val="37"/>
              <w:keepNext w:val="0"/>
              <w:keepLines w:val="0"/>
              <w:pageBreakBefore w:val="0"/>
              <w:widowControl w:val="0"/>
              <w:kinsoku/>
              <w:wordWrap w:val="0"/>
              <w:overflowPunct/>
              <w:topLinePunct w:val="0"/>
              <w:autoSpaceDE/>
              <w:autoSpaceDN/>
              <w:bidi w:val="0"/>
              <w:snapToGrid/>
              <w:spacing w:before="160" w:line="240" w:lineRule="auto"/>
              <w:ind w:left="1"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项</w:t>
            </w:r>
            <w:r>
              <w:rPr>
                <w:rFonts w:ascii="宋体" w:hAnsi="宋体" w:eastAsia="宋体" w:cs="宋体"/>
                <w:color w:val="auto"/>
                <w:spacing w:val="2"/>
                <w:sz w:val="21"/>
                <w:szCs w:val="21"/>
                <w:highlight w:val="none"/>
              </w:rPr>
              <w:t xml:space="preserve"> </w:t>
            </w:r>
            <w:r>
              <w:rPr>
                <w:rFonts w:ascii="宋体" w:hAnsi="宋体" w:eastAsia="宋体" w:cs="宋体"/>
                <w:color w:val="auto"/>
                <w:sz w:val="21"/>
                <w:szCs w:val="21"/>
                <w:highlight w:val="none"/>
              </w:rPr>
              <w:t>目</w:t>
            </w:r>
          </w:p>
        </w:tc>
        <w:tc>
          <w:tcPr>
            <w:tcW w:w="4263" w:type="dxa"/>
            <w:tcBorders>
              <w:top w:val="single" w:color="000000" w:sz="4" w:space="0"/>
              <w:left w:val="single" w:color="000000" w:sz="4" w:space="0"/>
              <w:bottom w:val="single" w:color="000000" w:sz="4" w:space="0"/>
              <w:right w:val="single" w:color="000000" w:sz="4" w:space="0"/>
            </w:tcBorders>
          </w:tcPr>
          <w:p w14:paraId="07284540">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CD247E0">
            <w:pPr>
              <w:pStyle w:val="37"/>
              <w:keepNext w:val="0"/>
              <w:keepLines w:val="0"/>
              <w:pageBreakBefore w:val="0"/>
              <w:widowControl w:val="0"/>
              <w:kinsoku/>
              <w:wordWrap w:val="0"/>
              <w:overflowPunct/>
              <w:topLinePunct w:val="0"/>
              <w:autoSpaceDE/>
              <w:autoSpaceDN/>
              <w:bidi w:val="0"/>
              <w:snapToGrid/>
              <w:spacing w:before="160" w:line="240" w:lineRule="auto"/>
              <w:ind w:left="138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投标人情况说明</w:t>
            </w:r>
          </w:p>
        </w:tc>
      </w:tr>
      <w:tr w14:paraId="1FA31965">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4ADE4A1A">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11878127">
            <w:pPr>
              <w:keepNext w:val="0"/>
              <w:keepLines w:val="0"/>
              <w:pageBreakBefore w:val="0"/>
              <w:widowControl w:val="0"/>
              <w:kinsoku/>
              <w:wordWrap w:val="0"/>
              <w:overflowPunct/>
              <w:topLinePunct w:val="0"/>
              <w:autoSpaceDE/>
              <w:autoSpaceDN/>
              <w:bidi w:val="0"/>
              <w:snapToGrid/>
              <w:rPr>
                <w:color w:val="auto"/>
                <w:highlight w:val="none"/>
              </w:rPr>
            </w:pPr>
          </w:p>
        </w:tc>
      </w:tr>
      <w:tr w14:paraId="54B7C810">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162F0687">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65713155">
            <w:pPr>
              <w:keepNext w:val="0"/>
              <w:keepLines w:val="0"/>
              <w:pageBreakBefore w:val="0"/>
              <w:widowControl w:val="0"/>
              <w:kinsoku/>
              <w:wordWrap w:val="0"/>
              <w:overflowPunct/>
              <w:topLinePunct w:val="0"/>
              <w:autoSpaceDE/>
              <w:autoSpaceDN/>
              <w:bidi w:val="0"/>
              <w:snapToGrid/>
              <w:rPr>
                <w:color w:val="auto"/>
                <w:highlight w:val="none"/>
              </w:rPr>
            </w:pPr>
          </w:p>
        </w:tc>
      </w:tr>
      <w:tr w14:paraId="717E23DE">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03776106">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7DE2F6E3">
            <w:pPr>
              <w:keepNext w:val="0"/>
              <w:keepLines w:val="0"/>
              <w:pageBreakBefore w:val="0"/>
              <w:widowControl w:val="0"/>
              <w:kinsoku/>
              <w:wordWrap w:val="0"/>
              <w:overflowPunct/>
              <w:topLinePunct w:val="0"/>
              <w:autoSpaceDE/>
              <w:autoSpaceDN/>
              <w:bidi w:val="0"/>
              <w:snapToGrid/>
              <w:rPr>
                <w:color w:val="auto"/>
                <w:highlight w:val="none"/>
              </w:rPr>
            </w:pPr>
          </w:p>
        </w:tc>
      </w:tr>
      <w:tr w14:paraId="20D29D02">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59CA5923">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1976F8A7">
            <w:pPr>
              <w:keepNext w:val="0"/>
              <w:keepLines w:val="0"/>
              <w:pageBreakBefore w:val="0"/>
              <w:widowControl w:val="0"/>
              <w:kinsoku/>
              <w:wordWrap w:val="0"/>
              <w:overflowPunct/>
              <w:topLinePunct w:val="0"/>
              <w:autoSpaceDE/>
              <w:autoSpaceDN/>
              <w:bidi w:val="0"/>
              <w:snapToGrid/>
              <w:rPr>
                <w:color w:val="auto"/>
                <w:highlight w:val="none"/>
              </w:rPr>
            </w:pPr>
          </w:p>
        </w:tc>
      </w:tr>
      <w:tr w14:paraId="514DCBA5">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3D878BD9">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4045B67C">
            <w:pPr>
              <w:keepNext w:val="0"/>
              <w:keepLines w:val="0"/>
              <w:pageBreakBefore w:val="0"/>
              <w:widowControl w:val="0"/>
              <w:kinsoku/>
              <w:wordWrap w:val="0"/>
              <w:overflowPunct/>
              <w:topLinePunct w:val="0"/>
              <w:autoSpaceDE/>
              <w:autoSpaceDN/>
              <w:bidi w:val="0"/>
              <w:snapToGrid/>
              <w:rPr>
                <w:color w:val="auto"/>
                <w:highlight w:val="none"/>
              </w:rPr>
            </w:pPr>
          </w:p>
        </w:tc>
      </w:tr>
      <w:tr w14:paraId="63603C39">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2F07D912">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1768EE8F">
            <w:pPr>
              <w:keepNext w:val="0"/>
              <w:keepLines w:val="0"/>
              <w:pageBreakBefore w:val="0"/>
              <w:widowControl w:val="0"/>
              <w:kinsoku/>
              <w:wordWrap w:val="0"/>
              <w:overflowPunct/>
              <w:topLinePunct w:val="0"/>
              <w:autoSpaceDE/>
              <w:autoSpaceDN/>
              <w:bidi w:val="0"/>
              <w:snapToGrid/>
              <w:rPr>
                <w:color w:val="auto"/>
                <w:highlight w:val="none"/>
              </w:rPr>
            </w:pPr>
          </w:p>
        </w:tc>
      </w:tr>
      <w:tr w14:paraId="0A63F7E1">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2BEAD66A">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0298A5A9">
            <w:pPr>
              <w:keepNext w:val="0"/>
              <w:keepLines w:val="0"/>
              <w:pageBreakBefore w:val="0"/>
              <w:widowControl w:val="0"/>
              <w:kinsoku/>
              <w:wordWrap w:val="0"/>
              <w:overflowPunct/>
              <w:topLinePunct w:val="0"/>
              <w:autoSpaceDE/>
              <w:autoSpaceDN/>
              <w:bidi w:val="0"/>
              <w:snapToGrid/>
              <w:rPr>
                <w:color w:val="auto"/>
                <w:highlight w:val="none"/>
              </w:rPr>
            </w:pPr>
          </w:p>
        </w:tc>
      </w:tr>
      <w:tr w14:paraId="7EA4D224">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05AC1521">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41B55F15">
            <w:pPr>
              <w:keepNext w:val="0"/>
              <w:keepLines w:val="0"/>
              <w:pageBreakBefore w:val="0"/>
              <w:widowControl w:val="0"/>
              <w:kinsoku/>
              <w:wordWrap w:val="0"/>
              <w:overflowPunct/>
              <w:topLinePunct w:val="0"/>
              <w:autoSpaceDE/>
              <w:autoSpaceDN/>
              <w:bidi w:val="0"/>
              <w:snapToGrid/>
              <w:rPr>
                <w:color w:val="auto"/>
                <w:highlight w:val="none"/>
              </w:rPr>
            </w:pPr>
          </w:p>
        </w:tc>
      </w:tr>
    </w:tbl>
    <w:p w14:paraId="6BADA996">
      <w:pPr>
        <w:keepNext w:val="0"/>
        <w:keepLines w:val="0"/>
        <w:pageBreakBefore w:val="0"/>
        <w:widowControl w:val="0"/>
        <w:kinsoku/>
        <w:wordWrap w:val="0"/>
        <w:overflowPunct/>
        <w:topLinePunct w:val="0"/>
        <w:autoSpaceDE/>
        <w:autoSpaceDN/>
        <w:bidi w:val="0"/>
        <w:adjustRightInd/>
        <w:snapToGrid/>
        <w:spacing w:before="0" w:beforeLines="50" w:line="360" w:lineRule="auto"/>
        <w:ind w:left="1050" w:leftChars="200" w:right="0" w:hanging="630" w:hanging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注：1.投标人应按照招标文件第二章“投标人须知”前附表附录 4和“投标人须知”正文第 1.4.4项规定，逐条说明其信誉情况。</w:t>
      </w:r>
    </w:p>
    <w:p w14:paraId="6EC3EDA2">
      <w:pPr>
        <w:keepNext w:val="0"/>
        <w:keepLines w:val="0"/>
        <w:pageBreakBefore w:val="0"/>
        <w:widowControl w:val="0"/>
        <w:kinsoku/>
        <w:wordWrap w:val="0"/>
        <w:overflowPunct/>
        <w:topLinePunct w:val="0"/>
        <w:autoSpaceDE/>
        <w:autoSpaceDN/>
        <w:bidi w:val="0"/>
        <w:adjustRightInd/>
        <w:snapToGrid/>
        <w:spacing w:line="360" w:lineRule="auto"/>
        <w:ind w:left="1050" w:leftChars="400" w:right="102" w:hanging="210" w:hanging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2.投标人应根据招标文件第二章“投标人须知”第 3.5.4 项的要求在本表后附相关证明材料。</w:t>
      </w:r>
    </w:p>
    <w:p w14:paraId="33F050CD">
      <w:pPr>
        <w:keepNext w:val="0"/>
        <w:keepLines w:val="0"/>
        <w:pageBreakBefore w:val="0"/>
        <w:widowControl w:val="0"/>
        <w:kinsoku/>
        <w:wordWrap w:val="0"/>
        <w:overflowPunct/>
        <w:topLinePunct w:val="0"/>
        <w:autoSpaceDE/>
        <w:autoSpaceDN/>
        <w:bidi w:val="0"/>
        <w:adjustRightInd/>
        <w:snapToGrid/>
        <w:spacing w:line="360" w:lineRule="auto"/>
        <w:ind w:left="224" w:right="102" w:firstLine="0"/>
        <w:jc w:val="left"/>
        <w:textAlignment w:val="auto"/>
        <w:rPr>
          <w:rFonts w:hint="eastAsia" w:ascii="宋体" w:hAnsi="宋体" w:eastAsia="宋体" w:cs="宋体"/>
          <w:color w:val="auto"/>
          <w:sz w:val="21"/>
          <w:szCs w:val="21"/>
          <w:highlight w:val="none"/>
        </w:rPr>
      </w:pPr>
    </w:p>
    <w:p w14:paraId="57361A55">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left"/>
        <w:rPr>
          <w:rFonts w:ascii="宋体" w:hAnsi="宋体" w:cs="宋体"/>
          <w:color w:val="auto"/>
          <w:kern w:val="0"/>
          <w:sz w:val="24"/>
          <w:highlight w:val="none"/>
        </w:rPr>
      </w:pPr>
    </w:p>
    <w:p w14:paraId="57FB66A5">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left"/>
        <w:rPr>
          <w:rFonts w:ascii="宋体" w:hAnsi="宋体" w:cs="宋体"/>
          <w:color w:val="auto"/>
          <w:kern w:val="0"/>
          <w:sz w:val="24"/>
          <w:highlight w:val="none"/>
        </w:rPr>
      </w:pPr>
    </w:p>
    <w:p w14:paraId="331CF79D">
      <w:pPr>
        <w:pStyle w:val="9"/>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（六）拟委任的项目经理和项目总工资历表</w:t>
      </w:r>
    </w:p>
    <w:tbl>
      <w:tblPr>
        <w:tblStyle w:val="27"/>
        <w:tblW w:w="0" w:type="auto"/>
        <w:jc w:val="center"/>
        <w:tblLayout w:type="fixed"/>
        <w:tblCellMar>
          <w:top w:w="0" w:type="dxa"/>
          <w:left w:w="0" w:type="dxa"/>
          <w:bottom w:w="0" w:type="dxa"/>
          <w:right w:w="0" w:type="dxa"/>
        </w:tblCellMar>
      </w:tblPr>
      <w:tblGrid>
        <w:gridCol w:w="1261"/>
        <w:gridCol w:w="1377"/>
        <w:gridCol w:w="103"/>
        <w:gridCol w:w="1061"/>
        <w:gridCol w:w="1380"/>
        <w:gridCol w:w="338"/>
        <w:gridCol w:w="1543"/>
        <w:gridCol w:w="387"/>
        <w:gridCol w:w="1282"/>
      </w:tblGrid>
      <w:tr w14:paraId="6CABCE8C">
        <w:tblPrEx>
          <w:tblCellMar>
            <w:top w:w="0" w:type="dxa"/>
            <w:left w:w="0" w:type="dxa"/>
            <w:bottom w:w="0" w:type="dxa"/>
            <w:right w:w="0" w:type="dxa"/>
          </w:tblCellMar>
        </w:tblPrEx>
        <w:trPr>
          <w:trHeight w:val="562"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53684279">
            <w:pPr>
              <w:pStyle w:val="37"/>
              <w:keepNext w:val="0"/>
              <w:keepLines w:val="0"/>
              <w:pageBreakBefore w:val="0"/>
              <w:widowControl w:val="0"/>
              <w:tabs>
                <w:tab w:val="left" w:pos="823"/>
              </w:tabs>
              <w:kinsoku/>
              <w:wordWrap w:val="0"/>
              <w:overflowPunct/>
              <w:topLinePunct w:val="0"/>
              <w:autoSpaceDE/>
              <w:autoSpaceDN/>
              <w:bidi w:val="0"/>
              <w:snapToGrid/>
              <w:spacing w:before="150"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姓</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名</w:t>
            </w:r>
          </w:p>
        </w:tc>
        <w:tc>
          <w:tcPr>
            <w:tcW w:w="1480" w:type="dxa"/>
            <w:gridSpan w:val="2"/>
            <w:tcBorders>
              <w:top w:val="single" w:color="000000" w:sz="4" w:space="0"/>
              <w:left w:val="single" w:color="000000" w:sz="4" w:space="0"/>
              <w:bottom w:val="single" w:color="000000" w:sz="4" w:space="0"/>
              <w:right w:val="single" w:color="000000" w:sz="4" w:space="0"/>
            </w:tcBorders>
            <w:vAlign w:val="center"/>
          </w:tcPr>
          <w:p w14:paraId="3B32F4C7">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vAlign w:val="center"/>
          </w:tcPr>
          <w:p w14:paraId="139837A9">
            <w:pPr>
              <w:pStyle w:val="37"/>
              <w:keepNext w:val="0"/>
              <w:keepLines w:val="0"/>
              <w:pageBreakBefore w:val="0"/>
              <w:widowControl w:val="0"/>
              <w:tabs>
                <w:tab w:val="left" w:pos="736"/>
              </w:tabs>
              <w:kinsoku/>
              <w:wordWrap w:val="0"/>
              <w:overflowPunct/>
              <w:topLinePunct w:val="0"/>
              <w:autoSpaceDE/>
              <w:autoSpaceDN/>
              <w:bidi w:val="0"/>
              <w:snapToGrid/>
              <w:spacing w:before="150" w:line="240" w:lineRule="auto"/>
              <w:ind w:left="105"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龄</w:t>
            </w:r>
          </w:p>
        </w:tc>
        <w:tc>
          <w:tcPr>
            <w:tcW w:w="1380" w:type="dxa"/>
            <w:tcBorders>
              <w:top w:val="single" w:color="000000" w:sz="4" w:space="0"/>
              <w:left w:val="single" w:color="000000" w:sz="4" w:space="0"/>
              <w:bottom w:val="single" w:color="000000" w:sz="4" w:space="0"/>
              <w:right w:val="single" w:color="000000" w:sz="4" w:space="0"/>
            </w:tcBorders>
            <w:vAlign w:val="center"/>
          </w:tcPr>
          <w:p w14:paraId="3B5C8B8B">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17012F81">
            <w:pPr>
              <w:pStyle w:val="37"/>
              <w:keepNext w:val="0"/>
              <w:keepLines w:val="0"/>
              <w:pageBreakBefore w:val="0"/>
              <w:widowControl w:val="0"/>
              <w:tabs>
                <w:tab w:val="left" w:pos="1147"/>
              </w:tabs>
              <w:kinsoku/>
              <w:wordWrap w:val="0"/>
              <w:overflowPunct/>
              <w:topLinePunct w:val="0"/>
              <w:autoSpaceDE/>
              <w:autoSpaceDN/>
              <w:bidi w:val="0"/>
              <w:snapToGrid/>
              <w:spacing w:before="150"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专</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业</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0F8B65D5">
            <w:pPr>
              <w:keepNext w:val="0"/>
              <w:keepLines w:val="0"/>
              <w:pageBreakBefore w:val="0"/>
              <w:widowControl w:val="0"/>
              <w:kinsoku/>
              <w:wordWrap w:val="0"/>
              <w:overflowPunct/>
              <w:topLinePunct w:val="0"/>
              <w:autoSpaceDE/>
              <w:autoSpaceDN/>
              <w:bidi w:val="0"/>
              <w:snapToGrid/>
              <w:rPr>
                <w:color w:val="auto"/>
                <w:highlight w:val="none"/>
              </w:rPr>
            </w:pPr>
          </w:p>
        </w:tc>
      </w:tr>
      <w:tr w14:paraId="3CAB92EC">
        <w:tblPrEx>
          <w:tblCellMar>
            <w:top w:w="0" w:type="dxa"/>
            <w:left w:w="0" w:type="dxa"/>
            <w:bottom w:w="0" w:type="dxa"/>
            <w:right w:w="0" w:type="dxa"/>
          </w:tblCellMar>
        </w:tblPrEx>
        <w:trPr>
          <w:trHeight w:val="84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304E6C87">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480" w:type="dxa"/>
            <w:gridSpan w:val="2"/>
            <w:tcBorders>
              <w:top w:val="single" w:color="000000" w:sz="4" w:space="0"/>
              <w:left w:val="single" w:color="000000" w:sz="4" w:space="0"/>
              <w:bottom w:val="single" w:color="000000" w:sz="4" w:space="0"/>
              <w:right w:val="single" w:color="000000" w:sz="4" w:space="0"/>
            </w:tcBorders>
            <w:vAlign w:val="center"/>
          </w:tcPr>
          <w:p w14:paraId="7154385C">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vAlign w:val="center"/>
          </w:tcPr>
          <w:p w14:paraId="583F4ACE">
            <w:pPr>
              <w:pStyle w:val="37"/>
              <w:keepNext w:val="0"/>
              <w:keepLines w:val="0"/>
              <w:pageBreakBefore w:val="0"/>
              <w:widowControl w:val="0"/>
              <w:tabs>
                <w:tab w:val="left" w:pos="736"/>
              </w:tabs>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学</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历</w:t>
            </w:r>
          </w:p>
        </w:tc>
        <w:tc>
          <w:tcPr>
            <w:tcW w:w="1380" w:type="dxa"/>
            <w:tcBorders>
              <w:top w:val="single" w:color="000000" w:sz="4" w:space="0"/>
              <w:left w:val="single" w:color="000000" w:sz="4" w:space="0"/>
              <w:bottom w:val="single" w:color="000000" w:sz="4" w:space="0"/>
              <w:right w:val="single" w:color="000000" w:sz="4" w:space="0"/>
            </w:tcBorders>
            <w:vAlign w:val="center"/>
          </w:tcPr>
          <w:p w14:paraId="5FCB5E35">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59A0097B">
            <w:pPr>
              <w:pStyle w:val="37"/>
              <w:keepNext w:val="0"/>
              <w:keepLines w:val="0"/>
              <w:pageBreakBefore w:val="0"/>
              <w:widowControl w:val="0"/>
              <w:kinsoku/>
              <w:wordWrap w:val="0"/>
              <w:overflowPunct/>
              <w:topLinePunct w:val="0"/>
              <w:autoSpaceDE/>
              <w:autoSpaceDN/>
              <w:bidi w:val="0"/>
              <w:snapToGrid/>
              <w:spacing w:before="32" w:line="240" w:lineRule="auto"/>
              <w:ind w:left="515" w:right="405" w:hanging="106"/>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拟在本标段</w:t>
            </w:r>
            <w:r>
              <w:rPr>
                <w:rFonts w:ascii="宋体" w:hAnsi="宋体" w:eastAsia="宋体" w:cs="宋体"/>
                <w:color w:val="auto"/>
                <w:spacing w:val="-102"/>
                <w:sz w:val="21"/>
                <w:szCs w:val="21"/>
                <w:highlight w:val="none"/>
              </w:rPr>
              <w:t xml:space="preserve"> </w:t>
            </w:r>
            <w:r>
              <w:rPr>
                <w:rFonts w:ascii="宋体" w:hAnsi="宋体" w:eastAsia="宋体" w:cs="宋体"/>
                <w:color w:val="auto"/>
                <w:sz w:val="21"/>
                <w:szCs w:val="21"/>
                <w:highlight w:val="none"/>
              </w:rPr>
              <w:t>工程任职</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14FD5D49">
            <w:pPr>
              <w:keepNext w:val="0"/>
              <w:keepLines w:val="0"/>
              <w:pageBreakBefore w:val="0"/>
              <w:widowControl w:val="0"/>
              <w:kinsoku/>
              <w:wordWrap w:val="0"/>
              <w:overflowPunct/>
              <w:topLinePunct w:val="0"/>
              <w:autoSpaceDE/>
              <w:autoSpaceDN/>
              <w:bidi w:val="0"/>
              <w:snapToGrid/>
              <w:rPr>
                <w:color w:val="auto"/>
                <w:highlight w:val="none"/>
              </w:rPr>
            </w:pPr>
          </w:p>
        </w:tc>
      </w:tr>
      <w:tr w14:paraId="457F4200">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33881BBD">
            <w:pPr>
              <w:pStyle w:val="37"/>
              <w:keepNext w:val="0"/>
              <w:keepLines w:val="0"/>
              <w:pageBreakBefore w:val="0"/>
              <w:widowControl w:val="0"/>
              <w:kinsoku/>
              <w:wordWrap w:val="0"/>
              <w:overflowPunct/>
              <w:topLinePunct w:val="0"/>
              <w:autoSpaceDE/>
              <w:autoSpaceDN/>
              <w:bidi w:val="0"/>
              <w:snapToGrid/>
              <w:spacing w:before="150" w:line="240" w:lineRule="auto"/>
              <w:ind w:left="19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工作年限</w:t>
            </w:r>
          </w:p>
        </w:tc>
        <w:tc>
          <w:tcPr>
            <w:tcW w:w="3921" w:type="dxa"/>
            <w:gridSpan w:val="4"/>
            <w:tcBorders>
              <w:top w:val="single" w:color="000000" w:sz="4" w:space="0"/>
              <w:left w:val="single" w:color="000000" w:sz="4" w:space="0"/>
              <w:bottom w:val="single" w:color="000000" w:sz="4" w:space="0"/>
              <w:right w:val="single" w:color="000000" w:sz="4" w:space="0"/>
            </w:tcBorders>
            <w:vAlign w:val="center"/>
          </w:tcPr>
          <w:p w14:paraId="2EF39550">
            <w:pPr>
              <w:keepNext w:val="0"/>
              <w:keepLines w:val="0"/>
              <w:pageBreakBefore w:val="0"/>
              <w:widowControl w:val="0"/>
              <w:kinsoku/>
              <w:wordWrap w:val="0"/>
              <w:overflowPunct/>
              <w:topLinePunct w:val="0"/>
              <w:autoSpaceDE/>
              <w:autoSpaceDN/>
              <w:bidi w:val="0"/>
              <w:snapToGrid/>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40EAB257">
            <w:pPr>
              <w:pStyle w:val="37"/>
              <w:keepNext w:val="0"/>
              <w:keepLines w:val="0"/>
              <w:pageBreakBefore w:val="0"/>
              <w:widowControl w:val="0"/>
              <w:kinsoku/>
              <w:wordWrap w:val="0"/>
              <w:overflowPunct/>
              <w:topLinePunct w:val="0"/>
              <w:autoSpaceDE/>
              <w:autoSpaceDN/>
              <w:bidi w:val="0"/>
              <w:snapToGrid/>
              <w:spacing w:before="150" w:line="240" w:lineRule="auto"/>
              <w:ind w:left="95"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类似施工经验年限</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7B0DF985">
            <w:pPr>
              <w:keepNext w:val="0"/>
              <w:keepLines w:val="0"/>
              <w:pageBreakBefore w:val="0"/>
              <w:widowControl w:val="0"/>
              <w:kinsoku/>
              <w:wordWrap w:val="0"/>
              <w:overflowPunct/>
              <w:topLinePunct w:val="0"/>
              <w:autoSpaceDE/>
              <w:autoSpaceDN/>
              <w:bidi w:val="0"/>
              <w:snapToGrid/>
              <w:rPr>
                <w:color w:val="auto"/>
                <w:highlight w:val="none"/>
              </w:rPr>
            </w:pPr>
          </w:p>
        </w:tc>
      </w:tr>
      <w:tr w14:paraId="69C73860">
        <w:tblPrEx>
          <w:tblCellMar>
            <w:top w:w="0" w:type="dxa"/>
            <w:left w:w="0" w:type="dxa"/>
            <w:bottom w:w="0" w:type="dxa"/>
            <w:right w:w="0" w:type="dxa"/>
          </w:tblCellMar>
        </w:tblPrEx>
        <w:trPr>
          <w:trHeight w:val="531"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40F4BCA">
            <w:pPr>
              <w:pStyle w:val="37"/>
              <w:keepNext w:val="0"/>
              <w:keepLines w:val="0"/>
              <w:pageBreakBefore w:val="0"/>
              <w:widowControl w:val="0"/>
              <w:kinsoku/>
              <w:wordWrap w:val="0"/>
              <w:overflowPunct/>
              <w:topLinePunct w:val="0"/>
              <w:autoSpaceDE/>
              <w:autoSpaceDN/>
              <w:bidi w:val="0"/>
              <w:snapToGrid/>
              <w:spacing w:before="151" w:line="240" w:lineRule="auto"/>
              <w:ind w:left="19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毕业学校</w:t>
            </w:r>
          </w:p>
        </w:tc>
        <w:tc>
          <w:tcPr>
            <w:tcW w:w="7472" w:type="dxa"/>
            <w:gridSpan w:val="8"/>
            <w:tcBorders>
              <w:top w:val="single" w:color="000000" w:sz="4" w:space="0"/>
              <w:left w:val="single" w:color="000000" w:sz="4" w:space="0"/>
              <w:bottom w:val="single" w:color="000000" w:sz="4" w:space="0"/>
              <w:right w:val="single" w:color="000000" w:sz="4" w:space="0"/>
            </w:tcBorders>
            <w:vAlign w:val="center"/>
          </w:tcPr>
          <w:p w14:paraId="36B83AF5">
            <w:pPr>
              <w:pStyle w:val="37"/>
              <w:keepNext w:val="0"/>
              <w:keepLines w:val="0"/>
              <w:pageBreakBefore w:val="0"/>
              <w:widowControl w:val="0"/>
              <w:tabs>
                <w:tab w:val="left" w:pos="526"/>
                <w:tab w:val="left" w:pos="1052"/>
                <w:tab w:val="left" w:pos="3887"/>
                <w:tab w:val="left" w:pos="5462"/>
                <w:tab w:val="left" w:pos="7140"/>
              </w:tabs>
              <w:kinsoku/>
              <w:wordWrap w:val="0"/>
              <w:overflowPunct/>
              <w:topLinePunct w:val="0"/>
              <w:autoSpaceDE/>
              <w:autoSpaceDN/>
              <w:bidi w:val="0"/>
              <w:snapToGrid/>
              <w:spacing w:before="151" w:line="240" w:lineRule="auto"/>
              <w:ind w:left="1" w:right="0" w:firstLine="210" w:firstLineChars="100"/>
              <w:jc w:val="both"/>
              <w:rPr>
                <w:rFonts w:ascii="宋体" w:hAnsi="宋体" w:eastAsia="宋体" w:cs="宋体"/>
                <w:color w:val="auto"/>
                <w:sz w:val="21"/>
                <w:szCs w:val="21"/>
                <w:highlight w:val="none"/>
              </w:rPr>
            </w:pPr>
            <w:r>
              <w:rPr>
                <w:rFonts w:ascii="Times New Roman" w:hAnsi="Times New Roman" w:eastAsia="Times New Roman" w:cs="Times New Roman"/>
                <w:color w:val="auto"/>
                <w:w w:val="100"/>
                <w:sz w:val="21"/>
                <w:szCs w:val="21"/>
                <w:highlight w:val="none"/>
                <w:u w:val="single" w:color="000000"/>
              </w:rPr>
              <w:t xml:space="preserve"> </w:t>
            </w:r>
            <w:r>
              <w:rPr>
                <w:rFonts w:hint="eastAsia" w:ascii="Times New Roman" w:hAnsi="Times New Roman" w:eastAsia="宋体" w:cs="Times New Roman"/>
                <w:color w:val="auto"/>
                <w:w w:val="100"/>
                <w:sz w:val="21"/>
                <w:szCs w:val="21"/>
                <w:highlight w:val="none"/>
                <w:u w:val="single" w:color="000000"/>
                <w:lang w:val="en-US" w:eastAsia="zh-CN"/>
              </w:rPr>
              <w:t xml:space="preserve">     </w:t>
            </w:r>
            <w:r>
              <w:rPr>
                <w:rFonts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pacing w:val="-2"/>
                <w:sz w:val="21"/>
                <w:szCs w:val="21"/>
                <w:highlight w:val="none"/>
              </w:rPr>
              <w:t>月毕业于</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pacing w:val="-2"/>
                <w:sz w:val="21"/>
                <w:szCs w:val="21"/>
                <w:highlight w:val="none"/>
              </w:rPr>
              <w:t>学校</w:t>
            </w:r>
            <w:r>
              <w:rPr>
                <w:rFonts w:ascii="Times New Roman" w:hAnsi="Times New Roman" w:eastAsia="Times New Roman" w:cs="Times New Roman"/>
                <w:color w:val="auto"/>
                <w:spacing w:val="-2"/>
                <w:sz w:val="21"/>
                <w:szCs w:val="21"/>
                <w:highlight w:val="none"/>
                <w:u w:val="single" w:color="000000"/>
              </w:rPr>
              <w:tab/>
            </w:r>
            <w:r>
              <w:rPr>
                <w:rFonts w:ascii="宋体" w:hAnsi="宋体" w:eastAsia="宋体" w:cs="宋体"/>
                <w:color w:val="auto"/>
                <w:spacing w:val="-2"/>
                <w:sz w:val="21"/>
                <w:szCs w:val="21"/>
                <w:highlight w:val="none"/>
              </w:rPr>
              <w:t>专业，学制</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z w:val="21"/>
                <w:szCs w:val="21"/>
                <w:highlight w:val="none"/>
              </w:rPr>
              <w:t>年</w:t>
            </w:r>
          </w:p>
        </w:tc>
      </w:tr>
      <w:tr w14:paraId="1387DC32">
        <w:tblPrEx>
          <w:tblCellMar>
            <w:top w:w="0" w:type="dxa"/>
            <w:left w:w="0" w:type="dxa"/>
            <w:bottom w:w="0" w:type="dxa"/>
            <w:right w:w="0" w:type="dxa"/>
          </w:tblCellMar>
        </w:tblPrEx>
        <w:trPr>
          <w:trHeight w:val="528" w:hRule="exact"/>
          <w:jc w:val="center"/>
        </w:trPr>
        <w:tc>
          <w:tcPr>
            <w:tcW w:w="8733" w:type="dxa"/>
            <w:gridSpan w:val="9"/>
            <w:tcBorders>
              <w:top w:val="single" w:color="000000" w:sz="4" w:space="0"/>
              <w:left w:val="single" w:color="000000" w:sz="4" w:space="0"/>
              <w:bottom w:val="single" w:color="000000" w:sz="4" w:space="0"/>
              <w:right w:val="single" w:color="000000" w:sz="4" w:space="0"/>
            </w:tcBorders>
            <w:vAlign w:val="center"/>
          </w:tcPr>
          <w:p w14:paraId="5249DB3E">
            <w:pPr>
              <w:pStyle w:val="37"/>
              <w:keepNext w:val="0"/>
              <w:keepLines w:val="0"/>
              <w:pageBreakBefore w:val="0"/>
              <w:widowControl w:val="0"/>
              <w:tabs>
                <w:tab w:val="left" w:pos="1161"/>
              </w:tabs>
              <w:kinsoku/>
              <w:wordWrap w:val="0"/>
              <w:overflowPunct/>
              <w:topLinePunct w:val="0"/>
              <w:autoSpaceDE/>
              <w:autoSpaceDN/>
              <w:bidi w:val="0"/>
              <w:snapToGrid/>
              <w:spacing w:before="150" w:line="240" w:lineRule="auto"/>
              <w:ind w:left="4"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经</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历</w:t>
            </w:r>
          </w:p>
        </w:tc>
      </w:tr>
      <w:tr w14:paraId="61858DEA">
        <w:tblPrEx>
          <w:tblCellMar>
            <w:top w:w="0" w:type="dxa"/>
            <w:left w:w="0" w:type="dxa"/>
            <w:bottom w:w="0" w:type="dxa"/>
            <w:right w:w="0" w:type="dxa"/>
          </w:tblCellMar>
        </w:tblPrEx>
        <w:trPr>
          <w:trHeight w:val="931"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F988890">
            <w:pPr>
              <w:pStyle w:val="37"/>
              <w:keepNext w:val="0"/>
              <w:keepLines w:val="0"/>
              <w:pageBreakBefore w:val="0"/>
              <w:widowControl w:val="0"/>
              <w:tabs>
                <w:tab w:val="left" w:pos="743"/>
              </w:tabs>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间</w:t>
            </w: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3B64268F">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参加过的类似工程项目名称</w:t>
            </w: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25D3D09E">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担任职务</w:t>
            </w:r>
          </w:p>
        </w:tc>
        <w:tc>
          <w:tcPr>
            <w:tcW w:w="1282" w:type="dxa"/>
            <w:tcBorders>
              <w:top w:val="single" w:color="000000" w:sz="4" w:space="0"/>
              <w:left w:val="single" w:color="000000" w:sz="4" w:space="0"/>
              <w:bottom w:val="single" w:color="000000" w:sz="4" w:space="0"/>
              <w:right w:val="single" w:color="000000" w:sz="4" w:space="0"/>
            </w:tcBorders>
            <w:vAlign w:val="center"/>
          </w:tcPr>
          <w:p w14:paraId="4F3B8F4A">
            <w:pPr>
              <w:pStyle w:val="37"/>
              <w:keepNext w:val="0"/>
              <w:keepLines w:val="0"/>
              <w:pageBreakBefore w:val="0"/>
              <w:widowControl w:val="0"/>
              <w:kinsoku/>
              <w:wordWrap w:val="0"/>
              <w:overflowPunct/>
              <w:topLinePunct w:val="0"/>
              <w:autoSpaceDE/>
              <w:autoSpaceDN/>
              <w:bidi w:val="0"/>
              <w:snapToGrid/>
              <w:spacing w:before="153" w:line="240" w:lineRule="auto"/>
              <w:ind w:right="108"/>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发包人及联</w:t>
            </w:r>
            <w:r>
              <w:rPr>
                <w:rFonts w:ascii="宋体" w:hAnsi="宋体" w:eastAsia="宋体" w:cs="宋体"/>
                <w:color w:val="auto"/>
                <w:spacing w:val="-102"/>
                <w:sz w:val="21"/>
                <w:szCs w:val="21"/>
                <w:highlight w:val="none"/>
              </w:rPr>
              <w:t xml:space="preserve"> </w:t>
            </w:r>
            <w:r>
              <w:rPr>
                <w:rFonts w:ascii="宋体" w:hAnsi="宋体" w:eastAsia="宋体" w:cs="宋体"/>
                <w:color w:val="auto"/>
                <w:sz w:val="21"/>
                <w:szCs w:val="21"/>
                <w:highlight w:val="none"/>
              </w:rPr>
              <w:t>系电话</w:t>
            </w:r>
          </w:p>
        </w:tc>
      </w:tr>
      <w:tr w14:paraId="31585DA7">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33EC92C">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3BB8C023">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1321B8DD">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2ED8454D">
            <w:pPr>
              <w:keepNext w:val="0"/>
              <w:keepLines w:val="0"/>
              <w:pageBreakBefore w:val="0"/>
              <w:widowControl w:val="0"/>
              <w:kinsoku/>
              <w:wordWrap w:val="0"/>
              <w:overflowPunct/>
              <w:topLinePunct w:val="0"/>
              <w:autoSpaceDE/>
              <w:autoSpaceDN/>
              <w:bidi w:val="0"/>
              <w:snapToGrid/>
              <w:rPr>
                <w:color w:val="auto"/>
                <w:highlight w:val="none"/>
              </w:rPr>
            </w:pPr>
          </w:p>
        </w:tc>
      </w:tr>
      <w:tr w14:paraId="5809894E">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0B2F839A">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334384D3">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6313B1D7">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660CC298">
            <w:pPr>
              <w:keepNext w:val="0"/>
              <w:keepLines w:val="0"/>
              <w:pageBreakBefore w:val="0"/>
              <w:widowControl w:val="0"/>
              <w:kinsoku/>
              <w:wordWrap w:val="0"/>
              <w:overflowPunct/>
              <w:topLinePunct w:val="0"/>
              <w:autoSpaceDE/>
              <w:autoSpaceDN/>
              <w:bidi w:val="0"/>
              <w:snapToGrid/>
              <w:rPr>
                <w:color w:val="auto"/>
                <w:highlight w:val="none"/>
              </w:rPr>
            </w:pPr>
          </w:p>
        </w:tc>
      </w:tr>
      <w:tr w14:paraId="075D6566">
        <w:tblPrEx>
          <w:tblCellMar>
            <w:top w:w="0" w:type="dxa"/>
            <w:left w:w="0" w:type="dxa"/>
            <w:bottom w:w="0" w:type="dxa"/>
            <w:right w:w="0" w:type="dxa"/>
          </w:tblCellMar>
        </w:tblPrEx>
        <w:trPr>
          <w:trHeight w:val="528"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6BCA40D">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6C3BB71D">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425E2308">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7B9C61C1">
            <w:pPr>
              <w:keepNext w:val="0"/>
              <w:keepLines w:val="0"/>
              <w:pageBreakBefore w:val="0"/>
              <w:widowControl w:val="0"/>
              <w:kinsoku/>
              <w:wordWrap w:val="0"/>
              <w:overflowPunct/>
              <w:topLinePunct w:val="0"/>
              <w:autoSpaceDE/>
              <w:autoSpaceDN/>
              <w:bidi w:val="0"/>
              <w:snapToGrid/>
              <w:rPr>
                <w:color w:val="auto"/>
                <w:highlight w:val="none"/>
              </w:rPr>
            </w:pPr>
          </w:p>
        </w:tc>
      </w:tr>
      <w:tr w14:paraId="2F252813">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39EA5BD">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3AFB7C85">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6E8BBA8F">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1D05D692">
            <w:pPr>
              <w:keepNext w:val="0"/>
              <w:keepLines w:val="0"/>
              <w:pageBreakBefore w:val="0"/>
              <w:widowControl w:val="0"/>
              <w:kinsoku/>
              <w:wordWrap w:val="0"/>
              <w:overflowPunct/>
              <w:topLinePunct w:val="0"/>
              <w:autoSpaceDE/>
              <w:autoSpaceDN/>
              <w:bidi w:val="0"/>
              <w:snapToGrid/>
              <w:rPr>
                <w:color w:val="auto"/>
                <w:highlight w:val="none"/>
              </w:rPr>
            </w:pPr>
          </w:p>
        </w:tc>
      </w:tr>
      <w:tr w14:paraId="238BEEC8">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C235EBF">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65404A27">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774BB8F7">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2B43F687">
            <w:pPr>
              <w:keepNext w:val="0"/>
              <w:keepLines w:val="0"/>
              <w:pageBreakBefore w:val="0"/>
              <w:widowControl w:val="0"/>
              <w:kinsoku/>
              <w:wordWrap w:val="0"/>
              <w:overflowPunct/>
              <w:topLinePunct w:val="0"/>
              <w:autoSpaceDE/>
              <w:autoSpaceDN/>
              <w:bidi w:val="0"/>
              <w:snapToGrid/>
              <w:rPr>
                <w:color w:val="auto"/>
                <w:highlight w:val="none"/>
              </w:rPr>
            </w:pPr>
          </w:p>
        </w:tc>
      </w:tr>
      <w:tr w14:paraId="7D832E86">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8722871">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11E97F2F">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54F5E3AE">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1F10C3B4">
            <w:pPr>
              <w:keepNext w:val="0"/>
              <w:keepLines w:val="0"/>
              <w:pageBreakBefore w:val="0"/>
              <w:widowControl w:val="0"/>
              <w:kinsoku/>
              <w:wordWrap w:val="0"/>
              <w:overflowPunct/>
              <w:topLinePunct w:val="0"/>
              <w:autoSpaceDE/>
              <w:autoSpaceDN/>
              <w:bidi w:val="0"/>
              <w:snapToGrid/>
              <w:rPr>
                <w:color w:val="auto"/>
                <w:highlight w:val="none"/>
              </w:rPr>
            </w:pPr>
          </w:p>
        </w:tc>
      </w:tr>
      <w:tr w14:paraId="52F5E26D">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8F92F2E">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5A3DB7F3">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281D78D1">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33688A22">
            <w:pPr>
              <w:keepNext w:val="0"/>
              <w:keepLines w:val="0"/>
              <w:pageBreakBefore w:val="0"/>
              <w:widowControl w:val="0"/>
              <w:kinsoku/>
              <w:wordWrap w:val="0"/>
              <w:overflowPunct/>
              <w:topLinePunct w:val="0"/>
              <w:autoSpaceDE/>
              <w:autoSpaceDN/>
              <w:bidi w:val="0"/>
              <w:snapToGrid/>
              <w:rPr>
                <w:color w:val="auto"/>
                <w:highlight w:val="none"/>
              </w:rPr>
            </w:pPr>
          </w:p>
        </w:tc>
      </w:tr>
      <w:tr w14:paraId="2A76926F">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2CABE43">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6276BC47">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2067D9E0">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45487D2F">
            <w:pPr>
              <w:keepNext w:val="0"/>
              <w:keepLines w:val="0"/>
              <w:pageBreakBefore w:val="0"/>
              <w:widowControl w:val="0"/>
              <w:kinsoku/>
              <w:wordWrap w:val="0"/>
              <w:overflowPunct/>
              <w:topLinePunct w:val="0"/>
              <w:autoSpaceDE/>
              <w:autoSpaceDN/>
              <w:bidi w:val="0"/>
              <w:snapToGrid/>
              <w:rPr>
                <w:color w:val="auto"/>
                <w:highlight w:val="none"/>
              </w:rPr>
            </w:pPr>
          </w:p>
        </w:tc>
      </w:tr>
      <w:tr w14:paraId="7A6558FD">
        <w:tblPrEx>
          <w:tblCellMar>
            <w:top w:w="0" w:type="dxa"/>
            <w:left w:w="0" w:type="dxa"/>
            <w:bottom w:w="0" w:type="dxa"/>
            <w:right w:w="0" w:type="dxa"/>
          </w:tblCellMar>
        </w:tblPrEx>
        <w:trPr>
          <w:trHeight w:val="529"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5E68CC6">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3AAF0E41">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267684EF">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5F2FA735">
            <w:pPr>
              <w:keepNext w:val="0"/>
              <w:keepLines w:val="0"/>
              <w:pageBreakBefore w:val="0"/>
              <w:widowControl w:val="0"/>
              <w:kinsoku/>
              <w:wordWrap w:val="0"/>
              <w:overflowPunct/>
              <w:topLinePunct w:val="0"/>
              <w:autoSpaceDE/>
              <w:autoSpaceDN/>
              <w:bidi w:val="0"/>
              <w:snapToGrid/>
              <w:rPr>
                <w:color w:val="auto"/>
                <w:highlight w:val="none"/>
              </w:rPr>
            </w:pPr>
          </w:p>
        </w:tc>
      </w:tr>
      <w:tr w14:paraId="70BA6770">
        <w:tblPrEx>
          <w:tblCellMar>
            <w:top w:w="0" w:type="dxa"/>
            <w:left w:w="0" w:type="dxa"/>
            <w:bottom w:w="0" w:type="dxa"/>
            <w:right w:w="0" w:type="dxa"/>
          </w:tblCellMar>
        </w:tblPrEx>
        <w:trPr>
          <w:trHeight w:val="530"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49752C94">
            <w:pPr>
              <w:pStyle w:val="37"/>
              <w:keepNext w:val="0"/>
              <w:keepLines w:val="0"/>
              <w:pageBreakBefore w:val="0"/>
              <w:widowControl w:val="0"/>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获奖情况</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657A91BD">
            <w:pPr>
              <w:keepNext w:val="0"/>
              <w:keepLines w:val="0"/>
              <w:pageBreakBefore w:val="0"/>
              <w:widowControl w:val="0"/>
              <w:kinsoku/>
              <w:wordWrap w:val="0"/>
              <w:overflowPunct/>
              <w:topLinePunct w:val="0"/>
              <w:autoSpaceDE/>
              <w:autoSpaceDN/>
              <w:bidi w:val="0"/>
              <w:snapToGrid/>
              <w:rPr>
                <w:color w:val="auto"/>
                <w:highlight w:val="none"/>
              </w:rPr>
            </w:pPr>
          </w:p>
        </w:tc>
      </w:tr>
      <w:tr w14:paraId="523A70BC">
        <w:tblPrEx>
          <w:tblCellMar>
            <w:top w:w="0" w:type="dxa"/>
            <w:left w:w="0" w:type="dxa"/>
            <w:bottom w:w="0" w:type="dxa"/>
            <w:right w:w="0" w:type="dxa"/>
          </w:tblCellMar>
        </w:tblPrEx>
        <w:trPr>
          <w:trHeight w:val="1383"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2DAF6458">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6B38F12">
            <w:pPr>
              <w:pStyle w:val="37"/>
              <w:keepNext w:val="0"/>
              <w:keepLines w:val="0"/>
              <w:pageBreakBefore w:val="0"/>
              <w:widowControl w:val="0"/>
              <w:kinsoku/>
              <w:wordWrap w:val="0"/>
              <w:overflowPunct/>
              <w:topLinePunct w:val="0"/>
              <w:autoSpaceDE/>
              <w:autoSpaceDN/>
              <w:bidi w:val="0"/>
              <w:snapToGrid/>
              <w:spacing w:before="1" w:line="240" w:lineRule="auto"/>
              <w:ind w:right="0"/>
              <w:jc w:val="left"/>
              <w:rPr>
                <w:rFonts w:ascii="黑体" w:hAnsi="黑体" w:eastAsia="黑体" w:cs="黑体"/>
                <w:color w:val="auto"/>
                <w:sz w:val="16"/>
                <w:szCs w:val="16"/>
                <w:highlight w:val="none"/>
              </w:rPr>
            </w:pPr>
          </w:p>
          <w:p w14:paraId="4CD07BE1">
            <w:pPr>
              <w:pStyle w:val="37"/>
              <w:keepNext w:val="0"/>
              <w:keepLines w:val="0"/>
              <w:pageBreakBefore w:val="0"/>
              <w:widowControl w:val="0"/>
              <w:kinsoku/>
              <w:wordWrap w:val="0"/>
              <w:overflowPunct/>
              <w:topLinePunct w:val="0"/>
              <w:autoSpaceDE/>
              <w:autoSpaceDN/>
              <w:bidi w:val="0"/>
              <w:snapToGrid/>
              <w:spacing w:line="240" w:lineRule="auto"/>
              <w:ind w:left="68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说明在岗情况</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26DF48C3">
            <w:pPr>
              <w:pStyle w:val="37"/>
              <w:keepNext w:val="0"/>
              <w:keepLines w:val="0"/>
              <w:pageBreakBefore w:val="0"/>
              <w:widowControl w:val="0"/>
              <w:tabs>
                <w:tab w:val="left" w:pos="5775"/>
              </w:tabs>
              <w:kinsoku/>
              <w:wordWrap w:val="0"/>
              <w:overflowPunct/>
              <w:topLinePunct w:val="0"/>
              <w:autoSpaceDE/>
              <w:autoSpaceDN/>
              <w:bidi w:val="0"/>
              <w:snapToGrid/>
              <w:spacing w:before="54" w:line="240" w:lineRule="auto"/>
              <w:ind w:left="103" w:right="0"/>
              <w:jc w:val="left"/>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□目前未在其他项目上任职，现从事工作为：</w:t>
            </w:r>
            <w:r>
              <w:rPr>
                <w:rFonts w:ascii="Times New Roman" w:hAnsi="Times New Roman" w:eastAsia="Times New Roman" w:cs="Times New Roman"/>
                <w:color w:val="auto"/>
                <w:spacing w:val="-2"/>
                <w:sz w:val="21"/>
                <w:szCs w:val="21"/>
                <w:highlight w:val="none"/>
                <w:u w:val="single" w:color="000000"/>
              </w:rPr>
              <w:tab/>
            </w:r>
          </w:p>
          <w:p w14:paraId="63D69DCF">
            <w:pPr>
              <w:pStyle w:val="37"/>
              <w:keepNext w:val="0"/>
              <w:keepLines w:val="0"/>
              <w:pageBreakBefore w:val="0"/>
              <w:widowControl w:val="0"/>
              <w:tabs>
                <w:tab w:val="left" w:pos="3621"/>
                <w:tab w:val="left" w:pos="5878"/>
              </w:tabs>
              <w:kinsoku/>
              <w:wordWrap w:val="0"/>
              <w:overflowPunct/>
              <w:topLinePunct w:val="0"/>
              <w:autoSpaceDE/>
              <w:autoSpaceDN/>
              <w:bidi w:val="0"/>
              <w:snapToGrid/>
              <w:spacing w:before="46" w:line="400" w:lineRule="exact"/>
              <w:ind w:left="103" w:right="-5"/>
              <w:jc w:val="left"/>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□目前虽在其他项目上任职，但本项目中标后能够从该项目撤</w:t>
            </w:r>
            <w:r>
              <w:rPr>
                <w:rFonts w:ascii="宋体" w:hAnsi="宋体" w:eastAsia="宋体" w:cs="宋体"/>
                <w:color w:val="auto"/>
                <w:spacing w:val="-39"/>
                <w:sz w:val="21"/>
                <w:szCs w:val="21"/>
                <w:highlight w:val="none"/>
              </w:rPr>
              <w:t xml:space="preserve"> </w:t>
            </w:r>
            <w:r>
              <w:rPr>
                <w:rFonts w:ascii="宋体" w:hAnsi="宋体" w:eastAsia="宋体" w:cs="宋体"/>
                <w:color w:val="auto"/>
                <w:spacing w:val="-10"/>
                <w:sz w:val="21"/>
                <w:szCs w:val="21"/>
                <w:highlight w:val="none"/>
              </w:rPr>
              <w:t>离，目前任职</w:t>
            </w:r>
            <w:r>
              <w:rPr>
                <w:rFonts w:ascii="宋体" w:hAnsi="宋体" w:eastAsia="宋体" w:cs="宋体"/>
                <w:color w:val="auto"/>
                <w:spacing w:val="-10"/>
                <w:sz w:val="21"/>
                <w:szCs w:val="21"/>
                <w:highlight w:val="none"/>
                <w:u w:val="none" w:color="auto"/>
              </w:rPr>
              <w:t>项目</w:t>
            </w:r>
            <w:r>
              <w:rPr>
                <w:rFonts w:hint="eastAsia" w:ascii="宋体" w:hAnsi="宋体" w:eastAsia="宋体" w:cs="宋体"/>
                <w:color w:val="auto"/>
                <w:spacing w:val="-10"/>
                <w:sz w:val="21"/>
                <w:szCs w:val="21"/>
                <w:highlight w:val="none"/>
                <w:u w:val="none" w:color="auto"/>
                <w:lang w:eastAsia="zh-CN"/>
              </w:rPr>
              <w:t>：</w:t>
            </w:r>
            <w:r>
              <w:rPr>
                <w:rFonts w:hint="eastAsia" w:ascii="宋体" w:hAnsi="宋体" w:eastAsia="宋体" w:cs="宋体"/>
                <w:color w:val="auto"/>
                <w:spacing w:val="-10"/>
                <w:sz w:val="21"/>
                <w:szCs w:val="21"/>
                <w:highlight w:val="none"/>
                <w:u w:val="single" w:color="auto"/>
                <w:lang w:val="en-US" w:eastAsia="zh-CN"/>
              </w:rPr>
              <w:t xml:space="preserve">           </w:t>
            </w:r>
            <w:r>
              <w:rPr>
                <w:rFonts w:ascii="宋体" w:hAnsi="宋体" w:eastAsia="宋体" w:cs="宋体"/>
                <w:color w:val="auto"/>
                <w:spacing w:val="-15"/>
                <w:sz w:val="21"/>
                <w:szCs w:val="21"/>
                <w:highlight w:val="none"/>
              </w:rPr>
              <w:t>，</w:t>
            </w:r>
            <w:r>
              <w:rPr>
                <w:rFonts w:ascii="宋体" w:hAnsi="宋体" w:eastAsia="宋体" w:cs="宋体"/>
                <w:color w:val="auto"/>
                <w:spacing w:val="-10"/>
                <w:sz w:val="21"/>
                <w:szCs w:val="21"/>
                <w:highlight w:val="none"/>
                <w:u w:val="none" w:color="auto"/>
              </w:rPr>
              <w:t>担任职位</w:t>
            </w:r>
            <w:r>
              <w:rPr>
                <w:rFonts w:hint="eastAsia" w:ascii="宋体" w:hAnsi="宋体" w:eastAsia="宋体" w:cs="宋体"/>
                <w:color w:val="auto"/>
                <w:spacing w:val="-10"/>
                <w:sz w:val="21"/>
                <w:szCs w:val="21"/>
                <w:highlight w:val="none"/>
                <w:u w:val="none" w:color="auto"/>
                <w:lang w:eastAsia="zh-CN"/>
              </w:rPr>
              <w:t>：</w:t>
            </w:r>
            <w:r>
              <w:rPr>
                <w:rFonts w:hint="eastAsia" w:ascii="宋体" w:hAnsi="宋体" w:eastAsia="宋体" w:cs="宋体"/>
                <w:color w:val="auto"/>
                <w:spacing w:val="-15"/>
                <w:sz w:val="21"/>
                <w:szCs w:val="21"/>
                <w:highlight w:val="none"/>
                <w:u w:val="single"/>
                <w:lang w:val="en-US" w:eastAsia="zh-CN"/>
              </w:rPr>
              <w:t xml:space="preserve">              </w:t>
            </w:r>
          </w:p>
        </w:tc>
      </w:tr>
      <w:tr w14:paraId="71B83AEA">
        <w:tblPrEx>
          <w:tblCellMar>
            <w:top w:w="0" w:type="dxa"/>
            <w:left w:w="0" w:type="dxa"/>
            <w:bottom w:w="0" w:type="dxa"/>
            <w:right w:w="0" w:type="dxa"/>
          </w:tblCellMar>
        </w:tblPrEx>
        <w:trPr>
          <w:trHeight w:val="1145"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1FA1E93C">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36A91CCD">
            <w:pPr>
              <w:pStyle w:val="37"/>
              <w:keepNext w:val="0"/>
              <w:keepLines w:val="0"/>
              <w:pageBreakBefore w:val="0"/>
              <w:widowControl w:val="0"/>
              <w:kinsoku/>
              <w:wordWrap w:val="0"/>
              <w:overflowPunct/>
              <w:topLinePunct w:val="0"/>
              <w:autoSpaceDE/>
              <w:autoSpaceDN/>
              <w:bidi w:val="0"/>
              <w:snapToGrid/>
              <w:spacing w:before="13" w:line="240" w:lineRule="auto"/>
              <w:ind w:right="0"/>
              <w:jc w:val="left"/>
              <w:rPr>
                <w:rFonts w:ascii="黑体" w:hAnsi="黑体" w:eastAsia="黑体" w:cs="黑体"/>
                <w:color w:val="auto"/>
                <w:sz w:val="14"/>
                <w:szCs w:val="14"/>
                <w:highlight w:val="none"/>
              </w:rPr>
            </w:pPr>
          </w:p>
          <w:p w14:paraId="5EC71592">
            <w:pPr>
              <w:pStyle w:val="37"/>
              <w:keepNext w:val="0"/>
              <w:keepLines w:val="0"/>
              <w:pageBreakBefore w:val="0"/>
              <w:widowControl w:val="0"/>
              <w:tabs>
                <w:tab w:val="left" w:pos="1576"/>
              </w:tabs>
              <w:kinsoku/>
              <w:wordWrap w:val="0"/>
              <w:overflowPunct/>
              <w:topLinePunct w:val="0"/>
              <w:autoSpaceDE/>
              <w:autoSpaceDN/>
              <w:bidi w:val="0"/>
              <w:snapToGrid/>
              <w:spacing w:line="240" w:lineRule="auto"/>
              <w:ind w:left="83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备</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注</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73F533EE">
            <w:pPr>
              <w:keepNext w:val="0"/>
              <w:keepLines w:val="0"/>
              <w:pageBreakBefore w:val="0"/>
              <w:widowControl w:val="0"/>
              <w:kinsoku/>
              <w:wordWrap w:val="0"/>
              <w:overflowPunct/>
              <w:topLinePunct w:val="0"/>
              <w:autoSpaceDE/>
              <w:autoSpaceDN/>
              <w:bidi w:val="0"/>
              <w:snapToGrid/>
              <w:rPr>
                <w:color w:val="auto"/>
                <w:highlight w:val="none"/>
              </w:rPr>
            </w:pPr>
          </w:p>
        </w:tc>
      </w:tr>
    </w:tbl>
    <w:p w14:paraId="31ACA8CE">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1.本表应填写项目经理和项目总工相关情况。</w:t>
      </w:r>
    </w:p>
    <w:p w14:paraId="606C9A8A">
      <w:pPr>
        <w:keepNext w:val="0"/>
        <w:keepLines w:val="0"/>
        <w:pageBreakBefore w:val="0"/>
        <w:widowControl w:val="0"/>
        <w:kinsoku/>
        <w:wordWrap w:val="0"/>
        <w:overflowPunct/>
        <w:topLinePunct w:val="0"/>
        <w:autoSpaceDE/>
        <w:autoSpaceDN/>
        <w:bidi w:val="0"/>
        <w:adjustRightInd/>
        <w:snapToGrid/>
        <w:spacing w:line="360" w:lineRule="auto"/>
        <w:ind w:right="0" w:firstLine="792" w:firstLineChars="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2.投标人应根据招标文件第二章“投标人须知”第 </w:t>
      </w:r>
      <w:r>
        <w:rPr>
          <w:rFonts w:hint="eastAsia" w:ascii="宋体" w:hAnsi="宋体" w:eastAsia="宋体" w:cs="宋体"/>
          <w:color w:val="auto"/>
          <w:sz w:val="21"/>
          <w:szCs w:val="21"/>
          <w:highlight w:val="none"/>
        </w:rPr>
        <w:t>3.5.5</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37B1BB4B">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1"/>
        <w:rPr>
          <w:rFonts w:hint="eastAsia" w:ascii="宋体" w:hAnsi="宋体" w:cs="宋体"/>
          <w:color w:val="auto"/>
          <w:kern w:val="0"/>
          <w:sz w:val="28"/>
          <w:highlight w:val="none"/>
          <w:lang w:eastAsia="zh-CN"/>
        </w:rPr>
        <w:sectPr>
          <w:headerReference r:id="rId12" w:type="default"/>
          <w:pgSz w:w="11910" w:h="16850"/>
          <w:pgMar w:top="1587" w:right="1417" w:bottom="1417" w:left="1417" w:header="883" w:footer="845" w:gutter="0"/>
          <w:pgNumType w:fmt="decimal"/>
          <w:cols w:space="720" w:num="1"/>
        </w:sectPr>
      </w:pPr>
      <w:bookmarkStart w:id="539" w:name="_Toc24409"/>
      <w:bookmarkStart w:id="540" w:name="_Toc6890"/>
      <w:bookmarkStart w:id="541" w:name="_Toc37422302"/>
      <w:bookmarkStart w:id="542" w:name="_Toc37747018"/>
      <w:bookmarkStart w:id="543" w:name="_Toc500864557"/>
      <w:bookmarkStart w:id="544" w:name="_Toc431367174"/>
    </w:p>
    <w:p w14:paraId="08BD2B6E">
      <w:pPr>
        <w:pStyle w:val="4"/>
        <w:keepNext/>
        <w:keepLines/>
        <w:autoSpaceDE/>
        <w:autoSpaceDN/>
        <w:adjustRightInd/>
        <w:spacing w:line="360" w:lineRule="auto"/>
        <w:ind w:left="0" w:right="0" w:firstLine="0"/>
        <w:jc w:val="center"/>
        <w:rPr>
          <w:highlight w:val="none"/>
        </w:rPr>
      </w:pPr>
      <w:bookmarkStart w:id="545" w:name="_Toc29313"/>
      <w:bookmarkStart w:id="546" w:name="_Toc7786"/>
      <w:r>
        <w:rPr>
          <w:rFonts w:hint="eastAsia" w:ascii="宋体" w:hAnsi="宋体" w:eastAsia="宋体" w:cs="宋体"/>
          <w:b/>
          <w:bCs/>
          <w:color w:val="auto"/>
          <w:sz w:val="28"/>
          <w:szCs w:val="28"/>
          <w:highlight w:val="none"/>
        </w:rPr>
        <w:t>（七）拟委任的</w:t>
      </w:r>
      <w:r>
        <w:rPr>
          <w:rFonts w:hint="default" w:ascii="宋体" w:hAnsi="宋体" w:eastAsia="宋体" w:cs="宋体"/>
          <w:b/>
          <w:bCs/>
          <w:color w:val="auto"/>
          <w:sz w:val="28"/>
          <w:szCs w:val="28"/>
          <w:highlight w:val="none"/>
        </w:rPr>
        <w:t>主要人员汇总表</w:t>
      </w:r>
      <w:bookmarkEnd w:id="545"/>
      <w:bookmarkEnd w:id="546"/>
    </w:p>
    <w:tbl>
      <w:tblPr>
        <w:tblStyle w:val="27"/>
        <w:tblW w:w="9376"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8"/>
        <w:gridCol w:w="1266"/>
        <w:gridCol w:w="1152"/>
        <w:gridCol w:w="933"/>
        <w:gridCol w:w="569"/>
        <w:gridCol w:w="1322"/>
        <w:gridCol w:w="829"/>
        <w:gridCol w:w="1019"/>
        <w:gridCol w:w="1328"/>
      </w:tblGrid>
      <w:tr w14:paraId="27FD5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58" w:type="dxa"/>
            <w:vMerge w:val="restart"/>
            <w:tcBorders>
              <w:bottom w:val="nil"/>
            </w:tcBorders>
            <w:noWrap w:val="0"/>
            <w:vAlign w:val="center"/>
          </w:tcPr>
          <w:p w14:paraId="547D7B29">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266" w:type="dxa"/>
            <w:vMerge w:val="restart"/>
            <w:tcBorders>
              <w:bottom w:val="nil"/>
            </w:tcBorders>
            <w:noWrap w:val="0"/>
            <w:vAlign w:val="center"/>
          </w:tcPr>
          <w:p w14:paraId="7ED70019">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本项目任职</w:t>
            </w:r>
          </w:p>
        </w:tc>
        <w:tc>
          <w:tcPr>
            <w:tcW w:w="1152" w:type="dxa"/>
            <w:vMerge w:val="restart"/>
            <w:tcBorders>
              <w:bottom w:val="nil"/>
            </w:tcBorders>
            <w:noWrap w:val="0"/>
            <w:vAlign w:val="center"/>
          </w:tcPr>
          <w:p w14:paraId="010AA561">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姓名</w:t>
            </w:r>
          </w:p>
        </w:tc>
        <w:tc>
          <w:tcPr>
            <w:tcW w:w="933" w:type="dxa"/>
            <w:vMerge w:val="restart"/>
            <w:tcBorders>
              <w:bottom w:val="nil"/>
            </w:tcBorders>
            <w:noWrap w:val="0"/>
            <w:textDirection w:val="tbRlV"/>
            <w:vAlign w:val="center"/>
          </w:tcPr>
          <w:p w14:paraId="728A5CC7">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职  称</w:t>
            </w:r>
          </w:p>
        </w:tc>
        <w:tc>
          <w:tcPr>
            <w:tcW w:w="569" w:type="dxa"/>
            <w:vMerge w:val="restart"/>
            <w:tcBorders>
              <w:bottom w:val="nil"/>
            </w:tcBorders>
            <w:noWrap w:val="0"/>
            <w:textDirection w:val="tbRlV"/>
            <w:vAlign w:val="center"/>
          </w:tcPr>
          <w:p w14:paraId="64669237">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专  业</w:t>
            </w:r>
          </w:p>
        </w:tc>
        <w:tc>
          <w:tcPr>
            <w:tcW w:w="3170" w:type="dxa"/>
            <w:gridSpan w:val="3"/>
            <w:noWrap w:val="0"/>
            <w:vAlign w:val="center"/>
          </w:tcPr>
          <w:p w14:paraId="5FAD56E6">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执业或职业资格证明</w:t>
            </w:r>
          </w:p>
        </w:tc>
        <w:tc>
          <w:tcPr>
            <w:tcW w:w="1328" w:type="dxa"/>
            <w:noWrap w:val="0"/>
            <w:vAlign w:val="center"/>
          </w:tcPr>
          <w:p w14:paraId="5ABAC88C">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备注</w:t>
            </w:r>
          </w:p>
        </w:tc>
      </w:tr>
      <w:tr w14:paraId="3029B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vMerge w:val="continue"/>
            <w:tcBorders>
              <w:top w:val="nil"/>
            </w:tcBorders>
            <w:noWrap w:val="0"/>
            <w:vAlign w:val="center"/>
          </w:tcPr>
          <w:p w14:paraId="3FD4A52F">
            <w:pPr>
              <w:jc w:val="center"/>
              <w:rPr>
                <w:rFonts w:hint="default" w:ascii="Times New Roman" w:hAnsi="Times New Roman" w:eastAsia="宋体" w:cs="Times New Roman"/>
                <w:color w:val="auto"/>
                <w:sz w:val="21"/>
                <w:szCs w:val="21"/>
                <w:highlight w:val="none"/>
              </w:rPr>
            </w:pPr>
          </w:p>
        </w:tc>
        <w:tc>
          <w:tcPr>
            <w:tcW w:w="1266" w:type="dxa"/>
            <w:vMerge w:val="continue"/>
            <w:tcBorders>
              <w:top w:val="nil"/>
            </w:tcBorders>
            <w:noWrap w:val="0"/>
            <w:vAlign w:val="center"/>
          </w:tcPr>
          <w:p w14:paraId="50EE793D">
            <w:pPr>
              <w:jc w:val="center"/>
              <w:rPr>
                <w:rFonts w:hint="default" w:ascii="Times New Roman" w:hAnsi="Times New Roman" w:eastAsia="宋体" w:cs="Times New Roman"/>
                <w:color w:val="auto"/>
                <w:sz w:val="21"/>
                <w:szCs w:val="21"/>
                <w:highlight w:val="none"/>
              </w:rPr>
            </w:pPr>
          </w:p>
        </w:tc>
        <w:tc>
          <w:tcPr>
            <w:tcW w:w="1152" w:type="dxa"/>
            <w:vMerge w:val="continue"/>
            <w:tcBorders>
              <w:top w:val="nil"/>
            </w:tcBorders>
            <w:noWrap w:val="0"/>
            <w:vAlign w:val="center"/>
          </w:tcPr>
          <w:p w14:paraId="023DC3AC">
            <w:pPr>
              <w:jc w:val="center"/>
              <w:rPr>
                <w:rFonts w:hint="default" w:ascii="Times New Roman" w:hAnsi="Times New Roman" w:eastAsia="宋体" w:cs="Times New Roman"/>
                <w:color w:val="auto"/>
                <w:sz w:val="21"/>
                <w:szCs w:val="21"/>
                <w:highlight w:val="none"/>
              </w:rPr>
            </w:pPr>
          </w:p>
        </w:tc>
        <w:tc>
          <w:tcPr>
            <w:tcW w:w="933" w:type="dxa"/>
            <w:vMerge w:val="continue"/>
            <w:tcBorders>
              <w:top w:val="nil"/>
            </w:tcBorders>
            <w:noWrap w:val="0"/>
            <w:textDirection w:val="tbRlV"/>
            <w:vAlign w:val="center"/>
          </w:tcPr>
          <w:p w14:paraId="2BCF81B5">
            <w:pPr>
              <w:jc w:val="center"/>
              <w:rPr>
                <w:rFonts w:hint="default" w:ascii="Times New Roman" w:hAnsi="Times New Roman" w:eastAsia="宋体" w:cs="Times New Roman"/>
                <w:color w:val="auto"/>
                <w:sz w:val="21"/>
                <w:szCs w:val="21"/>
                <w:highlight w:val="none"/>
              </w:rPr>
            </w:pPr>
          </w:p>
        </w:tc>
        <w:tc>
          <w:tcPr>
            <w:tcW w:w="569" w:type="dxa"/>
            <w:vMerge w:val="continue"/>
            <w:tcBorders>
              <w:top w:val="nil"/>
            </w:tcBorders>
            <w:noWrap w:val="0"/>
            <w:textDirection w:val="tbRlV"/>
            <w:vAlign w:val="center"/>
          </w:tcPr>
          <w:p w14:paraId="3CA02938">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51083CB1">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证书名称</w:t>
            </w:r>
          </w:p>
        </w:tc>
        <w:tc>
          <w:tcPr>
            <w:tcW w:w="829" w:type="dxa"/>
            <w:noWrap w:val="0"/>
            <w:vAlign w:val="center"/>
          </w:tcPr>
          <w:p w14:paraId="4A8F96D9">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级别</w:t>
            </w:r>
          </w:p>
        </w:tc>
        <w:tc>
          <w:tcPr>
            <w:tcW w:w="1019" w:type="dxa"/>
            <w:noWrap w:val="0"/>
            <w:vAlign w:val="center"/>
          </w:tcPr>
          <w:p w14:paraId="37D36C23">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证号</w:t>
            </w:r>
          </w:p>
        </w:tc>
        <w:tc>
          <w:tcPr>
            <w:tcW w:w="1328" w:type="dxa"/>
            <w:noWrap w:val="0"/>
            <w:vAlign w:val="center"/>
          </w:tcPr>
          <w:p w14:paraId="641A92F4">
            <w:pPr>
              <w:jc w:val="center"/>
              <w:rPr>
                <w:rFonts w:hint="default" w:ascii="Times New Roman" w:hAnsi="Times New Roman" w:eastAsia="宋体" w:cs="Times New Roman"/>
                <w:color w:val="auto"/>
                <w:sz w:val="21"/>
                <w:szCs w:val="21"/>
                <w:highlight w:val="none"/>
              </w:rPr>
            </w:pPr>
          </w:p>
        </w:tc>
      </w:tr>
      <w:tr w14:paraId="0CA9E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4514760F">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06EFB366">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6945B5C2">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6FB28C33">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0B045485">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3049D00E">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3C389F84">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107726E4">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262D702B">
            <w:pPr>
              <w:jc w:val="center"/>
              <w:rPr>
                <w:rFonts w:hint="default" w:ascii="Times New Roman" w:hAnsi="Times New Roman" w:eastAsia="宋体" w:cs="Times New Roman"/>
                <w:color w:val="auto"/>
                <w:sz w:val="21"/>
                <w:szCs w:val="21"/>
                <w:highlight w:val="none"/>
              </w:rPr>
            </w:pPr>
          </w:p>
        </w:tc>
      </w:tr>
      <w:tr w14:paraId="595C88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5A3DE689">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21280706">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5553B5E7">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08C8028A">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0C14EAF0">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27AB7A9F">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4D3B4591">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5BB1EE50">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4B6EC81B">
            <w:pPr>
              <w:jc w:val="center"/>
              <w:rPr>
                <w:rFonts w:hint="default" w:ascii="Times New Roman" w:hAnsi="Times New Roman" w:eastAsia="宋体" w:cs="Times New Roman"/>
                <w:color w:val="auto"/>
                <w:sz w:val="21"/>
                <w:szCs w:val="21"/>
                <w:highlight w:val="none"/>
              </w:rPr>
            </w:pPr>
          </w:p>
        </w:tc>
      </w:tr>
      <w:tr w14:paraId="1BFBE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213E0049">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6BC0D8A8">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7310A275">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4C8A8043">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243A00E6">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29FF77B0">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534B7DA1">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0652A210">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2F38D4ED">
            <w:pPr>
              <w:jc w:val="center"/>
              <w:rPr>
                <w:rFonts w:hint="default" w:ascii="Times New Roman" w:hAnsi="Times New Roman" w:eastAsia="宋体" w:cs="Times New Roman"/>
                <w:color w:val="auto"/>
                <w:sz w:val="21"/>
                <w:szCs w:val="21"/>
                <w:highlight w:val="none"/>
              </w:rPr>
            </w:pPr>
          </w:p>
        </w:tc>
      </w:tr>
      <w:tr w14:paraId="7503F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8" w:type="dxa"/>
            <w:noWrap w:val="0"/>
            <w:vAlign w:val="center"/>
          </w:tcPr>
          <w:p w14:paraId="21738769">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0011552A">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666EE1A1">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3C0CED8F">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027382E1">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35A65013">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592B05C6">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0EEC3CFE">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365DD0F2">
            <w:pPr>
              <w:jc w:val="center"/>
              <w:rPr>
                <w:rFonts w:hint="default" w:ascii="Times New Roman" w:hAnsi="Times New Roman" w:eastAsia="宋体" w:cs="Times New Roman"/>
                <w:color w:val="auto"/>
                <w:sz w:val="21"/>
                <w:szCs w:val="21"/>
                <w:highlight w:val="none"/>
              </w:rPr>
            </w:pPr>
          </w:p>
        </w:tc>
      </w:tr>
      <w:tr w14:paraId="17C65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778E0FDB">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3F576C9A">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77AE43FE">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5BCFEC04">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3F7FB5D8">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59397E24">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7EBC8544">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38ADEDE3">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22BE96C0">
            <w:pPr>
              <w:jc w:val="center"/>
              <w:rPr>
                <w:rFonts w:hint="default" w:ascii="Times New Roman" w:hAnsi="Times New Roman" w:eastAsia="宋体" w:cs="Times New Roman"/>
                <w:color w:val="auto"/>
                <w:sz w:val="21"/>
                <w:szCs w:val="21"/>
                <w:highlight w:val="none"/>
              </w:rPr>
            </w:pPr>
          </w:p>
        </w:tc>
      </w:tr>
      <w:tr w14:paraId="4E210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8" w:type="dxa"/>
            <w:noWrap w:val="0"/>
            <w:vAlign w:val="center"/>
          </w:tcPr>
          <w:p w14:paraId="61E47145">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112F66FE">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5DFEEA1A">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6B3E381C">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7B1DA25B">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0AB511DB">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15F78EA3">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6C08AF64">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7E843326">
            <w:pPr>
              <w:jc w:val="center"/>
              <w:rPr>
                <w:rFonts w:hint="default" w:ascii="Times New Roman" w:hAnsi="Times New Roman" w:eastAsia="宋体" w:cs="Times New Roman"/>
                <w:color w:val="auto"/>
                <w:sz w:val="21"/>
                <w:szCs w:val="21"/>
                <w:highlight w:val="none"/>
              </w:rPr>
            </w:pPr>
          </w:p>
        </w:tc>
      </w:tr>
      <w:tr w14:paraId="25A60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7FEE3FD9">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1F3D2847">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3F89B03D">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582CCAAD">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4610D70B">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73A04052">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3A0F4066">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51352765">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0A4EF38F">
            <w:pPr>
              <w:jc w:val="center"/>
              <w:rPr>
                <w:rFonts w:hint="default" w:ascii="Times New Roman" w:hAnsi="Times New Roman" w:eastAsia="宋体" w:cs="Times New Roman"/>
                <w:color w:val="auto"/>
                <w:sz w:val="21"/>
                <w:szCs w:val="21"/>
                <w:highlight w:val="none"/>
              </w:rPr>
            </w:pPr>
          </w:p>
        </w:tc>
      </w:tr>
      <w:tr w14:paraId="0ACFA1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8" w:type="dxa"/>
            <w:noWrap w:val="0"/>
            <w:vAlign w:val="center"/>
          </w:tcPr>
          <w:p w14:paraId="56B83058">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178A6E30">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43B1D930">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7AC98B60">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6B2445DA">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24955026">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4B0CE0F0">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005007C8">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2A049F30">
            <w:pPr>
              <w:jc w:val="center"/>
              <w:rPr>
                <w:rFonts w:hint="default" w:ascii="Times New Roman" w:hAnsi="Times New Roman" w:eastAsia="宋体" w:cs="Times New Roman"/>
                <w:color w:val="auto"/>
                <w:sz w:val="21"/>
                <w:szCs w:val="21"/>
                <w:highlight w:val="none"/>
              </w:rPr>
            </w:pPr>
          </w:p>
        </w:tc>
      </w:tr>
      <w:tr w14:paraId="25104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5C8163EF">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797C5083">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39DA70E6">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3A2BD9A8">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136F7DBE">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5D665CC4">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78965E31">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418AD685">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457C6367">
            <w:pPr>
              <w:jc w:val="center"/>
              <w:rPr>
                <w:rFonts w:hint="default" w:ascii="Times New Roman" w:hAnsi="Times New Roman" w:eastAsia="宋体" w:cs="Times New Roman"/>
                <w:color w:val="auto"/>
                <w:sz w:val="21"/>
                <w:szCs w:val="21"/>
                <w:highlight w:val="none"/>
              </w:rPr>
            </w:pPr>
          </w:p>
        </w:tc>
      </w:tr>
      <w:tr w14:paraId="0716A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6C315F24">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5DE4B445">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316C8BC8">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6510F357">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01F1FEA2">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342FAAB8">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5F5D880C">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3C0AF56B">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538110EA">
            <w:pPr>
              <w:jc w:val="center"/>
              <w:rPr>
                <w:rFonts w:hint="default" w:ascii="Times New Roman" w:hAnsi="Times New Roman" w:eastAsia="宋体" w:cs="Times New Roman"/>
                <w:color w:val="auto"/>
                <w:sz w:val="21"/>
                <w:szCs w:val="21"/>
                <w:highlight w:val="none"/>
              </w:rPr>
            </w:pPr>
          </w:p>
        </w:tc>
      </w:tr>
      <w:tr w14:paraId="7D25D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44CFF8A6">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50ACB7FF">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262E36C3">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593B218B">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220A7E77">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3BDE58BF">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6832D45F">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6C33BB2C">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447D7C5E">
            <w:pPr>
              <w:jc w:val="center"/>
              <w:rPr>
                <w:rFonts w:hint="default" w:ascii="Times New Roman" w:hAnsi="Times New Roman" w:eastAsia="宋体" w:cs="Times New Roman"/>
                <w:color w:val="auto"/>
                <w:sz w:val="21"/>
                <w:szCs w:val="21"/>
                <w:highlight w:val="none"/>
              </w:rPr>
            </w:pPr>
          </w:p>
        </w:tc>
      </w:tr>
      <w:tr w14:paraId="68622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8" w:type="dxa"/>
            <w:noWrap w:val="0"/>
            <w:vAlign w:val="center"/>
          </w:tcPr>
          <w:p w14:paraId="75AA1A16">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486D27CD">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55A8A6CF">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6381DF56">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0DC5EE52">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3DEA1422">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50BCC0B7">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1CBE54F9">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427721FF">
            <w:pPr>
              <w:jc w:val="center"/>
              <w:rPr>
                <w:rFonts w:hint="default" w:ascii="Times New Roman" w:hAnsi="Times New Roman" w:eastAsia="宋体" w:cs="Times New Roman"/>
                <w:color w:val="auto"/>
                <w:sz w:val="21"/>
                <w:szCs w:val="21"/>
                <w:highlight w:val="none"/>
              </w:rPr>
            </w:pPr>
          </w:p>
        </w:tc>
      </w:tr>
      <w:tr w14:paraId="6F66A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644F08FF">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1C979B71">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50242DC3">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05886CBF">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6DA88B86">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0DB2D2D5">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24119D84">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7454D1A4">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7D5DEF31">
            <w:pPr>
              <w:jc w:val="center"/>
              <w:rPr>
                <w:rFonts w:hint="default" w:ascii="Times New Roman" w:hAnsi="Times New Roman" w:eastAsia="宋体" w:cs="Times New Roman"/>
                <w:color w:val="auto"/>
                <w:sz w:val="21"/>
                <w:szCs w:val="21"/>
                <w:highlight w:val="none"/>
              </w:rPr>
            </w:pPr>
          </w:p>
        </w:tc>
      </w:tr>
      <w:tr w14:paraId="3EB00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70C6FC13">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5F4C2BC5">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3DB4937B">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6094286E">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1B24BED3">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55336409">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66AE3A59">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198CABFA">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042257CA">
            <w:pPr>
              <w:jc w:val="center"/>
              <w:rPr>
                <w:rFonts w:hint="default" w:ascii="Times New Roman" w:hAnsi="Times New Roman" w:eastAsia="宋体" w:cs="Times New Roman"/>
                <w:color w:val="auto"/>
                <w:sz w:val="21"/>
                <w:szCs w:val="21"/>
                <w:highlight w:val="none"/>
              </w:rPr>
            </w:pPr>
          </w:p>
        </w:tc>
      </w:tr>
      <w:tr w14:paraId="2F1A1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7D4BBE57">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26809803">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5ADE278B">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6CD4EA2F">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49338116">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5E5A12F9">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4E4B2AD2">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6E3EE892">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30878EAC">
            <w:pPr>
              <w:jc w:val="center"/>
              <w:rPr>
                <w:rFonts w:hint="default" w:ascii="Times New Roman" w:hAnsi="Times New Roman" w:eastAsia="宋体" w:cs="Times New Roman"/>
                <w:color w:val="auto"/>
                <w:sz w:val="21"/>
                <w:szCs w:val="21"/>
                <w:highlight w:val="none"/>
              </w:rPr>
            </w:pPr>
          </w:p>
        </w:tc>
      </w:tr>
      <w:tr w14:paraId="322F0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234C1122">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36C99435">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7B7929D5">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4822DB65">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1E717B6C">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200F3F4E">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6D3E893A">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048B79FB">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4100DAB4">
            <w:pPr>
              <w:jc w:val="center"/>
              <w:rPr>
                <w:rFonts w:hint="default" w:ascii="Times New Roman" w:hAnsi="Times New Roman" w:eastAsia="宋体" w:cs="Times New Roman"/>
                <w:color w:val="auto"/>
                <w:sz w:val="21"/>
                <w:szCs w:val="21"/>
                <w:highlight w:val="none"/>
              </w:rPr>
            </w:pPr>
          </w:p>
        </w:tc>
      </w:tr>
      <w:tr w14:paraId="6EF8F8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1895A6A5">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4EB6B305">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0B5F0D78">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1D4EC0AE">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18226537">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2B485EB9">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6931C79F">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1F5681A6">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7A864CCE">
            <w:pPr>
              <w:jc w:val="center"/>
              <w:rPr>
                <w:rFonts w:hint="default" w:ascii="Times New Roman" w:hAnsi="Times New Roman" w:eastAsia="宋体" w:cs="Times New Roman"/>
                <w:color w:val="auto"/>
                <w:sz w:val="21"/>
                <w:szCs w:val="21"/>
                <w:highlight w:val="none"/>
              </w:rPr>
            </w:pPr>
          </w:p>
        </w:tc>
      </w:tr>
      <w:tr w14:paraId="6F0522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0199724D">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0EA0E355">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7ED4D21A">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4631EF1F">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4662415A">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07783049">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6B9A1654">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1BEF1DEB">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5153EBDC">
            <w:pPr>
              <w:jc w:val="center"/>
              <w:rPr>
                <w:rFonts w:hint="default" w:ascii="Times New Roman" w:hAnsi="Times New Roman" w:eastAsia="宋体" w:cs="Times New Roman"/>
                <w:color w:val="auto"/>
                <w:sz w:val="21"/>
                <w:szCs w:val="21"/>
                <w:highlight w:val="none"/>
              </w:rPr>
            </w:pPr>
          </w:p>
        </w:tc>
      </w:tr>
      <w:tr w14:paraId="0F8DF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4F7CB219">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050B855E">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2B7828FA">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378C871D">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63650380">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769D0C18">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429ACF11">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3E4870D7">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2F37DFD2">
            <w:pPr>
              <w:jc w:val="center"/>
              <w:rPr>
                <w:rFonts w:hint="default" w:ascii="Times New Roman" w:hAnsi="Times New Roman" w:eastAsia="宋体" w:cs="Times New Roman"/>
                <w:color w:val="auto"/>
                <w:sz w:val="21"/>
                <w:szCs w:val="21"/>
                <w:highlight w:val="none"/>
              </w:rPr>
            </w:pPr>
          </w:p>
        </w:tc>
      </w:tr>
      <w:tr w14:paraId="2D5BB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222CBE07">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1B2A47BC">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2CCD1CA5">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74E5E24E">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519EA553">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28B0CCEE">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0D331AD5">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336B537E">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3A780F54">
            <w:pPr>
              <w:jc w:val="center"/>
              <w:rPr>
                <w:rFonts w:hint="default" w:ascii="Times New Roman" w:hAnsi="Times New Roman" w:eastAsia="宋体" w:cs="Times New Roman"/>
                <w:color w:val="auto"/>
                <w:sz w:val="21"/>
                <w:szCs w:val="21"/>
                <w:highlight w:val="none"/>
              </w:rPr>
            </w:pPr>
          </w:p>
        </w:tc>
      </w:tr>
      <w:tr w14:paraId="5809C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958" w:type="dxa"/>
            <w:noWrap w:val="0"/>
            <w:vAlign w:val="center"/>
          </w:tcPr>
          <w:p w14:paraId="1EF774A0">
            <w:pPr>
              <w:jc w:val="center"/>
              <w:rPr>
                <w:rFonts w:hint="default" w:ascii="Times New Roman" w:hAnsi="Times New Roman" w:eastAsia="宋体" w:cs="Times New Roman"/>
                <w:color w:val="auto"/>
                <w:sz w:val="21"/>
                <w:szCs w:val="21"/>
                <w:highlight w:val="none"/>
              </w:rPr>
            </w:pPr>
          </w:p>
        </w:tc>
        <w:tc>
          <w:tcPr>
            <w:tcW w:w="1266" w:type="dxa"/>
            <w:noWrap w:val="0"/>
            <w:vAlign w:val="center"/>
          </w:tcPr>
          <w:p w14:paraId="75233EB0">
            <w:pPr>
              <w:jc w:val="center"/>
              <w:rPr>
                <w:rFonts w:hint="default" w:ascii="Times New Roman" w:hAnsi="Times New Roman" w:eastAsia="宋体" w:cs="Times New Roman"/>
                <w:color w:val="auto"/>
                <w:sz w:val="21"/>
                <w:szCs w:val="21"/>
                <w:highlight w:val="none"/>
              </w:rPr>
            </w:pPr>
          </w:p>
        </w:tc>
        <w:tc>
          <w:tcPr>
            <w:tcW w:w="1152" w:type="dxa"/>
            <w:noWrap w:val="0"/>
            <w:vAlign w:val="center"/>
          </w:tcPr>
          <w:p w14:paraId="41C7DA55">
            <w:pPr>
              <w:jc w:val="center"/>
              <w:rPr>
                <w:rFonts w:hint="default" w:ascii="Times New Roman" w:hAnsi="Times New Roman" w:eastAsia="宋体" w:cs="Times New Roman"/>
                <w:color w:val="auto"/>
                <w:sz w:val="21"/>
                <w:szCs w:val="21"/>
                <w:highlight w:val="none"/>
              </w:rPr>
            </w:pPr>
          </w:p>
        </w:tc>
        <w:tc>
          <w:tcPr>
            <w:tcW w:w="933" w:type="dxa"/>
            <w:noWrap w:val="0"/>
            <w:vAlign w:val="center"/>
          </w:tcPr>
          <w:p w14:paraId="2B74FAFE">
            <w:pPr>
              <w:jc w:val="center"/>
              <w:rPr>
                <w:rFonts w:hint="default" w:ascii="Times New Roman" w:hAnsi="Times New Roman" w:eastAsia="宋体" w:cs="Times New Roman"/>
                <w:color w:val="auto"/>
                <w:sz w:val="21"/>
                <w:szCs w:val="21"/>
                <w:highlight w:val="none"/>
              </w:rPr>
            </w:pPr>
          </w:p>
        </w:tc>
        <w:tc>
          <w:tcPr>
            <w:tcW w:w="569" w:type="dxa"/>
            <w:noWrap w:val="0"/>
            <w:vAlign w:val="center"/>
          </w:tcPr>
          <w:p w14:paraId="460B4A28">
            <w:pPr>
              <w:jc w:val="center"/>
              <w:rPr>
                <w:rFonts w:hint="default" w:ascii="Times New Roman" w:hAnsi="Times New Roman" w:eastAsia="宋体" w:cs="Times New Roman"/>
                <w:color w:val="auto"/>
                <w:sz w:val="21"/>
                <w:szCs w:val="21"/>
                <w:highlight w:val="none"/>
              </w:rPr>
            </w:pPr>
          </w:p>
        </w:tc>
        <w:tc>
          <w:tcPr>
            <w:tcW w:w="1322" w:type="dxa"/>
            <w:noWrap w:val="0"/>
            <w:vAlign w:val="center"/>
          </w:tcPr>
          <w:p w14:paraId="605D7240">
            <w:pPr>
              <w:jc w:val="center"/>
              <w:rPr>
                <w:rFonts w:hint="default" w:ascii="Times New Roman" w:hAnsi="Times New Roman" w:eastAsia="宋体" w:cs="Times New Roman"/>
                <w:color w:val="auto"/>
                <w:sz w:val="21"/>
                <w:szCs w:val="21"/>
                <w:highlight w:val="none"/>
              </w:rPr>
            </w:pPr>
          </w:p>
        </w:tc>
        <w:tc>
          <w:tcPr>
            <w:tcW w:w="829" w:type="dxa"/>
            <w:noWrap w:val="0"/>
            <w:vAlign w:val="center"/>
          </w:tcPr>
          <w:p w14:paraId="55548739">
            <w:pPr>
              <w:jc w:val="center"/>
              <w:rPr>
                <w:rFonts w:hint="default" w:ascii="Times New Roman" w:hAnsi="Times New Roman" w:eastAsia="宋体" w:cs="Times New Roman"/>
                <w:color w:val="auto"/>
                <w:sz w:val="21"/>
                <w:szCs w:val="21"/>
                <w:highlight w:val="none"/>
              </w:rPr>
            </w:pPr>
          </w:p>
        </w:tc>
        <w:tc>
          <w:tcPr>
            <w:tcW w:w="1019" w:type="dxa"/>
            <w:noWrap w:val="0"/>
            <w:vAlign w:val="center"/>
          </w:tcPr>
          <w:p w14:paraId="63303D48">
            <w:pPr>
              <w:jc w:val="center"/>
              <w:rPr>
                <w:rFonts w:hint="default" w:ascii="Times New Roman" w:hAnsi="Times New Roman" w:eastAsia="宋体" w:cs="Times New Roman"/>
                <w:color w:val="auto"/>
                <w:sz w:val="21"/>
                <w:szCs w:val="21"/>
                <w:highlight w:val="none"/>
              </w:rPr>
            </w:pPr>
          </w:p>
        </w:tc>
        <w:tc>
          <w:tcPr>
            <w:tcW w:w="1328" w:type="dxa"/>
            <w:noWrap w:val="0"/>
            <w:vAlign w:val="center"/>
          </w:tcPr>
          <w:p w14:paraId="13384032">
            <w:pPr>
              <w:jc w:val="center"/>
              <w:rPr>
                <w:rFonts w:hint="default" w:ascii="Times New Roman" w:hAnsi="Times New Roman" w:eastAsia="宋体" w:cs="Times New Roman"/>
                <w:color w:val="auto"/>
                <w:sz w:val="21"/>
                <w:szCs w:val="21"/>
                <w:highlight w:val="none"/>
              </w:rPr>
            </w:pPr>
          </w:p>
        </w:tc>
      </w:tr>
    </w:tbl>
    <w:p w14:paraId="7F4E1CA7">
      <w:pPr>
        <w:spacing w:before="156" w:line="218" w:lineRule="auto"/>
        <w:ind w:left="121"/>
        <w:rPr>
          <w:rFonts w:hint="eastAsia" w:ascii="宋体" w:hAnsi="宋体" w:eastAsia="宋体" w:cs="宋体"/>
          <w:szCs w:val="21"/>
          <w:highlight w:val="none"/>
          <w:lang w:eastAsia="zh-CN"/>
        </w:rPr>
      </w:pPr>
      <w:r>
        <w:rPr>
          <w:rFonts w:ascii="宋体" w:hAnsi="宋体" w:cs="宋体"/>
          <w:spacing w:val="-2"/>
          <w:szCs w:val="21"/>
          <w:highlight w:val="none"/>
        </w:rPr>
        <w:t>注：本表填报的人员应满足招标文件</w:t>
      </w:r>
      <w:r>
        <w:rPr>
          <w:rFonts w:hint="eastAsia" w:ascii="宋体" w:hAnsi="宋体" w:cs="宋体"/>
          <w:spacing w:val="-2"/>
          <w:szCs w:val="21"/>
          <w:highlight w:val="none"/>
        </w:rPr>
        <w:t>相应的要求</w:t>
      </w:r>
      <w:r>
        <w:rPr>
          <w:rFonts w:hint="eastAsia" w:ascii="宋体" w:hAnsi="宋体" w:cs="宋体"/>
          <w:spacing w:val="-2"/>
          <w:szCs w:val="21"/>
          <w:highlight w:val="none"/>
          <w:lang w:eastAsia="zh-CN"/>
        </w:rPr>
        <w:t>，</w:t>
      </w:r>
      <w:r>
        <w:rPr>
          <w:rFonts w:hint="eastAsia" w:ascii="宋体" w:hAnsi="宋体" w:cs="宋体"/>
          <w:spacing w:val="-2"/>
          <w:szCs w:val="21"/>
          <w:highlight w:val="none"/>
          <w:lang w:val="en-US" w:eastAsia="zh-CN"/>
        </w:rPr>
        <w:t>在</w:t>
      </w:r>
      <w:r>
        <w:rPr>
          <w:rFonts w:hint="eastAsia" w:ascii="宋体" w:hAnsi="宋体" w:eastAsia="宋体" w:cs="宋体"/>
          <w:color w:val="auto"/>
          <w:sz w:val="21"/>
          <w:szCs w:val="21"/>
          <w:highlight w:val="none"/>
        </w:rPr>
        <w:t>本表后附相关证明材料</w:t>
      </w:r>
      <w:r>
        <w:rPr>
          <w:rFonts w:hint="eastAsia" w:ascii="宋体" w:hAnsi="宋体" w:eastAsia="宋体" w:cs="宋体"/>
          <w:color w:val="auto"/>
          <w:sz w:val="21"/>
          <w:szCs w:val="21"/>
          <w:highlight w:val="none"/>
          <w:lang w:eastAsia="zh-CN"/>
        </w:rPr>
        <w:t>。</w:t>
      </w:r>
    </w:p>
    <w:p w14:paraId="6E65DB03">
      <w:pPr>
        <w:rPr>
          <w:rFonts w:hint="eastAsia" w:ascii="宋体" w:hAnsi="宋体" w:cs="宋体"/>
          <w:color w:val="auto"/>
          <w:kern w:val="0"/>
          <w:sz w:val="28"/>
          <w:highlight w:val="none"/>
          <w:lang w:eastAsia="zh-CN"/>
        </w:rPr>
      </w:pPr>
      <w:r>
        <w:rPr>
          <w:rFonts w:hint="eastAsia" w:ascii="宋体" w:hAnsi="宋体" w:cs="宋体"/>
          <w:color w:val="auto"/>
          <w:spacing w:val="-1"/>
          <w:kern w:val="0"/>
          <w:szCs w:val="21"/>
          <w:highlight w:val="none"/>
        </w:rPr>
        <w:br w:type="page"/>
      </w:r>
    </w:p>
    <w:p w14:paraId="70AC4FFB">
      <w:pPr>
        <w:keepNext w:val="0"/>
        <w:keepLines w:val="0"/>
        <w:pageBreakBefore w:val="0"/>
        <w:widowControl w:val="0"/>
        <w:kinsoku/>
        <w:wordWrap w:val="0"/>
        <w:overflowPunct/>
        <w:topLinePunct w:val="0"/>
        <w:autoSpaceDE/>
        <w:autoSpaceDN/>
        <w:bidi w:val="0"/>
        <w:adjustRightInd w:val="0"/>
        <w:snapToGrid/>
        <w:spacing w:line="360" w:lineRule="auto"/>
        <w:ind w:right="0" w:rightChars="0"/>
        <w:jc w:val="center"/>
        <w:textAlignment w:val="auto"/>
        <w:outlineLvl w:val="1"/>
        <w:rPr>
          <w:rFonts w:hint="eastAsia" w:ascii="宋体" w:hAnsi="宋体" w:eastAsia="宋体" w:cs="宋体"/>
          <w:b/>
          <w:bCs/>
          <w:color w:val="auto"/>
          <w:kern w:val="0"/>
          <w:sz w:val="30"/>
          <w:szCs w:val="30"/>
          <w:highlight w:val="none"/>
        </w:rPr>
      </w:pPr>
      <w:r>
        <w:rPr>
          <w:rFonts w:hint="eastAsia" w:ascii="宋体" w:hAnsi="宋体" w:cs="宋体"/>
          <w:color w:val="auto"/>
          <w:kern w:val="0"/>
          <w:sz w:val="28"/>
          <w:highlight w:val="none"/>
          <w:lang w:eastAsia="zh-CN"/>
        </w:rPr>
        <w:t>七</w:t>
      </w:r>
      <w:r>
        <w:rPr>
          <w:rFonts w:hint="eastAsia" w:ascii="宋体" w:hAnsi="宋体" w:eastAsia="宋体" w:cs="宋体"/>
          <w:b/>
          <w:bCs/>
          <w:color w:val="auto"/>
          <w:kern w:val="0"/>
          <w:sz w:val="30"/>
          <w:szCs w:val="30"/>
          <w:highlight w:val="none"/>
        </w:rPr>
        <w:t>、其他材料</w:t>
      </w:r>
      <w:bookmarkEnd w:id="539"/>
      <w:bookmarkEnd w:id="540"/>
      <w:bookmarkEnd w:id="541"/>
      <w:bookmarkEnd w:id="542"/>
      <w:bookmarkEnd w:id="543"/>
      <w:bookmarkEnd w:id="544"/>
    </w:p>
    <w:p w14:paraId="13567B18">
      <w:pPr>
        <w:keepNext w:val="0"/>
        <w:keepLines w:val="0"/>
        <w:pageBreakBefore w:val="0"/>
        <w:widowControl w:val="0"/>
        <w:kinsoku/>
        <w:wordWrap w:val="0"/>
        <w:overflowPunct/>
        <w:topLinePunct w:val="0"/>
        <w:autoSpaceDE/>
        <w:autoSpaceDN/>
        <w:bidi w:val="0"/>
        <w:adjustRightInd w:val="0"/>
        <w:snapToGrid/>
        <w:spacing w:line="400" w:lineRule="exact"/>
        <w:ind w:right="-34" w:rightChars="-16"/>
        <w:rPr>
          <w:rFonts w:ascii="宋体" w:hAnsi="宋体" w:cs="宋体"/>
          <w:b/>
          <w:color w:val="auto"/>
          <w:kern w:val="0"/>
          <w:sz w:val="30"/>
          <w:szCs w:val="30"/>
          <w:highlight w:val="none"/>
        </w:rPr>
      </w:pPr>
    </w:p>
    <w:p w14:paraId="26AB3960">
      <w:pPr>
        <w:autoSpaceDE w:val="0"/>
        <w:autoSpaceDN w:val="0"/>
        <w:adjustRightInd w:val="0"/>
        <w:spacing w:line="500" w:lineRule="exact"/>
        <w:ind w:right="-34" w:rightChars="-16"/>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投标活动承诺书</w:t>
      </w:r>
    </w:p>
    <w:p w14:paraId="1722FB6E">
      <w:pPr>
        <w:bidi w:val="0"/>
        <w:rPr>
          <w:rFonts w:hint="eastAsia"/>
          <w:color w:val="auto"/>
          <w:highlight w:val="none"/>
        </w:rPr>
      </w:pPr>
    </w:p>
    <w:p w14:paraId="193BD580">
      <w:pPr>
        <w:spacing w:line="360" w:lineRule="auto"/>
        <w:rPr>
          <w:rFonts w:hint="eastAsia" w:ascii="宋体" w:hAnsi="宋体" w:cs="宋体"/>
          <w:bCs/>
          <w:color w:val="auto"/>
          <w:spacing w:val="-2"/>
          <w:szCs w:val="21"/>
          <w:highlight w:val="none"/>
        </w:rPr>
      </w:pPr>
      <w:r>
        <w:rPr>
          <w:rFonts w:hint="eastAsia" w:ascii="宋体" w:hAnsi="宋体" w:cs="宋体"/>
          <w:bCs/>
          <w:strike/>
          <w:color w:val="auto"/>
          <w:spacing w:val="-2"/>
          <w:szCs w:val="21"/>
          <w:highlight w:val="none"/>
        </w:rPr>
        <w:t xml:space="preserve">              </w:t>
      </w:r>
      <w:bookmarkStart w:id="547" w:name="_Toc12041"/>
      <w:bookmarkStart w:id="548" w:name="_Toc43288595"/>
      <w:bookmarkStart w:id="549" w:name="_Toc6192"/>
      <w:r>
        <w:rPr>
          <w:rFonts w:hint="eastAsia" w:ascii="宋体" w:hAnsi="宋体" w:cs="宋体"/>
          <w:bCs/>
          <w:color w:val="auto"/>
          <w:spacing w:val="-2"/>
          <w:szCs w:val="21"/>
          <w:highlight w:val="none"/>
        </w:rPr>
        <w:t>（招标人）：</w:t>
      </w:r>
      <w:bookmarkEnd w:id="547"/>
      <w:bookmarkEnd w:id="548"/>
      <w:bookmarkEnd w:id="549"/>
    </w:p>
    <w:p w14:paraId="1524172E">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我公司有幸参加贵单位</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 xml:space="preserve"> 项目（项目名称）的投标，本人以企业法定代表人的身份郑重承诺如下：</w:t>
      </w:r>
    </w:p>
    <w:p w14:paraId="6FBF487D">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一、将遵循公开、公正和诚实信用的原则自愿参加本项目的投标；</w:t>
      </w:r>
    </w:p>
    <w:p w14:paraId="5886C7D5">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二、所提供的一切材料都是真实、有效、合法的；</w:t>
      </w:r>
    </w:p>
    <w:p w14:paraId="783EADA7">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三、不出借、转让资质证书，不借用、挂靠他人资质证书，以他人名义投标或者以其他方式弄虚作假，骗取中标；</w:t>
      </w:r>
    </w:p>
    <w:p w14:paraId="3C5A0A4C">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四、不与其他投标人相互串通投标报价，不排挤其他投标人的公平竞争、损害招标人的合法权益；</w:t>
      </w:r>
    </w:p>
    <w:p w14:paraId="1B28AB88">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五、不与招标人、招标代理机构或其他投标人串通投标，损害国家利益、社会公共利益或者他人的合法权益；</w:t>
      </w:r>
    </w:p>
    <w:p w14:paraId="3A58DDA2">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六、严格遵守开标现场纪律，服从监管人员管理；</w:t>
      </w:r>
    </w:p>
    <w:p w14:paraId="2C3CCE0A">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以上内容我已仔细阅读，本公司若有违反承诺内容的行为，自愿依法接受取消投标资格、记入信用档案、取消中标资格、没收投标保证金等有关处理，愿意承担法律责任，给招标人造成损失的，依法承担赔偿责任。</w:t>
      </w:r>
    </w:p>
    <w:p w14:paraId="72E1129D">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　</w:t>
      </w:r>
    </w:p>
    <w:p w14:paraId="0EFFA193">
      <w:pPr>
        <w:spacing w:line="360" w:lineRule="auto"/>
        <w:ind w:firstLine="3296" w:firstLineChars="16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承诺人：</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（投标人名称及盖章）</w:t>
      </w:r>
    </w:p>
    <w:p w14:paraId="31C1D8AA">
      <w:pPr>
        <w:spacing w:line="360" w:lineRule="auto"/>
        <w:ind w:firstLine="3296" w:firstLineChars="16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法定代表人：</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 xml:space="preserve">  （签字）</w:t>
      </w:r>
    </w:p>
    <w:p w14:paraId="64B1789F">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　　</w:t>
      </w:r>
    </w:p>
    <w:p w14:paraId="4882B25D">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 xml:space="preserve">                                  </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年</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月</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日</w:t>
      </w:r>
    </w:p>
    <w:p w14:paraId="0A3E9139">
      <w:pPr>
        <w:pStyle w:val="9"/>
        <w:rPr>
          <w:rFonts w:hint="eastAsia" w:ascii="宋体" w:hAnsi="宋体" w:cs="宋体"/>
          <w:bCs/>
          <w:color w:val="auto"/>
          <w:spacing w:val="-2"/>
          <w:szCs w:val="21"/>
          <w:highlight w:val="none"/>
        </w:rPr>
      </w:pPr>
    </w:p>
    <w:p w14:paraId="7DC7942B">
      <w:pPr>
        <w:pStyle w:val="10"/>
        <w:rPr>
          <w:rFonts w:hint="eastAsia" w:ascii="宋体" w:hAnsi="宋体" w:cs="宋体"/>
          <w:bCs/>
          <w:color w:val="auto"/>
          <w:spacing w:val="-2"/>
          <w:szCs w:val="21"/>
          <w:highlight w:val="none"/>
        </w:rPr>
      </w:pPr>
    </w:p>
    <w:p w14:paraId="35B9F442">
      <w:pPr>
        <w:pStyle w:val="13"/>
        <w:rPr>
          <w:rFonts w:hint="eastAsia" w:ascii="宋体" w:hAnsi="宋体" w:cs="宋体"/>
          <w:bCs/>
          <w:color w:val="auto"/>
          <w:spacing w:val="-2"/>
          <w:szCs w:val="21"/>
          <w:highlight w:val="none"/>
        </w:rPr>
      </w:pPr>
    </w:p>
    <w:p w14:paraId="74F4A2AB">
      <w:pPr>
        <w:rPr>
          <w:rFonts w:hint="eastAsia" w:ascii="宋体" w:hAnsi="宋体" w:cs="宋体"/>
          <w:bCs/>
          <w:color w:val="auto"/>
          <w:spacing w:val="-2"/>
          <w:szCs w:val="21"/>
          <w:highlight w:val="none"/>
        </w:rPr>
      </w:pPr>
    </w:p>
    <w:p w14:paraId="65D42115">
      <w:pPr>
        <w:rPr>
          <w:rFonts w:hint="eastAsia" w:ascii="宋体" w:hAnsi="宋体" w:cs="宋体"/>
          <w:bCs/>
          <w:color w:val="auto"/>
          <w:spacing w:val="-2"/>
          <w:szCs w:val="21"/>
          <w:highlight w:val="none"/>
        </w:rPr>
      </w:pPr>
    </w:p>
    <w:p w14:paraId="6CA994AE">
      <w:pPr>
        <w:rPr>
          <w:rFonts w:hint="eastAsia" w:ascii="宋体" w:hAnsi="宋体" w:cs="宋体"/>
          <w:bCs/>
          <w:color w:val="auto"/>
          <w:spacing w:val="-2"/>
          <w:szCs w:val="21"/>
          <w:highlight w:val="none"/>
        </w:rPr>
      </w:pPr>
    </w:p>
    <w:p w14:paraId="5F7956A8">
      <w:pPr>
        <w:rPr>
          <w:rFonts w:hint="eastAsia" w:ascii="宋体" w:hAnsi="宋体" w:cs="宋体"/>
          <w:bCs/>
          <w:color w:val="auto"/>
          <w:spacing w:val="-2"/>
          <w:szCs w:val="21"/>
          <w:highlight w:val="none"/>
        </w:rPr>
      </w:pPr>
    </w:p>
    <w:p w14:paraId="188EBAEE">
      <w:pPr>
        <w:rPr>
          <w:rFonts w:hint="eastAsia" w:ascii="宋体" w:hAnsi="宋体" w:cs="宋体"/>
          <w:bCs/>
          <w:color w:val="auto"/>
          <w:spacing w:val="-2"/>
          <w:szCs w:val="21"/>
          <w:highlight w:val="none"/>
        </w:rPr>
      </w:pPr>
    </w:p>
    <w:p w14:paraId="03BA7B96">
      <w:pPr>
        <w:rPr>
          <w:rFonts w:hint="eastAsia" w:ascii="宋体" w:hAnsi="宋体" w:cs="宋体"/>
          <w:bCs/>
          <w:color w:val="auto"/>
          <w:spacing w:val="-2"/>
          <w:szCs w:val="21"/>
          <w:highlight w:val="none"/>
        </w:rPr>
      </w:pPr>
    </w:p>
    <w:p w14:paraId="167BE603">
      <w:pPr>
        <w:rPr>
          <w:rFonts w:hint="eastAsia" w:ascii="宋体" w:hAnsi="宋体" w:cs="宋体"/>
          <w:bCs/>
          <w:color w:val="auto"/>
          <w:spacing w:val="-2"/>
          <w:szCs w:val="21"/>
          <w:highlight w:val="none"/>
        </w:rPr>
      </w:pPr>
    </w:p>
    <w:p w14:paraId="631B83D1">
      <w:pPr>
        <w:rPr>
          <w:rFonts w:hint="eastAsia" w:ascii="宋体" w:hAnsi="宋体" w:cs="宋体"/>
          <w:bCs/>
          <w:color w:val="auto"/>
          <w:spacing w:val="-2"/>
          <w:szCs w:val="21"/>
          <w:highlight w:val="none"/>
        </w:rPr>
      </w:pPr>
    </w:p>
    <w:p w14:paraId="6FA41AFC">
      <w:pPr>
        <w:rPr>
          <w:rFonts w:hint="eastAsia" w:ascii="宋体" w:hAnsi="宋体" w:cs="宋体"/>
          <w:bCs/>
          <w:color w:val="auto"/>
          <w:spacing w:val="-2"/>
          <w:szCs w:val="21"/>
          <w:highlight w:val="none"/>
        </w:rPr>
      </w:pPr>
    </w:p>
    <w:p w14:paraId="19D33D19">
      <w:pPr>
        <w:jc w:val="center"/>
        <w:rPr>
          <w:rFonts w:hint="eastAsia"/>
          <w:b/>
          <w:bCs/>
          <w:sz w:val="32"/>
          <w:szCs w:val="32"/>
        </w:rPr>
      </w:pPr>
      <w:r>
        <w:rPr>
          <w:rFonts w:hint="eastAsia"/>
          <w:b/>
          <w:bCs/>
          <w:sz w:val="32"/>
          <w:szCs w:val="32"/>
        </w:rPr>
        <w:t>农民工工资</w:t>
      </w:r>
      <w:r>
        <w:rPr>
          <w:rFonts w:hint="eastAsia"/>
          <w:b/>
          <w:bCs/>
          <w:sz w:val="32"/>
          <w:szCs w:val="32"/>
          <w:lang w:val="en-US" w:eastAsia="zh-CN"/>
        </w:rPr>
        <w:t>保证</w:t>
      </w:r>
      <w:r>
        <w:rPr>
          <w:rFonts w:hint="eastAsia"/>
          <w:b/>
          <w:bCs/>
          <w:sz w:val="32"/>
          <w:szCs w:val="32"/>
        </w:rPr>
        <w:t>金承诺函</w:t>
      </w:r>
    </w:p>
    <w:p w14:paraId="36691F64">
      <w:pPr>
        <w:jc w:val="center"/>
        <w:rPr>
          <w:rFonts w:hint="eastAsia"/>
        </w:rPr>
      </w:pPr>
    </w:p>
    <w:p w14:paraId="3D44D87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p>
    <w:p w14:paraId="4F66747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本企业郑重承诺:</w:t>
      </w:r>
    </w:p>
    <w:p w14:paraId="3493C1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sz w:val="24"/>
          <w:szCs w:val="24"/>
        </w:rPr>
      </w:pPr>
      <w:r>
        <w:rPr>
          <w:rFonts w:hint="eastAsia"/>
          <w:sz w:val="24"/>
          <w:szCs w:val="24"/>
        </w:rPr>
        <w:t>在</w:t>
      </w:r>
      <w:r>
        <w:rPr>
          <w:rFonts w:hint="eastAsia"/>
          <w:sz w:val="24"/>
          <w:szCs w:val="24"/>
          <w:u w:val="single"/>
          <w:lang w:val="en-US" w:eastAsia="zh-CN"/>
        </w:rPr>
        <w:t xml:space="preserve">     </w:t>
      </w:r>
      <w:r>
        <w:rPr>
          <w:rFonts w:hint="eastAsia"/>
          <w:sz w:val="24"/>
          <w:szCs w:val="24"/>
          <w:u w:val="single"/>
        </w:rPr>
        <w:t>(项目名称)</w:t>
      </w:r>
      <w:r>
        <w:rPr>
          <w:rFonts w:hint="eastAsia"/>
          <w:sz w:val="24"/>
          <w:szCs w:val="24"/>
          <w:u w:val="single"/>
          <w:lang w:val="en-US" w:eastAsia="zh-CN"/>
        </w:rPr>
        <w:t xml:space="preserve">      </w:t>
      </w:r>
      <w:r>
        <w:rPr>
          <w:rFonts w:hint="eastAsia"/>
          <w:sz w:val="24"/>
          <w:szCs w:val="24"/>
        </w:rPr>
        <w:t>招标活动中，我公司保证做到:</w:t>
      </w:r>
    </w:p>
    <w:p w14:paraId="19E6F8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sz w:val="24"/>
          <w:szCs w:val="24"/>
        </w:rPr>
      </w:pPr>
      <w:r>
        <w:rPr>
          <w:rFonts w:hint="eastAsia"/>
          <w:sz w:val="24"/>
          <w:szCs w:val="24"/>
        </w:rPr>
        <w:t>1.中标后保证按照《保障农民工工资支付条例》《工程建设领域农民工工资保证金规定》等有关规定</w:t>
      </w:r>
      <w:r>
        <w:rPr>
          <w:rFonts w:hint="eastAsia"/>
          <w:sz w:val="24"/>
          <w:szCs w:val="24"/>
          <w:lang w:val="en-US" w:eastAsia="zh-CN"/>
        </w:rPr>
        <w:t>到新蔡县人社局</w:t>
      </w:r>
      <w:r>
        <w:rPr>
          <w:rFonts w:hint="eastAsia"/>
          <w:sz w:val="24"/>
          <w:szCs w:val="24"/>
        </w:rPr>
        <w:t>办理农民工工资保证金</w:t>
      </w:r>
      <w:r>
        <w:rPr>
          <w:rFonts w:hint="eastAsia"/>
          <w:sz w:val="24"/>
          <w:szCs w:val="24"/>
          <w:lang w:val="en-US" w:eastAsia="zh-CN"/>
        </w:rPr>
        <w:t>手续</w:t>
      </w:r>
      <w:r>
        <w:rPr>
          <w:rFonts w:hint="eastAsia"/>
          <w:sz w:val="24"/>
          <w:szCs w:val="24"/>
        </w:rPr>
        <w:t>。</w:t>
      </w:r>
    </w:p>
    <w:p w14:paraId="356B51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sz w:val="24"/>
          <w:szCs w:val="24"/>
        </w:rPr>
      </w:pPr>
      <w:r>
        <w:rPr>
          <w:rFonts w:hint="eastAsia"/>
          <w:sz w:val="24"/>
          <w:szCs w:val="24"/>
        </w:rPr>
        <w:t>2.如果承包的建设工程项目出现拖欠农民工工资情况，可由劳动主管部门从缴纳的工资保障金中先于划支，缴纳的农民工工资保障金被使用后，在十个工作日内补足。</w:t>
      </w:r>
    </w:p>
    <w:p w14:paraId="419B2C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sz w:val="24"/>
          <w:szCs w:val="24"/>
        </w:rPr>
      </w:pPr>
    </w:p>
    <w:p w14:paraId="27C3A8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sz w:val="24"/>
          <w:szCs w:val="24"/>
        </w:rPr>
      </w:pPr>
    </w:p>
    <w:p w14:paraId="6F25ED80">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投标人:(企业电子签章)</w:t>
      </w:r>
    </w:p>
    <w:p w14:paraId="57029C3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法定代表人或其委托代理人:</w:t>
      </w:r>
      <w:r>
        <w:rPr>
          <w:rFonts w:hint="eastAsia"/>
          <w:sz w:val="24"/>
          <w:szCs w:val="24"/>
          <w:u w:val="single"/>
          <w:lang w:val="en-US" w:eastAsia="zh-CN"/>
        </w:rPr>
        <w:t xml:space="preserve">        </w:t>
      </w:r>
      <w:r>
        <w:rPr>
          <w:rFonts w:hint="eastAsia"/>
          <w:sz w:val="24"/>
          <w:szCs w:val="24"/>
        </w:rPr>
        <w:t>(个人电子签章)</w:t>
      </w:r>
    </w:p>
    <w:p w14:paraId="2311F14F">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default" w:eastAsia="仿宋_GB2312"/>
          <w:sz w:val="24"/>
          <w:szCs w:val="24"/>
          <w:lang w:val="en-US" w:eastAsia="zh-CN"/>
        </w:rPr>
      </w:pPr>
      <w:r>
        <w:rPr>
          <w:rFonts w:hint="eastAsia"/>
          <w:sz w:val="24"/>
          <w:szCs w:val="24"/>
          <w:u w:val="single"/>
          <w:lang w:val="en-US" w:eastAsia="zh-CN"/>
        </w:rPr>
        <w:t xml:space="preserve">        </w:t>
      </w:r>
      <w:r>
        <w:rPr>
          <w:rFonts w:hint="eastAsia"/>
          <w:sz w:val="24"/>
          <w:szCs w:val="24"/>
        </w:rPr>
        <w:t>年</w:t>
      </w:r>
      <w:r>
        <w:rPr>
          <w:rFonts w:hint="eastAsia"/>
          <w:sz w:val="24"/>
          <w:szCs w:val="24"/>
          <w:u w:val="single"/>
          <w:lang w:val="en-US" w:eastAsia="zh-CN"/>
        </w:rPr>
        <w:t xml:space="preserve">      </w:t>
      </w:r>
      <w:r>
        <w:rPr>
          <w:rFonts w:hint="eastAsia"/>
          <w:sz w:val="24"/>
          <w:szCs w:val="24"/>
        </w:rPr>
        <w:t>月</w:t>
      </w:r>
      <w:r>
        <w:rPr>
          <w:rFonts w:hint="eastAsia"/>
          <w:sz w:val="24"/>
          <w:szCs w:val="24"/>
          <w:u w:val="single"/>
          <w:lang w:val="en-US" w:eastAsia="zh-CN"/>
        </w:rPr>
        <w:t xml:space="preserve">      </w:t>
      </w:r>
      <w:r>
        <w:rPr>
          <w:rFonts w:hint="eastAsia"/>
          <w:sz w:val="24"/>
          <w:szCs w:val="24"/>
          <w:lang w:val="en-US" w:eastAsia="zh-CN"/>
        </w:rPr>
        <w:t>日</w:t>
      </w:r>
    </w:p>
    <w:p w14:paraId="5A12E212">
      <w:pPr>
        <w:pStyle w:val="13"/>
        <w:sectPr>
          <w:headerReference r:id="rId13" w:type="default"/>
          <w:footerReference r:id="rId14" w:type="default"/>
          <w:pgSz w:w="11907" w:h="16841"/>
          <w:pgMar w:top="1307" w:right="1745" w:bottom="1396" w:left="1560" w:header="1022" w:footer="1235" w:gutter="0"/>
          <w:pgNumType w:fmt="decimal"/>
          <w:cols w:space="720" w:num="1"/>
        </w:sectPr>
      </w:pPr>
    </w:p>
    <w:p w14:paraId="1EDCF555">
      <w:pPr>
        <w:pStyle w:val="12"/>
        <w:ind w:left="0" w:leftChars="0" w:firstLine="0" w:firstLineChars="0"/>
        <w:rPr>
          <w:color w:val="auto"/>
          <w:highlight w:val="none"/>
        </w:rPr>
      </w:pPr>
    </w:p>
    <w:p w14:paraId="4596141B">
      <w:pPr>
        <w:pStyle w:val="12"/>
        <w:rPr>
          <w:color w:val="auto"/>
          <w:highlight w:val="none"/>
        </w:rPr>
      </w:pPr>
    </w:p>
    <w:p w14:paraId="27DCD9C8">
      <w:pPr>
        <w:pStyle w:val="5"/>
        <w:keepNext w:val="0"/>
        <w:keepLines w:val="0"/>
        <w:pageBreakBefore w:val="0"/>
        <w:widowControl w:val="0"/>
        <w:tabs>
          <w:tab w:val="left" w:pos="3436"/>
        </w:tabs>
        <w:kinsoku/>
        <w:wordWrap w:val="0"/>
        <w:overflowPunct/>
        <w:topLinePunct w:val="0"/>
        <w:autoSpaceDE/>
        <w:autoSpaceDN/>
        <w:bidi w:val="0"/>
        <w:snapToGrid/>
        <w:spacing w:line="240" w:lineRule="auto"/>
        <w:ind w:left="1888" w:right="0"/>
        <w:jc w:val="left"/>
        <w:rPr>
          <w:color w:val="auto"/>
          <w:sz w:val="30"/>
          <w:szCs w:val="30"/>
          <w:highlight w:val="none"/>
          <w:u w:val="none"/>
        </w:rPr>
      </w:pPr>
      <w:r>
        <w:rPr>
          <w:rFonts w:ascii="Times New Roman" w:hAnsi="Times New Roman" w:eastAsia="Times New Roman" w:cs="Times New Roman"/>
          <w:color w:val="auto"/>
          <w:w w:val="99"/>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color w:val="auto"/>
          <w:sz w:val="30"/>
          <w:szCs w:val="30"/>
          <w:highlight w:val="none"/>
          <w:u w:val="none"/>
        </w:rPr>
        <w:t>省（自治区、直辖市）</w:t>
      </w:r>
    </w:p>
    <w:p w14:paraId="3E88BE52">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0"/>
          <w:szCs w:val="30"/>
          <w:highlight w:val="none"/>
        </w:rPr>
      </w:pPr>
    </w:p>
    <w:p w14:paraId="780CA7BC">
      <w:pPr>
        <w:keepNext w:val="0"/>
        <w:keepLines w:val="0"/>
        <w:pageBreakBefore w:val="0"/>
        <w:widowControl w:val="0"/>
        <w:kinsoku/>
        <w:wordWrap w:val="0"/>
        <w:overflowPunct/>
        <w:topLinePunct w:val="0"/>
        <w:autoSpaceDE/>
        <w:autoSpaceDN/>
        <w:bidi w:val="0"/>
        <w:snapToGrid/>
        <w:spacing w:before="6" w:line="240" w:lineRule="auto"/>
        <w:rPr>
          <w:rFonts w:ascii="黑体" w:hAnsi="黑体" w:eastAsia="黑体" w:cs="黑体"/>
          <w:color w:val="auto"/>
          <w:sz w:val="30"/>
          <w:szCs w:val="30"/>
          <w:highlight w:val="none"/>
        </w:rPr>
      </w:pPr>
    </w:p>
    <w:p w14:paraId="1894E062">
      <w:pPr>
        <w:pStyle w:val="9"/>
        <w:keepNext w:val="0"/>
        <w:keepLines w:val="0"/>
        <w:pageBreakBefore w:val="0"/>
        <w:widowControl w:val="0"/>
        <w:tabs>
          <w:tab w:val="left" w:pos="2337"/>
          <w:tab w:val="left" w:pos="5042"/>
        </w:tabs>
        <w:kinsoku/>
        <w:wordWrap w:val="0"/>
        <w:overflowPunct/>
        <w:topLinePunct w:val="0"/>
        <w:autoSpaceDE/>
        <w:autoSpaceDN/>
        <w:bidi w:val="0"/>
        <w:snapToGrid/>
        <w:spacing w:before="26" w:line="240" w:lineRule="auto"/>
        <w:ind w:left="124" w:right="0"/>
        <w:jc w:val="center"/>
        <w:rPr>
          <w:rFonts w:ascii="黑体" w:hAnsi="黑体" w:eastAsia="黑体" w:cs="黑体"/>
          <w:color w:val="auto"/>
          <w:highlight w:val="none"/>
        </w:rPr>
      </w:pPr>
      <w:r>
        <w:rPr>
          <w:rFonts w:ascii="Times New Roman" w:hAnsi="Times New Roman" w:eastAsia="Times New Roman" w:cs="Times New Roman"/>
          <w:color w:val="auto"/>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（项目名称）</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标段施工招标</w:t>
      </w:r>
    </w:p>
    <w:p w14:paraId="495C4125">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601C3BE2">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6974F74A">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3E80C689">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279AE209">
      <w:pPr>
        <w:keepNext w:val="0"/>
        <w:keepLines w:val="0"/>
        <w:pageBreakBefore w:val="0"/>
        <w:widowControl w:val="0"/>
        <w:kinsoku/>
        <w:wordWrap w:val="0"/>
        <w:overflowPunct/>
        <w:topLinePunct w:val="0"/>
        <w:autoSpaceDE/>
        <w:autoSpaceDN/>
        <w:bidi w:val="0"/>
        <w:snapToGrid/>
        <w:spacing w:before="8" w:line="240" w:lineRule="auto"/>
        <w:rPr>
          <w:rFonts w:ascii="黑体" w:hAnsi="黑体" w:eastAsia="黑体" w:cs="黑体"/>
          <w:color w:val="auto"/>
          <w:sz w:val="33"/>
          <w:szCs w:val="33"/>
          <w:highlight w:val="none"/>
        </w:rPr>
      </w:pPr>
    </w:p>
    <w:p w14:paraId="7E97EE49">
      <w:pPr>
        <w:keepNext w:val="0"/>
        <w:keepLines w:val="0"/>
        <w:pageBreakBefore w:val="0"/>
        <w:widowControl w:val="0"/>
        <w:tabs>
          <w:tab w:val="left" w:pos="1677"/>
          <w:tab w:val="left" w:pos="3117"/>
          <w:tab w:val="left" w:pos="4557"/>
        </w:tabs>
        <w:kinsoku/>
        <w:wordWrap w:val="0"/>
        <w:overflowPunct/>
        <w:topLinePunct w:val="0"/>
        <w:autoSpaceDE/>
        <w:autoSpaceDN/>
        <w:bidi w:val="0"/>
        <w:snapToGrid/>
        <w:spacing w:before="0"/>
        <w:ind w:left="236" w:right="0" w:firstLine="0"/>
        <w:jc w:val="center"/>
        <w:rPr>
          <w:rFonts w:ascii="黑体" w:hAnsi="黑体" w:eastAsia="黑体" w:cs="黑体"/>
          <w:color w:val="auto"/>
          <w:sz w:val="72"/>
          <w:szCs w:val="72"/>
          <w:highlight w:val="none"/>
        </w:rPr>
      </w:pPr>
      <w:bookmarkStart w:id="550" w:name="_bookmark322"/>
      <w:bookmarkEnd w:id="550"/>
      <w:r>
        <w:rPr>
          <w:rFonts w:ascii="黑体" w:hAnsi="黑体" w:eastAsia="黑体" w:cs="黑体"/>
          <w:color w:val="auto"/>
          <w:sz w:val="72"/>
          <w:szCs w:val="72"/>
          <w:highlight w:val="none"/>
        </w:rPr>
        <w:t>投</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件</w:t>
      </w:r>
    </w:p>
    <w:p w14:paraId="16DB864E">
      <w:pPr>
        <w:pStyle w:val="4"/>
        <w:keepNext w:val="0"/>
        <w:keepLines w:val="0"/>
        <w:pageBreakBefore w:val="0"/>
        <w:widowControl w:val="0"/>
        <w:kinsoku/>
        <w:wordWrap w:val="0"/>
        <w:overflowPunct/>
        <w:topLinePunct w:val="0"/>
        <w:autoSpaceDE/>
        <w:autoSpaceDN/>
        <w:bidi w:val="0"/>
        <w:snapToGrid/>
        <w:spacing w:before="526" w:line="240" w:lineRule="auto"/>
        <w:ind w:left="237" w:right="0"/>
        <w:jc w:val="center"/>
        <w:rPr>
          <w:color w:val="auto"/>
          <w:highlight w:val="none"/>
        </w:rPr>
      </w:pPr>
      <w:r>
        <w:rPr>
          <w:color w:val="auto"/>
          <w:highlight w:val="none"/>
        </w:rPr>
        <w:t>（报价文件）</w:t>
      </w:r>
    </w:p>
    <w:p w14:paraId="4584644D">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01BE3395">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90CB8DF">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44810228">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1EE6918">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4A36E4A">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6D7972D">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854C2D6">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63BB0AB">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C6A0CF3">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0DBE4D51">
      <w:pPr>
        <w:keepNext w:val="0"/>
        <w:keepLines w:val="0"/>
        <w:pageBreakBefore w:val="0"/>
        <w:widowControl w:val="0"/>
        <w:kinsoku/>
        <w:wordWrap w:val="0"/>
        <w:overflowPunct/>
        <w:topLinePunct w:val="0"/>
        <w:autoSpaceDE/>
        <w:autoSpaceDN/>
        <w:bidi w:val="0"/>
        <w:snapToGrid/>
        <w:spacing w:before="9" w:line="240" w:lineRule="auto"/>
        <w:rPr>
          <w:rFonts w:ascii="黑体" w:hAnsi="黑体" w:eastAsia="黑体" w:cs="黑体"/>
          <w:color w:val="auto"/>
          <w:sz w:val="37"/>
          <w:szCs w:val="37"/>
          <w:highlight w:val="none"/>
        </w:rPr>
      </w:pPr>
    </w:p>
    <w:p w14:paraId="4529486D">
      <w:pPr>
        <w:keepNext w:val="0"/>
        <w:keepLines w:val="0"/>
        <w:pageBreakBefore w:val="0"/>
        <w:widowControl w:val="0"/>
        <w:tabs>
          <w:tab w:val="left" w:pos="6120"/>
        </w:tabs>
        <w:kinsoku/>
        <w:wordWrap w:val="0"/>
        <w:overflowPunct/>
        <w:topLinePunct w:val="0"/>
        <w:autoSpaceDE/>
        <w:autoSpaceDN/>
        <w:bidi w:val="0"/>
        <w:snapToGrid/>
        <w:spacing w:before="0"/>
        <w:ind w:left="239" w:right="0" w:firstLine="0"/>
        <w:jc w:val="center"/>
        <w:rPr>
          <w:rFonts w:ascii="黑体" w:hAnsi="黑体" w:eastAsia="黑体" w:cs="黑体"/>
          <w:color w:val="auto"/>
          <w:sz w:val="28"/>
          <w:szCs w:val="28"/>
          <w:highlight w:val="none"/>
        </w:rPr>
      </w:pPr>
      <w:r>
        <w:rPr>
          <w:rFonts w:ascii="黑体" w:hAnsi="黑体" w:eastAsia="黑体" w:cs="黑体"/>
          <w:color w:val="auto"/>
          <w:sz w:val="28"/>
          <w:szCs w:val="28"/>
          <w:highlight w:val="none"/>
        </w:rPr>
        <w:t>投标人：</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（盖单位章）</w:t>
      </w:r>
    </w:p>
    <w:p w14:paraId="0BA0BF2A">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8"/>
          <w:szCs w:val="28"/>
          <w:highlight w:val="none"/>
        </w:rPr>
      </w:pPr>
    </w:p>
    <w:p w14:paraId="633739D7">
      <w:pPr>
        <w:keepNext w:val="0"/>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28"/>
          <w:szCs w:val="28"/>
          <w:highlight w:val="none"/>
        </w:rPr>
      </w:pPr>
    </w:p>
    <w:p w14:paraId="0A3D684E">
      <w:pPr>
        <w:keepNext w:val="0"/>
        <w:keepLines w:val="0"/>
        <w:pageBreakBefore w:val="0"/>
        <w:widowControl w:val="0"/>
        <w:tabs>
          <w:tab w:val="left" w:pos="3470"/>
          <w:tab w:val="left" w:pos="4872"/>
          <w:tab w:val="left" w:pos="6410"/>
        </w:tabs>
        <w:kinsoku/>
        <w:wordWrap w:val="0"/>
        <w:overflowPunct/>
        <w:topLinePunct w:val="0"/>
        <w:autoSpaceDE/>
        <w:autoSpaceDN/>
        <w:bidi w:val="0"/>
        <w:snapToGrid/>
        <w:spacing w:before="14"/>
        <w:ind w:left="2352" w:right="0" w:firstLine="0"/>
        <w:jc w:val="left"/>
        <w:rPr>
          <w:rFonts w:ascii="Times New Roman" w:hAnsi="Times New Roman" w:eastAsia="Times New Roman" w:cs="Times New Roman"/>
          <w:color w:val="auto"/>
          <w:w w:val="100"/>
          <w:sz w:val="28"/>
          <w:szCs w:val="28"/>
          <w:highlight w:val="none"/>
          <w:u w:val="single" w:color="000000"/>
        </w:rPr>
      </w:pPr>
    </w:p>
    <w:p w14:paraId="61891B07">
      <w:pPr>
        <w:keepNext w:val="0"/>
        <w:keepLines w:val="0"/>
        <w:pageBreakBefore w:val="0"/>
        <w:widowControl w:val="0"/>
        <w:tabs>
          <w:tab w:val="left" w:pos="3470"/>
          <w:tab w:val="left" w:pos="4872"/>
          <w:tab w:val="left" w:pos="6410"/>
        </w:tabs>
        <w:kinsoku/>
        <w:wordWrap w:val="0"/>
        <w:overflowPunct/>
        <w:topLinePunct w:val="0"/>
        <w:autoSpaceDE/>
        <w:autoSpaceDN/>
        <w:bidi w:val="0"/>
        <w:snapToGrid/>
        <w:spacing w:before="14"/>
        <w:ind w:left="2352" w:right="0" w:firstLine="0"/>
        <w:jc w:val="left"/>
        <w:rPr>
          <w:rFonts w:ascii="黑体" w:hAnsi="黑体" w:eastAsia="黑体" w:cs="黑体"/>
          <w:color w:val="auto"/>
          <w:sz w:val="28"/>
          <w:szCs w:val="28"/>
          <w:highlight w:val="none"/>
        </w:rPr>
      </w:pPr>
      <w:r>
        <w:rPr>
          <w:rFonts w:ascii="Times New Roman" w:hAnsi="Times New Roman" w:eastAsia="Times New Roman" w:cs="Times New Roman"/>
          <w:color w:val="auto"/>
          <w:w w:val="100"/>
          <w:sz w:val="28"/>
          <w:szCs w:val="28"/>
          <w:highlight w:val="none"/>
          <w:u w:val="single" w:color="000000"/>
        </w:rPr>
        <w:t xml:space="preserve"> </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年</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月</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日</w:t>
      </w:r>
    </w:p>
    <w:p w14:paraId="0D6018BE">
      <w:pPr>
        <w:keepNext w:val="0"/>
        <w:keepLines w:val="0"/>
        <w:pageBreakBefore w:val="0"/>
        <w:widowControl w:val="0"/>
        <w:kinsoku/>
        <w:wordWrap w:val="0"/>
        <w:overflowPunct/>
        <w:topLinePunct w:val="0"/>
        <w:autoSpaceDE/>
        <w:autoSpaceDN/>
        <w:bidi w:val="0"/>
        <w:snapToGrid/>
        <w:spacing w:after="0"/>
        <w:jc w:val="left"/>
        <w:rPr>
          <w:rFonts w:ascii="黑体" w:hAnsi="黑体" w:eastAsia="黑体" w:cs="黑体"/>
          <w:color w:val="auto"/>
          <w:sz w:val="28"/>
          <w:szCs w:val="28"/>
          <w:highlight w:val="none"/>
        </w:rPr>
        <w:sectPr>
          <w:headerReference r:id="rId15" w:type="default"/>
          <w:pgSz w:w="11910" w:h="16850"/>
          <w:pgMar w:top="1587" w:right="1417" w:bottom="1417" w:left="1417" w:header="883" w:footer="845" w:gutter="0"/>
          <w:pgNumType w:fmt="decimal"/>
          <w:cols w:space="720" w:num="1"/>
        </w:sectPr>
      </w:pPr>
    </w:p>
    <w:p w14:paraId="2C71C1A3">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w w:val="95"/>
          <w:sz w:val="30"/>
          <w:szCs w:val="30"/>
          <w:highlight w:val="none"/>
        </w:rPr>
      </w:pPr>
    </w:p>
    <w:p w14:paraId="45720D72">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sz w:val="30"/>
          <w:szCs w:val="30"/>
          <w:highlight w:val="none"/>
        </w:rPr>
      </w:pPr>
      <w:r>
        <w:rPr>
          <w:rFonts w:ascii="黑体" w:hAnsi="黑体" w:eastAsia="黑体" w:cs="黑体"/>
          <w:b/>
          <w:bCs/>
          <w:color w:val="auto"/>
          <w:w w:val="95"/>
          <w:sz w:val="30"/>
          <w:szCs w:val="30"/>
          <w:highlight w:val="none"/>
        </w:rPr>
        <w:t>目</w:t>
      </w:r>
      <w:r>
        <w:rPr>
          <w:rFonts w:ascii="黑体" w:hAnsi="黑体" w:eastAsia="黑体" w:cs="黑体"/>
          <w:b/>
          <w:bCs/>
          <w:color w:val="auto"/>
          <w:w w:val="95"/>
          <w:sz w:val="30"/>
          <w:szCs w:val="30"/>
          <w:highlight w:val="none"/>
        </w:rPr>
        <w:tab/>
      </w:r>
      <w:r>
        <w:rPr>
          <w:rFonts w:ascii="黑体" w:hAnsi="黑体" w:eastAsia="黑体" w:cs="黑体"/>
          <w:b/>
          <w:bCs/>
          <w:color w:val="auto"/>
          <w:sz w:val="30"/>
          <w:szCs w:val="30"/>
          <w:highlight w:val="none"/>
        </w:rPr>
        <w:t>录</w:t>
      </w:r>
    </w:p>
    <w:p w14:paraId="622CF3E2">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sz w:val="30"/>
          <w:szCs w:val="30"/>
          <w:highlight w:val="none"/>
        </w:rPr>
      </w:pPr>
    </w:p>
    <w:p w14:paraId="5CED2810">
      <w:pPr>
        <w:pStyle w:val="9"/>
        <w:keepNext w:val="0"/>
        <w:keepLines w:val="0"/>
        <w:pageBreakBefore w:val="0"/>
        <w:widowControl w:val="0"/>
        <w:numPr>
          <w:ilvl w:val="0"/>
          <w:numId w:val="0"/>
        </w:numPr>
        <w:kinsoku/>
        <w:wordWrap w:val="0"/>
        <w:overflowPunct/>
        <w:topLinePunct w:val="0"/>
        <w:autoSpaceDE/>
        <w:autoSpaceDN/>
        <w:bidi w:val="0"/>
        <w:snapToGrid/>
        <w:spacing w:line="336" w:lineRule="auto"/>
        <w:ind w:right="3822" w:rightChars="0"/>
        <w:jc w:val="left"/>
        <w:rPr>
          <w:color w:val="auto"/>
          <w:highlight w:val="none"/>
        </w:rPr>
      </w:pPr>
    </w:p>
    <w:p w14:paraId="13A34DB3">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rFonts w:hint="eastAsia"/>
          <w:color w:val="auto"/>
          <w:highlight w:val="none"/>
          <w:lang w:eastAsia="zh-CN"/>
        </w:rPr>
        <w:t>一、</w:t>
      </w:r>
      <w:r>
        <w:rPr>
          <w:color w:val="auto"/>
          <w:highlight w:val="none"/>
        </w:rPr>
        <w:t>投标函</w:t>
      </w:r>
      <w:r>
        <w:rPr>
          <w:rFonts w:ascii="宋体" w:hAnsi="宋体" w:eastAsia="宋体" w:cs="宋体"/>
          <w:color w:val="auto"/>
          <w:highlight w:val="none"/>
        </w:rPr>
        <w:t xml:space="preserve"> </w:t>
      </w:r>
    </w:p>
    <w:p w14:paraId="29DEA68D">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color w:val="auto"/>
          <w:highlight w:val="none"/>
        </w:rPr>
        <w:t>二、已标价工程量清单</w:t>
      </w:r>
      <w:r>
        <w:rPr>
          <w:rFonts w:ascii="宋体" w:hAnsi="宋体" w:eastAsia="宋体" w:cs="宋体"/>
          <w:color w:val="auto"/>
          <w:highlight w:val="none"/>
        </w:rPr>
        <w:t xml:space="preserve"> </w:t>
      </w:r>
    </w:p>
    <w:p w14:paraId="43B5979B">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color w:val="auto"/>
          <w:highlight w:val="none"/>
        </w:rPr>
        <w:t>三、合同用款估算表</w:t>
      </w:r>
      <w:r>
        <w:rPr>
          <w:rFonts w:ascii="宋体" w:hAnsi="宋体" w:eastAsia="宋体" w:cs="宋体"/>
          <w:color w:val="auto"/>
          <w:highlight w:val="none"/>
        </w:rPr>
        <w:t xml:space="preserve"> </w:t>
      </w:r>
    </w:p>
    <w:p w14:paraId="6F329A66">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58FF42E">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CDEFBD0">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01530A3">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D9C3D97">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0AECAF0">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E6C665C">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83DC3A9">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7BC748D">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18782077">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40DE10C">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107BD7F1">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A9E2774">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5966C26">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6AA9097">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5D482B7">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666447CB">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4CE9C39">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32C99F1">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6D129AFD">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8E20001">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FDE65ED">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jc w:val="left"/>
        <w:textAlignment w:val="auto"/>
        <w:rPr>
          <w:rFonts w:ascii="宋体" w:hAnsi="宋体" w:eastAsia="宋体" w:cs="宋体"/>
          <w:color w:val="auto"/>
          <w:highlight w:val="none"/>
        </w:rPr>
        <w:sectPr>
          <w:headerReference r:id="rId16" w:type="default"/>
          <w:pgSz w:w="11910" w:h="16850"/>
          <w:pgMar w:top="1587" w:right="1417" w:bottom="1417" w:left="1417" w:header="883" w:footer="869" w:gutter="0"/>
          <w:pgNumType w:fmt="decimal"/>
          <w:cols w:space="720" w:num="1"/>
        </w:sectPr>
      </w:pPr>
    </w:p>
    <w:p w14:paraId="2FDE26F4">
      <w:pPr>
        <w:pStyle w:val="6"/>
        <w:keepNext w:val="0"/>
        <w:keepLines w:val="0"/>
        <w:pageBreakBefore w:val="0"/>
        <w:widowControl w:val="0"/>
        <w:kinsoku/>
        <w:wordWrap w:val="0"/>
        <w:overflowPunct/>
        <w:topLinePunct w:val="0"/>
        <w:autoSpaceDE/>
        <w:autoSpaceDN/>
        <w:bidi w:val="0"/>
        <w:snapToGrid/>
        <w:spacing w:line="240" w:lineRule="auto"/>
        <w:ind w:right="78"/>
        <w:jc w:val="center"/>
        <w:rPr>
          <w:rFonts w:ascii="黑体" w:hAnsi="黑体" w:eastAsia="黑体" w:cs="黑体"/>
          <w:color w:val="auto"/>
          <w:sz w:val="20"/>
          <w:szCs w:val="20"/>
          <w:highlight w:val="none"/>
        </w:rPr>
      </w:pPr>
      <w:r>
        <w:rPr>
          <w:rFonts w:hint="eastAsia" w:ascii="宋体" w:hAnsi="宋体" w:eastAsia="宋体" w:cs="宋体"/>
          <w:b/>
          <w:bCs/>
          <w:color w:val="auto"/>
          <w:highlight w:val="none"/>
        </w:rPr>
        <w:t>一、投标函</w:t>
      </w:r>
    </w:p>
    <w:p w14:paraId="253602FB">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74AFB357">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7E2430B2">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15CDDB50">
      <w:pPr>
        <w:pStyle w:val="9"/>
        <w:keepNext w:val="0"/>
        <w:keepLines w:val="0"/>
        <w:pageBreakBefore w:val="0"/>
        <w:widowControl w:val="0"/>
        <w:tabs>
          <w:tab w:val="left" w:pos="3144"/>
        </w:tabs>
        <w:kinsoku/>
        <w:wordWrap w:val="0"/>
        <w:overflowPunct/>
        <w:topLinePunct w:val="0"/>
        <w:autoSpaceDE/>
        <w:autoSpaceDN/>
        <w:bidi w:val="0"/>
        <w:adjustRightInd/>
        <w:snapToGrid/>
        <w:spacing w:line="360"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5"/>
          <w:sz w:val="24"/>
          <w:szCs w:val="24"/>
          <w:highlight w:val="none"/>
        </w:rPr>
        <w:t>（招标人名称）：</w:t>
      </w:r>
    </w:p>
    <w:p w14:paraId="3129DF03">
      <w:pPr>
        <w:pStyle w:val="9"/>
        <w:keepNext w:val="0"/>
        <w:keepLines w:val="0"/>
        <w:pageBreakBefore w:val="0"/>
        <w:widowControl w:val="0"/>
        <w:tabs>
          <w:tab w:val="left" w:pos="3596"/>
          <w:tab w:val="left" w:pos="4676"/>
          <w:tab w:val="left" w:pos="4844"/>
          <w:tab w:val="left" w:pos="7374"/>
        </w:tabs>
        <w:kinsoku/>
        <w:wordWrap w:val="0"/>
        <w:overflowPunct/>
        <w:topLinePunct w:val="0"/>
        <w:autoSpaceDE/>
        <w:autoSpaceDN/>
        <w:bidi w:val="0"/>
        <w:adjustRightInd/>
        <w:snapToGrid/>
        <w:spacing w:line="360" w:lineRule="auto"/>
        <w:ind w:right="225" w:firstLine="479"/>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1．我方已仔细研究</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 xml:space="preserve">标段施工招标 </w:t>
      </w:r>
      <w:r>
        <w:rPr>
          <w:rFonts w:hint="eastAsia" w:ascii="宋体" w:hAnsi="宋体" w:eastAsia="宋体" w:cs="宋体"/>
          <w:color w:val="auto"/>
          <w:spacing w:val="-3"/>
          <w:sz w:val="24"/>
          <w:szCs w:val="24"/>
          <w:highlight w:val="none"/>
        </w:rPr>
        <w:t>文件的全部内容（含补遗书第</w:t>
      </w:r>
      <w:r>
        <w:rPr>
          <w:rFonts w:hint="eastAsia" w:ascii="宋体" w:hAnsi="宋体" w:eastAsia="宋体" w:cs="宋体"/>
          <w:color w:val="auto"/>
          <w:spacing w:val="-3"/>
          <w:sz w:val="24"/>
          <w:szCs w:val="24"/>
          <w:highlight w:val="none"/>
          <w:u w:val="single" w:color="000000"/>
        </w:rPr>
        <w:tab/>
      </w:r>
      <w:r>
        <w:rPr>
          <w:rFonts w:hint="eastAsia" w:ascii="宋体" w:hAnsi="宋体" w:eastAsia="宋体" w:cs="宋体"/>
          <w:color w:val="auto"/>
          <w:sz w:val="24"/>
          <w:szCs w:val="24"/>
          <w:highlight w:val="none"/>
        </w:rPr>
        <w:t>号至第</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0"/>
          <w:sz w:val="24"/>
          <w:szCs w:val="24"/>
          <w:highlight w:val="none"/>
        </w:rPr>
        <w:t>号），在考察工程现场后，愿意以人民币</w:t>
      </w:r>
    </w:p>
    <w:p w14:paraId="6F57294E">
      <w:pPr>
        <w:pStyle w:val="9"/>
        <w:keepNext w:val="0"/>
        <w:keepLines w:val="0"/>
        <w:pageBreakBefore w:val="0"/>
        <w:widowControl w:val="0"/>
        <w:tabs>
          <w:tab w:val="left" w:pos="2436"/>
          <w:tab w:val="left" w:pos="4004"/>
          <w:tab w:val="left" w:pos="5809"/>
        </w:tabs>
        <w:kinsoku/>
        <w:wordWrap w:val="0"/>
        <w:overflowPunct/>
        <w:topLinePunct w:val="0"/>
        <w:autoSpaceDE/>
        <w:autoSpaceDN/>
        <w:bidi w:val="0"/>
        <w:adjustRightInd/>
        <w:snapToGrid/>
        <w:spacing w:line="360" w:lineRule="auto"/>
        <w:ind w:right="22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
          <w:sz w:val="24"/>
          <w:szCs w:val="24"/>
          <w:highlight w:val="none"/>
        </w:rPr>
        <w:t>元（¥</w:t>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z w:val="24"/>
          <w:szCs w:val="24"/>
          <w:highlight w:val="none"/>
        </w:rPr>
        <w:t>）的投标总报价（或根据招标文件规定修正核</w:t>
      </w:r>
      <w:r>
        <w:rPr>
          <w:rFonts w:hint="eastAsia" w:ascii="宋体" w:hAnsi="宋体" w:eastAsia="宋体" w:cs="宋体"/>
          <w:color w:val="auto"/>
          <w:spacing w:val="-110"/>
          <w:sz w:val="24"/>
          <w:szCs w:val="24"/>
          <w:highlight w:val="none"/>
        </w:rPr>
        <w:t xml:space="preserve"> </w:t>
      </w:r>
      <w:r>
        <w:rPr>
          <w:rFonts w:hint="eastAsia" w:ascii="宋体" w:hAnsi="宋体" w:eastAsia="宋体" w:cs="宋体"/>
          <w:color w:val="auto"/>
          <w:sz w:val="24"/>
          <w:szCs w:val="24"/>
          <w:highlight w:val="none"/>
        </w:rPr>
        <w:t>实后确定的另一金额，其中，增值税税率为</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9"/>
          <w:sz w:val="24"/>
          <w:szCs w:val="24"/>
          <w:highlight w:val="none"/>
        </w:rPr>
        <w:t>），按合同约定实施和完成承</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z w:val="24"/>
          <w:szCs w:val="24"/>
          <w:highlight w:val="none"/>
        </w:rPr>
        <w:t>包工程，修补工程中的任何缺陷。</w:t>
      </w:r>
    </w:p>
    <w:p w14:paraId="484A3F4D">
      <w:pPr>
        <w:pStyle w:val="9"/>
        <w:keepNext w:val="0"/>
        <w:keepLines w:val="0"/>
        <w:pageBreakBefore w:val="0"/>
        <w:widowControl w:val="0"/>
        <w:kinsoku/>
        <w:wordWrap w:val="0"/>
        <w:overflowPunct/>
        <w:topLinePunct w:val="0"/>
        <w:autoSpaceDE/>
        <w:autoSpaceDN/>
        <w:bidi w:val="0"/>
        <w:adjustRightInd/>
        <w:snapToGrid/>
        <w:spacing w:line="360" w:lineRule="auto"/>
        <w:ind w:right="0" w:firstLine="479"/>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2．在合同协议书正式签署生效之前，本投标函连同你方的中标通知书将构成我</w:t>
      </w:r>
      <w:r>
        <w:rPr>
          <w:rFonts w:hint="eastAsia" w:ascii="宋体" w:hAnsi="宋体" w:eastAsia="宋体" w:cs="宋体"/>
          <w:color w:val="auto"/>
          <w:sz w:val="24"/>
          <w:szCs w:val="24"/>
          <w:highlight w:val="none"/>
        </w:rPr>
        <w:t xml:space="preserve"> 们双方之间共同遵守的文件，对双方具有约束力。</w:t>
      </w:r>
    </w:p>
    <w:p w14:paraId="3234BF2A">
      <w:pPr>
        <w:pStyle w:val="9"/>
        <w:keepNext w:val="0"/>
        <w:keepLines w:val="0"/>
        <w:pageBreakBefore w:val="0"/>
        <w:widowControl w:val="0"/>
        <w:tabs>
          <w:tab w:val="left" w:pos="5665"/>
        </w:tabs>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pacing w:val="-14"/>
          <w:sz w:val="24"/>
          <w:szCs w:val="24"/>
          <w:highlight w:val="none"/>
        </w:rPr>
        <w:t>（其他补充说明）。</w:t>
      </w:r>
    </w:p>
    <w:p w14:paraId="1F80D59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A90B40D">
      <w:pPr>
        <w:pStyle w:val="9"/>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w:t>
      </w:r>
      <w:r>
        <w:rPr>
          <w:rFonts w:hint="eastAsia" w:ascii="宋体" w:hAnsi="宋体" w:eastAsia="宋体" w:cs="宋体"/>
          <w:color w:val="auto"/>
          <w:spacing w:val="-4"/>
          <w:sz w:val="24"/>
          <w:szCs w:val="24"/>
          <w:highlight w:val="none"/>
        </w:rPr>
        <w:t>人：</w:t>
      </w:r>
      <w:r>
        <w:rPr>
          <w:rFonts w:hint="eastAsia" w:ascii="宋体" w:hAnsi="宋体" w:eastAsia="宋体" w:cs="宋体"/>
          <w:color w:val="auto"/>
          <w:spacing w:val="-4"/>
          <w:sz w:val="24"/>
          <w:szCs w:val="24"/>
          <w:highlight w:val="none"/>
          <w:u w:val="single" w:color="000000"/>
        </w:rPr>
        <w:tab/>
      </w:r>
      <w:r>
        <w:rPr>
          <w:rFonts w:hint="eastAsia" w:ascii="宋体" w:hAnsi="宋体" w:eastAsia="宋体" w:cs="宋体"/>
          <w:color w:val="auto"/>
          <w:sz w:val="24"/>
          <w:szCs w:val="24"/>
          <w:highlight w:val="none"/>
        </w:rPr>
        <w:t>（盖单位章）</w:t>
      </w:r>
    </w:p>
    <w:p w14:paraId="4333A6FB">
      <w:pPr>
        <w:pStyle w:val="9"/>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u w:val="single" w:color="000000"/>
        </w:rPr>
      </w:pPr>
      <w:r>
        <w:rPr>
          <w:rFonts w:hint="eastAsia" w:ascii="宋体" w:hAnsi="宋体" w:eastAsia="宋体" w:cs="宋体"/>
          <w:color w:val="auto"/>
          <w:spacing w:val="-1"/>
          <w:sz w:val="24"/>
          <w:szCs w:val="24"/>
          <w:highlight w:val="none"/>
        </w:rPr>
        <w:t>法定代表人或其委托代理人：</w:t>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z w:val="24"/>
          <w:szCs w:val="24"/>
          <w:highlight w:val="none"/>
        </w:rPr>
        <w:t>（签字） 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p>
    <w:p w14:paraId="5048C33A">
      <w:pPr>
        <w:pStyle w:val="9"/>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u w:val="single" w:color="000000"/>
        </w:rPr>
      </w:pPr>
      <w:r>
        <w:rPr>
          <w:rFonts w:hint="eastAsia" w:ascii="宋体" w:hAnsi="宋体" w:eastAsia="宋体" w:cs="宋体"/>
          <w:color w:val="auto"/>
          <w:sz w:val="24"/>
          <w:szCs w:val="24"/>
          <w:highlight w:val="none"/>
        </w:rPr>
        <w:t xml:space="preserve"> 网址：</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p>
    <w:p w14:paraId="3A44B937">
      <w:pPr>
        <w:pStyle w:val="9"/>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 xml:space="preserve"> 传真：</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ab/>
      </w:r>
    </w:p>
    <w:p w14:paraId="2E8DFEED">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80046BF">
      <w:pPr>
        <w:pStyle w:val="9"/>
        <w:keepNext w:val="0"/>
        <w:keepLines w:val="0"/>
        <w:pageBreakBefore w:val="0"/>
        <w:widowControl w:val="0"/>
        <w:tabs>
          <w:tab w:val="left" w:pos="5965"/>
          <w:tab w:val="left" w:pos="7045"/>
          <w:tab w:val="left" w:pos="8125"/>
        </w:tabs>
        <w:kinsoku/>
        <w:wordWrap w:val="0"/>
        <w:overflowPunct/>
        <w:topLinePunct w:val="0"/>
        <w:autoSpaceDE/>
        <w:autoSpaceDN/>
        <w:bidi w:val="0"/>
        <w:adjustRightInd/>
        <w:snapToGrid/>
        <w:spacing w:line="360" w:lineRule="auto"/>
        <w:ind w:left="4885"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rPr>
        <w:t>日</w:t>
      </w:r>
    </w:p>
    <w:p w14:paraId="23A763C1">
      <w:pPr>
        <w:keepNext w:val="0"/>
        <w:keepLines w:val="0"/>
        <w:pageBreakBefore w:val="0"/>
        <w:widowControl w:val="0"/>
        <w:kinsoku/>
        <w:wordWrap w:val="0"/>
        <w:overflowPunct/>
        <w:topLinePunct w:val="0"/>
        <w:autoSpaceDE/>
        <w:autoSpaceDN/>
        <w:bidi w:val="0"/>
        <w:snapToGrid/>
        <w:spacing w:before="0" w:line="240" w:lineRule="auto"/>
        <w:rPr>
          <w:rFonts w:hint="eastAsia" w:ascii="宋体" w:hAnsi="宋体" w:eastAsia="宋体" w:cs="宋体"/>
          <w:color w:val="auto"/>
          <w:sz w:val="24"/>
          <w:szCs w:val="24"/>
          <w:highlight w:val="none"/>
        </w:rPr>
      </w:pPr>
    </w:p>
    <w:p w14:paraId="5CF1C4D1">
      <w:pPr>
        <w:pStyle w:val="9"/>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16863FD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751B63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B3192F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190D94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A50C41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79988DF">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30"/>
          <w:szCs w:val="30"/>
          <w:highlight w:val="none"/>
        </w:rPr>
      </w:pPr>
      <w:r>
        <w:rPr>
          <w:rFonts w:hint="eastAsia" w:eastAsia="宋体" w:cs="Times New Roman"/>
          <w:b/>
          <w:bCs/>
          <w:color w:val="auto"/>
          <w:kern w:val="2"/>
          <w:sz w:val="30"/>
          <w:szCs w:val="30"/>
          <w:highlight w:val="none"/>
          <w:lang w:val="en-US" w:eastAsia="zh-CN" w:bidi="ar-SA"/>
        </w:rPr>
        <w:t>二</w:t>
      </w:r>
      <w:r>
        <w:rPr>
          <w:rFonts w:hint="default" w:ascii="Times New Roman" w:hAnsi="Times New Roman" w:eastAsia="宋体" w:cs="Times New Roman"/>
          <w:b/>
          <w:bCs/>
          <w:color w:val="auto"/>
          <w:kern w:val="2"/>
          <w:sz w:val="30"/>
          <w:szCs w:val="30"/>
          <w:highlight w:val="none"/>
          <w:lang w:val="en-US" w:eastAsia="zh-CN" w:bidi="ar-SA"/>
        </w:rPr>
        <w:t>、</w:t>
      </w:r>
      <w:r>
        <w:rPr>
          <w:rFonts w:hint="eastAsia" w:ascii="宋体" w:hAnsi="宋体" w:eastAsia="宋体" w:cs="宋体"/>
          <w:b/>
          <w:bCs/>
          <w:color w:val="auto"/>
          <w:sz w:val="30"/>
          <w:szCs w:val="30"/>
          <w:highlight w:val="none"/>
        </w:rPr>
        <w:t>已标价工程量清单</w:t>
      </w:r>
    </w:p>
    <w:p w14:paraId="638ED919">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0A997DE0">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1CC5B5EE">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59C84C74">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133B773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95C549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AE4791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17B450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9CD5DB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ED3331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1D5249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B60D1D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121156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5A6FF5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B462BA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54205E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8802F4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E0508C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63EB2A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A26269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DC47D4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F2E405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39DA41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E9E48B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611A9B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93F67D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336978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8DF8C8D">
      <w:pPr>
        <w:keepNext w:val="0"/>
        <w:keepLines w:val="0"/>
        <w:pageBreakBefore w:val="0"/>
        <w:widowControl w:val="0"/>
        <w:kinsoku/>
        <w:wordWrap w:val="0"/>
        <w:overflowPunct/>
        <w:topLinePunct w:val="0"/>
        <w:autoSpaceDE/>
        <w:autoSpaceDN/>
        <w:bidi w:val="0"/>
        <w:snapToGrid/>
        <w:spacing w:before="14"/>
        <w:ind w:left="0" w:right="301" w:firstLine="0"/>
        <w:jc w:val="center"/>
        <w:rPr>
          <w:rFonts w:ascii="黑体" w:hAnsi="黑体" w:eastAsia="黑体" w:cs="黑体"/>
          <w:color w:val="auto"/>
          <w:sz w:val="28"/>
          <w:szCs w:val="28"/>
          <w:highlight w:val="none"/>
        </w:rPr>
      </w:pPr>
      <w:r>
        <w:rPr>
          <w:rFonts w:hint="eastAsia" w:ascii="宋体" w:hAnsi="宋体" w:eastAsia="宋体" w:cs="宋体"/>
          <w:b/>
          <w:bCs/>
          <w:color w:val="auto"/>
          <w:sz w:val="30"/>
          <w:szCs w:val="30"/>
          <w:highlight w:val="none"/>
        </w:rPr>
        <w:t>三、合同用款估算表</w:t>
      </w:r>
    </w:p>
    <w:p w14:paraId="3E915772">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0"/>
          <w:szCs w:val="20"/>
          <w:highlight w:val="none"/>
        </w:rPr>
      </w:pPr>
    </w:p>
    <w:p w14:paraId="24074FF0">
      <w:pPr>
        <w:keepNext w:val="0"/>
        <w:keepLines w:val="0"/>
        <w:pageBreakBefore w:val="0"/>
        <w:widowControl w:val="0"/>
        <w:kinsoku/>
        <w:wordWrap w:val="0"/>
        <w:overflowPunct/>
        <w:topLinePunct w:val="0"/>
        <w:autoSpaceDE/>
        <w:autoSpaceDN/>
        <w:bidi w:val="0"/>
        <w:snapToGrid/>
        <w:spacing w:before="11" w:line="240" w:lineRule="auto"/>
        <w:rPr>
          <w:rFonts w:ascii="黑体" w:hAnsi="黑体" w:eastAsia="黑体" w:cs="黑体"/>
          <w:color w:val="auto"/>
          <w:sz w:val="13"/>
          <w:szCs w:val="13"/>
          <w:highlight w:val="none"/>
        </w:rPr>
      </w:pPr>
    </w:p>
    <w:tbl>
      <w:tblPr>
        <w:tblStyle w:val="27"/>
        <w:tblW w:w="0" w:type="auto"/>
        <w:tblInd w:w="108" w:type="dxa"/>
        <w:tblLayout w:type="fixed"/>
        <w:tblCellMar>
          <w:top w:w="0" w:type="dxa"/>
          <w:left w:w="0" w:type="dxa"/>
          <w:bottom w:w="0" w:type="dxa"/>
          <w:right w:w="0" w:type="dxa"/>
        </w:tblCellMar>
      </w:tblPr>
      <w:tblGrid>
        <w:gridCol w:w="629"/>
        <w:gridCol w:w="2026"/>
        <w:gridCol w:w="1546"/>
        <w:gridCol w:w="1548"/>
        <w:gridCol w:w="1549"/>
        <w:gridCol w:w="1548"/>
      </w:tblGrid>
      <w:tr w14:paraId="297D33F9">
        <w:tblPrEx>
          <w:tblCellMar>
            <w:top w:w="0" w:type="dxa"/>
            <w:left w:w="0" w:type="dxa"/>
            <w:bottom w:w="0" w:type="dxa"/>
            <w:right w:w="0" w:type="dxa"/>
          </w:tblCellMar>
        </w:tblPrEx>
        <w:trPr>
          <w:trHeight w:val="535" w:hRule="exact"/>
        </w:trPr>
        <w:tc>
          <w:tcPr>
            <w:tcW w:w="2655" w:type="dxa"/>
            <w:gridSpan w:val="2"/>
            <w:vMerge w:val="restart"/>
            <w:tcBorders>
              <w:top w:val="single" w:color="000000" w:sz="6" w:space="0"/>
              <w:left w:val="single" w:color="000000" w:sz="6" w:space="0"/>
              <w:right w:val="single" w:color="000000" w:sz="6" w:space="0"/>
            </w:tcBorders>
          </w:tcPr>
          <w:p w14:paraId="0867B906">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6F0FFCB5">
            <w:pPr>
              <w:pStyle w:val="37"/>
              <w:keepNext w:val="0"/>
              <w:keepLines w:val="0"/>
              <w:pageBreakBefore w:val="0"/>
              <w:widowControl w:val="0"/>
              <w:kinsoku/>
              <w:wordWrap w:val="0"/>
              <w:overflowPunct/>
              <w:topLinePunct w:val="0"/>
              <w:autoSpaceDE/>
              <w:autoSpaceDN/>
              <w:bidi w:val="0"/>
              <w:snapToGrid/>
              <w:spacing w:before="13" w:line="240" w:lineRule="auto"/>
              <w:ind w:right="0"/>
              <w:jc w:val="left"/>
              <w:rPr>
                <w:rFonts w:ascii="黑体" w:hAnsi="黑体" w:eastAsia="黑体" w:cs="黑体"/>
                <w:color w:val="auto"/>
                <w:sz w:val="14"/>
                <w:szCs w:val="14"/>
                <w:highlight w:val="none"/>
              </w:rPr>
            </w:pPr>
          </w:p>
          <w:p w14:paraId="4C58E354">
            <w:pPr>
              <w:pStyle w:val="37"/>
              <w:keepNext w:val="0"/>
              <w:keepLines w:val="0"/>
              <w:pageBreakBefore w:val="0"/>
              <w:widowControl w:val="0"/>
              <w:kinsoku/>
              <w:wordWrap w:val="0"/>
              <w:overflowPunct/>
              <w:topLinePunct w:val="0"/>
              <w:autoSpaceDE/>
              <w:autoSpaceDN/>
              <w:bidi w:val="0"/>
              <w:snapToGrid/>
              <w:spacing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从开工月算起的时间</w:t>
            </w:r>
          </w:p>
          <w:p w14:paraId="44D6DC91">
            <w:pPr>
              <w:pStyle w:val="37"/>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4"/>
                <w:szCs w:val="14"/>
                <w:highlight w:val="none"/>
              </w:rPr>
            </w:pPr>
          </w:p>
          <w:p w14:paraId="75704D53">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（月）</w:t>
            </w:r>
          </w:p>
        </w:tc>
        <w:tc>
          <w:tcPr>
            <w:tcW w:w="6191" w:type="dxa"/>
            <w:gridSpan w:val="4"/>
            <w:tcBorders>
              <w:top w:val="single" w:color="000000" w:sz="6" w:space="0"/>
              <w:left w:val="single" w:color="000000" w:sz="6" w:space="0"/>
              <w:bottom w:val="single" w:color="000000" w:sz="6" w:space="0"/>
              <w:right w:val="single" w:color="000000" w:sz="6" w:space="0"/>
            </w:tcBorders>
          </w:tcPr>
          <w:p w14:paraId="3DD5D837">
            <w:pPr>
              <w:pStyle w:val="37"/>
              <w:keepNext w:val="0"/>
              <w:keepLines w:val="0"/>
              <w:pageBreakBefore w:val="0"/>
              <w:widowControl w:val="0"/>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投标人的估算</w:t>
            </w:r>
          </w:p>
        </w:tc>
      </w:tr>
      <w:tr w14:paraId="36D3C6D2">
        <w:tblPrEx>
          <w:tblCellMar>
            <w:top w:w="0" w:type="dxa"/>
            <w:left w:w="0" w:type="dxa"/>
            <w:bottom w:w="0" w:type="dxa"/>
            <w:right w:w="0" w:type="dxa"/>
          </w:tblCellMar>
        </w:tblPrEx>
        <w:trPr>
          <w:trHeight w:val="533" w:hRule="exact"/>
        </w:trPr>
        <w:tc>
          <w:tcPr>
            <w:tcW w:w="2655" w:type="dxa"/>
            <w:gridSpan w:val="2"/>
            <w:vMerge w:val="continue"/>
            <w:tcBorders>
              <w:left w:val="single" w:color="000000" w:sz="6" w:space="0"/>
              <w:right w:val="single" w:color="000000" w:sz="6" w:space="0"/>
            </w:tcBorders>
          </w:tcPr>
          <w:p w14:paraId="3A3AE529">
            <w:pPr>
              <w:keepNext w:val="0"/>
              <w:keepLines w:val="0"/>
              <w:pageBreakBefore w:val="0"/>
              <w:widowControl w:val="0"/>
              <w:kinsoku/>
              <w:wordWrap w:val="0"/>
              <w:overflowPunct/>
              <w:topLinePunct w:val="0"/>
              <w:autoSpaceDE/>
              <w:autoSpaceDN/>
              <w:bidi w:val="0"/>
              <w:snapToGrid/>
              <w:rPr>
                <w:color w:val="auto"/>
                <w:highlight w:val="none"/>
              </w:rPr>
            </w:pPr>
          </w:p>
        </w:tc>
        <w:tc>
          <w:tcPr>
            <w:tcW w:w="3094" w:type="dxa"/>
            <w:gridSpan w:val="2"/>
            <w:tcBorders>
              <w:top w:val="single" w:color="000000" w:sz="6" w:space="0"/>
              <w:left w:val="single" w:color="000000" w:sz="6" w:space="0"/>
              <w:bottom w:val="single" w:color="000000" w:sz="6" w:space="0"/>
              <w:right w:val="single" w:color="000000" w:sz="6" w:space="0"/>
            </w:tcBorders>
          </w:tcPr>
          <w:p w14:paraId="49C7EAD1">
            <w:pPr>
              <w:pStyle w:val="37"/>
              <w:keepNext w:val="0"/>
              <w:keepLines w:val="0"/>
              <w:pageBreakBefore w:val="0"/>
              <w:widowControl w:val="0"/>
              <w:tabs>
                <w:tab w:val="left" w:pos="736"/>
              </w:tabs>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分</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期</w:t>
            </w:r>
          </w:p>
        </w:tc>
        <w:tc>
          <w:tcPr>
            <w:tcW w:w="3097" w:type="dxa"/>
            <w:gridSpan w:val="2"/>
            <w:tcBorders>
              <w:top w:val="single" w:color="000000" w:sz="6" w:space="0"/>
              <w:left w:val="single" w:color="000000" w:sz="6" w:space="0"/>
              <w:bottom w:val="single" w:color="000000" w:sz="6" w:space="0"/>
              <w:right w:val="single" w:color="000000" w:sz="6" w:space="0"/>
            </w:tcBorders>
          </w:tcPr>
          <w:p w14:paraId="68C8B943">
            <w:pPr>
              <w:pStyle w:val="37"/>
              <w:keepNext w:val="0"/>
              <w:keepLines w:val="0"/>
              <w:pageBreakBefore w:val="0"/>
              <w:widowControl w:val="0"/>
              <w:tabs>
                <w:tab w:val="left" w:pos="739"/>
              </w:tabs>
              <w:kinsoku/>
              <w:wordWrap w:val="0"/>
              <w:overflowPunct/>
              <w:topLinePunct w:val="0"/>
              <w:autoSpaceDE/>
              <w:autoSpaceDN/>
              <w:bidi w:val="0"/>
              <w:snapToGrid/>
              <w:spacing w:before="153"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累</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计</w:t>
            </w:r>
          </w:p>
        </w:tc>
      </w:tr>
      <w:tr w14:paraId="6E395C83">
        <w:tblPrEx>
          <w:tblCellMar>
            <w:top w:w="0" w:type="dxa"/>
            <w:left w:w="0" w:type="dxa"/>
            <w:bottom w:w="0" w:type="dxa"/>
            <w:right w:w="0" w:type="dxa"/>
          </w:tblCellMar>
        </w:tblPrEx>
        <w:trPr>
          <w:trHeight w:val="535" w:hRule="exact"/>
        </w:trPr>
        <w:tc>
          <w:tcPr>
            <w:tcW w:w="2655" w:type="dxa"/>
            <w:gridSpan w:val="2"/>
            <w:vMerge w:val="continue"/>
            <w:tcBorders>
              <w:left w:val="single" w:color="000000" w:sz="6" w:space="0"/>
              <w:bottom w:val="single" w:color="000000" w:sz="6" w:space="0"/>
              <w:right w:val="single" w:color="000000" w:sz="6" w:space="0"/>
            </w:tcBorders>
          </w:tcPr>
          <w:p w14:paraId="7EFFA552">
            <w:pPr>
              <w:keepNext w:val="0"/>
              <w:keepLines w:val="0"/>
              <w:pageBreakBefore w:val="0"/>
              <w:widowControl w:val="0"/>
              <w:kinsoku/>
              <w:wordWrap w:val="0"/>
              <w:overflowPunct/>
              <w:topLinePunct w:val="0"/>
              <w:autoSpaceDE/>
              <w:autoSpaceDN/>
              <w:bidi w:val="0"/>
              <w:snapToGrid/>
              <w:rPr>
                <w:color w:val="auto"/>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4040F201">
            <w:pPr>
              <w:pStyle w:val="37"/>
              <w:keepNext w:val="0"/>
              <w:keepLines w:val="0"/>
              <w:pageBreakBefore w:val="0"/>
              <w:widowControl w:val="0"/>
              <w:kinsoku/>
              <w:wordWrap w:val="0"/>
              <w:overflowPunct/>
              <w:topLinePunct w:val="0"/>
              <w:autoSpaceDE/>
              <w:autoSpaceDN/>
              <w:bidi w:val="0"/>
              <w:snapToGrid/>
              <w:spacing w:before="155" w:line="240" w:lineRule="auto"/>
              <w:ind w:left="23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金额（元）</w:t>
            </w:r>
          </w:p>
        </w:tc>
        <w:tc>
          <w:tcPr>
            <w:tcW w:w="1548" w:type="dxa"/>
            <w:tcBorders>
              <w:top w:val="single" w:color="000000" w:sz="6" w:space="0"/>
              <w:left w:val="single" w:color="000000" w:sz="6" w:space="0"/>
              <w:bottom w:val="single" w:color="000000" w:sz="6" w:space="0"/>
              <w:right w:val="single" w:color="000000" w:sz="6" w:space="0"/>
            </w:tcBorders>
          </w:tcPr>
          <w:p w14:paraId="3A6CBE4F">
            <w:pPr>
              <w:pStyle w:val="37"/>
              <w:keepNext w:val="0"/>
              <w:keepLines w:val="0"/>
              <w:pageBreakBefore w:val="0"/>
              <w:widowControl w:val="0"/>
              <w:kinsoku/>
              <w:wordWrap w:val="0"/>
              <w:overflowPunct/>
              <w:topLinePunct w:val="0"/>
              <w:autoSpaceDE/>
              <w:autoSpaceDN/>
              <w:bidi w:val="0"/>
              <w:snapToGrid/>
              <w:spacing w:before="155" w:line="240" w:lineRule="auto"/>
              <w:ind w:left="470"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w:t>
            </w:r>
          </w:p>
        </w:tc>
        <w:tc>
          <w:tcPr>
            <w:tcW w:w="1549" w:type="dxa"/>
            <w:tcBorders>
              <w:top w:val="single" w:color="000000" w:sz="6" w:space="0"/>
              <w:left w:val="single" w:color="000000" w:sz="6" w:space="0"/>
              <w:bottom w:val="single" w:color="000000" w:sz="6" w:space="0"/>
              <w:right w:val="single" w:color="000000" w:sz="6" w:space="0"/>
            </w:tcBorders>
          </w:tcPr>
          <w:p w14:paraId="1B0DF6D2">
            <w:pPr>
              <w:pStyle w:val="37"/>
              <w:keepNext w:val="0"/>
              <w:keepLines w:val="0"/>
              <w:pageBreakBefore w:val="0"/>
              <w:widowControl w:val="0"/>
              <w:kinsoku/>
              <w:wordWrap w:val="0"/>
              <w:overflowPunct/>
              <w:topLinePunct w:val="0"/>
              <w:autoSpaceDE/>
              <w:autoSpaceDN/>
              <w:bidi w:val="0"/>
              <w:snapToGrid/>
              <w:spacing w:before="155" w:line="240" w:lineRule="auto"/>
              <w:ind w:left="24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金额（元）</w:t>
            </w:r>
          </w:p>
        </w:tc>
        <w:tc>
          <w:tcPr>
            <w:tcW w:w="1548" w:type="dxa"/>
            <w:tcBorders>
              <w:top w:val="single" w:color="000000" w:sz="6" w:space="0"/>
              <w:left w:val="single" w:color="000000" w:sz="6" w:space="0"/>
              <w:bottom w:val="single" w:color="000000" w:sz="6" w:space="0"/>
              <w:right w:val="single" w:color="000000" w:sz="6" w:space="0"/>
            </w:tcBorders>
          </w:tcPr>
          <w:p w14:paraId="70A260B2">
            <w:pPr>
              <w:pStyle w:val="37"/>
              <w:keepNext w:val="0"/>
              <w:keepLines w:val="0"/>
              <w:pageBreakBefore w:val="0"/>
              <w:widowControl w:val="0"/>
              <w:kinsoku/>
              <w:wordWrap w:val="0"/>
              <w:overflowPunct/>
              <w:topLinePunct w:val="0"/>
              <w:autoSpaceDE/>
              <w:autoSpaceDN/>
              <w:bidi w:val="0"/>
              <w:snapToGrid/>
              <w:spacing w:before="155" w:line="240" w:lineRule="auto"/>
              <w:ind w:left="470"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w:t>
            </w:r>
          </w:p>
        </w:tc>
      </w:tr>
      <w:tr w14:paraId="7FAD2AA7">
        <w:tblPrEx>
          <w:tblCellMar>
            <w:top w:w="0" w:type="dxa"/>
            <w:left w:w="0" w:type="dxa"/>
            <w:bottom w:w="0" w:type="dxa"/>
            <w:right w:w="0" w:type="dxa"/>
          </w:tblCellMar>
        </w:tblPrEx>
        <w:trPr>
          <w:trHeight w:val="536"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39B8FA28">
            <w:pPr>
              <w:pStyle w:val="37"/>
              <w:keepNext w:val="0"/>
              <w:keepLines w:val="0"/>
              <w:pageBreakBefore w:val="0"/>
              <w:widowControl w:val="0"/>
              <w:kinsoku/>
              <w:wordWrap w:val="0"/>
              <w:overflowPunct/>
              <w:topLinePunct w:val="0"/>
              <w:autoSpaceDE/>
              <w:autoSpaceDN/>
              <w:bidi w:val="0"/>
              <w:snapToGrid/>
              <w:spacing w:before="6" w:line="240" w:lineRule="auto"/>
              <w:ind w:right="0"/>
              <w:jc w:val="left"/>
              <w:rPr>
                <w:rFonts w:ascii="黑体" w:hAnsi="黑体" w:eastAsia="黑体" w:cs="黑体"/>
                <w:color w:val="auto"/>
                <w:sz w:val="16"/>
                <w:szCs w:val="16"/>
                <w:highlight w:val="none"/>
              </w:rPr>
            </w:pPr>
          </w:p>
          <w:p w14:paraId="3F21B53D">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53237A47">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9F399A0">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3511CF74">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78DF22A1">
            <w:pPr>
              <w:keepNext w:val="0"/>
              <w:keepLines w:val="0"/>
              <w:pageBreakBefore w:val="0"/>
              <w:widowControl w:val="0"/>
              <w:kinsoku/>
              <w:wordWrap w:val="0"/>
              <w:overflowPunct/>
              <w:topLinePunct w:val="0"/>
              <w:autoSpaceDE/>
              <w:autoSpaceDN/>
              <w:bidi w:val="0"/>
              <w:snapToGrid/>
              <w:rPr>
                <w:color w:val="auto"/>
                <w:highlight w:val="none"/>
              </w:rPr>
            </w:pPr>
          </w:p>
        </w:tc>
      </w:tr>
      <w:tr w14:paraId="431504E7">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5CF66DA8">
            <w:pPr>
              <w:pStyle w:val="37"/>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281F0280">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163C25B5">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062D57D">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0DEC89E4">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4F408280">
            <w:pPr>
              <w:keepNext w:val="0"/>
              <w:keepLines w:val="0"/>
              <w:pageBreakBefore w:val="0"/>
              <w:widowControl w:val="0"/>
              <w:kinsoku/>
              <w:wordWrap w:val="0"/>
              <w:overflowPunct/>
              <w:topLinePunct w:val="0"/>
              <w:autoSpaceDE/>
              <w:autoSpaceDN/>
              <w:bidi w:val="0"/>
              <w:snapToGrid/>
              <w:rPr>
                <w:color w:val="auto"/>
                <w:highlight w:val="none"/>
              </w:rPr>
            </w:pPr>
          </w:p>
        </w:tc>
      </w:tr>
      <w:tr w14:paraId="029310ED">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256FFB61">
            <w:pPr>
              <w:pStyle w:val="37"/>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029F22C0">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5EC04286">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14A609F4">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2124704F">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2DD2D7E5">
            <w:pPr>
              <w:keepNext w:val="0"/>
              <w:keepLines w:val="0"/>
              <w:pageBreakBefore w:val="0"/>
              <w:widowControl w:val="0"/>
              <w:kinsoku/>
              <w:wordWrap w:val="0"/>
              <w:overflowPunct/>
              <w:topLinePunct w:val="0"/>
              <w:autoSpaceDE/>
              <w:autoSpaceDN/>
              <w:bidi w:val="0"/>
              <w:snapToGrid/>
              <w:rPr>
                <w:color w:val="auto"/>
                <w:highlight w:val="none"/>
              </w:rPr>
            </w:pPr>
          </w:p>
        </w:tc>
      </w:tr>
      <w:tr w14:paraId="12A5510B">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4FDF39DE">
            <w:pPr>
              <w:pStyle w:val="37"/>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2E278FD5">
            <w:pPr>
              <w:pStyle w:val="37"/>
              <w:keepNext w:val="0"/>
              <w:keepLines w:val="0"/>
              <w:pageBreakBefore w:val="0"/>
              <w:widowControl w:val="0"/>
              <w:kinsoku/>
              <w:wordWrap w:val="0"/>
              <w:overflowPunct/>
              <w:topLinePunct w:val="0"/>
              <w:autoSpaceDE/>
              <w:autoSpaceDN/>
              <w:bidi w:val="0"/>
              <w:snapToGrid/>
              <w:spacing w:line="240" w:lineRule="auto"/>
              <w:ind w:left="1"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07AC89AD">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48D1E6C1">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2537C043">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27EE5C28">
            <w:pPr>
              <w:keepNext w:val="0"/>
              <w:keepLines w:val="0"/>
              <w:pageBreakBefore w:val="0"/>
              <w:widowControl w:val="0"/>
              <w:kinsoku/>
              <w:wordWrap w:val="0"/>
              <w:overflowPunct/>
              <w:topLinePunct w:val="0"/>
              <w:autoSpaceDE/>
              <w:autoSpaceDN/>
              <w:bidi w:val="0"/>
              <w:snapToGrid/>
              <w:rPr>
                <w:color w:val="auto"/>
                <w:highlight w:val="none"/>
              </w:rPr>
            </w:pPr>
          </w:p>
        </w:tc>
      </w:tr>
      <w:tr w14:paraId="61BFAD46">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5C021166">
            <w:pPr>
              <w:pStyle w:val="37"/>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504186F9">
            <w:pPr>
              <w:pStyle w:val="37"/>
              <w:keepNext w:val="0"/>
              <w:keepLines w:val="0"/>
              <w:pageBreakBefore w:val="0"/>
              <w:widowControl w:val="0"/>
              <w:kinsoku/>
              <w:wordWrap w:val="0"/>
              <w:overflowPunct/>
              <w:topLinePunct w:val="0"/>
              <w:autoSpaceDE/>
              <w:autoSpaceDN/>
              <w:bidi w:val="0"/>
              <w:snapToGrid/>
              <w:spacing w:line="240" w:lineRule="auto"/>
              <w:ind w:left="1"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1FDAFA77">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7F83FEBA">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25FDF89C">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2CB9CFFF">
            <w:pPr>
              <w:keepNext w:val="0"/>
              <w:keepLines w:val="0"/>
              <w:pageBreakBefore w:val="0"/>
              <w:widowControl w:val="0"/>
              <w:kinsoku/>
              <w:wordWrap w:val="0"/>
              <w:overflowPunct/>
              <w:topLinePunct w:val="0"/>
              <w:autoSpaceDE/>
              <w:autoSpaceDN/>
              <w:bidi w:val="0"/>
              <w:snapToGrid/>
              <w:rPr>
                <w:color w:val="auto"/>
                <w:highlight w:val="none"/>
              </w:rPr>
            </w:pPr>
          </w:p>
        </w:tc>
      </w:tr>
      <w:tr w14:paraId="7E5590FD">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2121AB6A">
            <w:pPr>
              <w:pStyle w:val="37"/>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32A4F02F">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546" w:type="dxa"/>
            <w:tcBorders>
              <w:top w:val="single" w:color="000000" w:sz="6" w:space="0"/>
              <w:left w:val="single" w:color="000000" w:sz="6" w:space="0"/>
              <w:bottom w:val="single" w:color="000000" w:sz="6" w:space="0"/>
              <w:right w:val="single" w:color="000000" w:sz="6" w:space="0"/>
            </w:tcBorders>
          </w:tcPr>
          <w:p w14:paraId="1A1E27AF">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4A46A723">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42284EC0">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468A48A1">
            <w:pPr>
              <w:keepNext w:val="0"/>
              <w:keepLines w:val="0"/>
              <w:pageBreakBefore w:val="0"/>
              <w:widowControl w:val="0"/>
              <w:kinsoku/>
              <w:wordWrap w:val="0"/>
              <w:overflowPunct/>
              <w:topLinePunct w:val="0"/>
              <w:autoSpaceDE/>
              <w:autoSpaceDN/>
              <w:bidi w:val="0"/>
              <w:snapToGrid/>
              <w:rPr>
                <w:color w:val="auto"/>
                <w:highlight w:val="none"/>
              </w:rPr>
            </w:pPr>
          </w:p>
        </w:tc>
      </w:tr>
      <w:tr w14:paraId="5DF32C40">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06DBBA86">
            <w:pPr>
              <w:pStyle w:val="37"/>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1724CE7A">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546" w:type="dxa"/>
            <w:tcBorders>
              <w:top w:val="single" w:color="000000" w:sz="6" w:space="0"/>
              <w:left w:val="single" w:color="000000" w:sz="6" w:space="0"/>
              <w:bottom w:val="single" w:color="000000" w:sz="6" w:space="0"/>
              <w:right w:val="single" w:color="000000" w:sz="6" w:space="0"/>
            </w:tcBorders>
          </w:tcPr>
          <w:p w14:paraId="502E601D">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13065CFB">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44CAD100">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2A932E91">
            <w:pPr>
              <w:keepNext w:val="0"/>
              <w:keepLines w:val="0"/>
              <w:pageBreakBefore w:val="0"/>
              <w:widowControl w:val="0"/>
              <w:kinsoku/>
              <w:wordWrap w:val="0"/>
              <w:overflowPunct/>
              <w:topLinePunct w:val="0"/>
              <w:autoSpaceDE/>
              <w:autoSpaceDN/>
              <w:bidi w:val="0"/>
              <w:snapToGrid/>
              <w:rPr>
                <w:color w:val="auto"/>
                <w:highlight w:val="none"/>
              </w:rPr>
            </w:pPr>
          </w:p>
        </w:tc>
      </w:tr>
      <w:tr w14:paraId="254A5279">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68192E8D">
            <w:pPr>
              <w:keepNext w:val="0"/>
              <w:keepLines w:val="0"/>
              <w:pageBreakBefore w:val="0"/>
              <w:widowControl w:val="0"/>
              <w:kinsoku/>
              <w:wordWrap w:val="0"/>
              <w:overflowPunct/>
              <w:topLinePunct w:val="0"/>
              <w:autoSpaceDE/>
              <w:autoSpaceDN/>
              <w:bidi w:val="0"/>
              <w:snapToGrid/>
              <w:rPr>
                <w:color w:val="auto"/>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2867C457">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29ED73DB">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58059834">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7DF13FB9">
            <w:pPr>
              <w:keepNext w:val="0"/>
              <w:keepLines w:val="0"/>
              <w:pageBreakBefore w:val="0"/>
              <w:widowControl w:val="0"/>
              <w:kinsoku/>
              <w:wordWrap w:val="0"/>
              <w:overflowPunct/>
              <w:topLinePunct w:val="0"/>
              <w:autoSpaceDE/>
              <w:autoSpaceDN/>
              <w:bidi w:val="0"/>
              <w:snapToGrid/>
              <w:rPr>
                <w:color w:val="auto"/>
                <w:highlight w:val="none"/>
              </w:rPr>
            </w:pPr>
          </w:p>
        </w:tc>
      </w:tr>
      <w:tr w14:paraId="25C61FE8">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2311D33C">
            <w:pPr>
              <w:pStyle w:val="37"/>
              <w:keepNext w:val="0"/>
              <w:keepLines w:val="0"/>
              <w:pageBreakBefore w:val="0"/>
              <w:widowControl w:val="0"/>
              <w:kinsoku/>
              <w:wordWrap w:val="0"/>
              <w:overflowPunct/>
              <w:topLinePunct w:val="0"/>
              <w:autoSpaceDE/>
              <w:autoSpaceDN/>
              <w:bidi w:val="0"/>
              <w:snapToGrid/>
              <w:spacing w:before="153" w:line="240" w:lineRule="auto"/>
              <w:ind w:left="794"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缺陷责任期</w:t>
            </w:r>
          </w:p>
        </w:tc>
        <w:tc>
          <w:tcPr>
            <w:tcW w:w="1546" w:type="dxa"/>
            <w:tcBorders>
              <w:top w:val="single" w:color="000000" w:sz="6" w:space="0"/>
              <w:left w:val="single" w:color="000000" w:sz="6" w:space="0"/>
              <w:bottom w:val="single" w:color="000000" w:sz="6" w:space="0"/>
              <w:right w:val="single" w:color="000000" w:sz="6" w:space="0"/>
            </w:tcBorders>
          </w:tcPr>
          <w:p w14:paraId="6D1A1091">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34198641">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3CE821CF">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2930594D">
            <w:pPr>
              <w:keepNext w:val="0"/>
              <w:keepLines w:val="0"/>
              <w:pageBreakBefore w:val="0"/>
              <w:widowControl w:val="0"/>
              <w:kinsoku/>
              <w:wordWrap w:val="0"/>
              <w:overflowPunct/>
              <w:topLinePunct w:val="0"/>
              <w:autoSpaceDE/>
              <w:autoSpaceDN/>
              <w:bidi w:val="0"/>
              <w:snapToGrid/>
              <w:rPr>
                <w:color w:val="auto"/>
                <w:highlight w:val="none"/>
              </w:rPr>
            </w:pPr>
          </w:p>
        </w:tc>
      </w:tr>
      <w:tr w14:paraId="4781FA9D">
        <w:tblPrEx>
          <w:tblCellMar>
            <w:top w:w="0" w:type="dxa"/>
            <w:left w:w="0" w:type="dxa"/>
            <w:bottom w:w="0" w:type="dxa"/>
            <w:right w:w="0" w:type="dxa"/>
          </w:tblCellMar>
        </w:tblPrEx>
        <w:trPr>
          <w:trHeight w:val="533"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28A69798">
            <w:pPr>
              <w:pStyle w:val="37"/>
              <w:keepNext w:val="0"/>
              <w:keepLines w:val="0"/>
              <w:pageBreakBefore w:val="0"/>
              <w:widowControl w:val="0"/>
              <w:tabs>
                <w:tab w:val="left" w:pos="1636"/>
              </w:tabs>
              <w:kinsoku/>
              <w:wordWrap w:val="0"/>
              <w:overflowPunct/>
              <w:topLinePunct w:val="0"/>
              <w:autoSpaceDE/>
              <w:autoSpaceDN/>
              <w:bidi w:val="0"/>
              <w:snapToGrid/>
              <w:spacing w:before="153" w:line="240" w:lineRule="auto"/>
              <w:ind w:left="794"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小</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计</w:t>
            </w:r>
          </w:p>
        </w:tc>
        <w:tc>
          <w:tcPr>
            <w:tcW w:w="1546" w:type="dxa"/>
            <w:tcBorders>
              <w:top w:val="single" w:color="000000" w:sz="6" w:space="0"/>
              <w:left w:val="single" w:color="000000" w:sz="6" w:space="0"/>
              <w:bottom w:val="single" w:color="000000" w:sz="6" w:space="0"/>
              <w:right w:val="single" w:color="000000" w:sz="6" w:space="0"/>
            </w:tcBorders>
          </w:tcPr>
          <w:p w14:paraId="561354E3">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5BF615D8">
            <w:pPr>
              <w:pStyle w:val="37"/>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color w:val="auto"/>
                <w:sz w:val="21"/>
                <w:highlight w:val="none"/>
              </w:rPr>
              <w:t>100.00</w:t>
            </w:r>
          </w:p>
        </w:tc>
        <w:tc>
          <w:tcPr>
            <w:tcW w:w="1549" w:type="dxa"/>
            <w:tcBorders>
              <w:top w:val="single" w:color="000000" w:sz="6" w:space="0"/>
              <w:left w:val="single" w:color="000000" w:sz="6" w:space="0"/>
              <w:bottom w:val="single" w:color="000000" w:sz="6" w:space="0"/>
              <w:right w:val="single" w:color="000000" w:sz="6" w:space="0"/>
            </w:tcBorders>
          </w:tcPr>
          <w:p w14:paraId="6D52A551">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3347F21E">
            <w:pPr>
              <w:keepNext w:val="0"/>
              <w:keepLines w:val="0"/>
              <w:pageBreakBefore w:val="0"/>
              <w:widowControl w:val="0"/>
              <w:kinsoku/>
              <w:wordWrap w:val="0"/>
              <w:overflowPunct/>
              <w:topLinePunct w:val="0"/>
              <w:autoSpaceDE/>
              <w:autoSpaceDN/>
              <w:bidi w:val="0"/>
              <w:snapToGrid/>
              <w:rPr>
                <w:color w:val="auto"/>
                <w:highlight w:val="none"/>
              </w:rPr>
            </w:pPr>
          </w:p>
        </w:tc>
      </w:tr>
      <w:tr w14:paraId="180707D5">
        <w:tblPrEx>
          <w:tblCellMar>
            <w:top w:w="0" w:type="dxa"/>
            <w:left w:w="0" w:type="dxa"/>
            <w:bottom w:w="0" w:type="dxa"/>
            <w:right w:w="0" w:type="dxa"/>
          </w:tblCellMar>
        </w:tblPrEx>
        <w:trPr>
          <w:trHeight w:val="535" w:hRule="exact"/>
        </w:trPr>
        <w:tc>
          <w:tcPr>
            <w:tcW w:w="8846" w:type="dxa"/>
            <w:gridSpan w:val="6"/>
            <w:tcBorders>
              <w:top w:val="single" w:color="000000" w:sz="6" w:space="0"/>
              <w:left w:val="single" w:color="000000" w:sz="6" w:space="0"/>
              <w:bottom w:val="single" w:color="000000" w:sz="6" w:space="0"/>
              <w:right w:val="single" w:color="000000" w:sz="6" w:space="0"/>
            </w:tcBorders>
          </w:tcPr>
          <w:p w14:paraId="4F14B423">
            <w:pPr>
              <w:pStyle w:val="37"/>
              <w:keepNext w:val="0"/>
              <w:keepLines w:val="0"/>
              <w:pageBreakBefore w:val="0"/>
              <w:widowControl w:val="0"/>
              <w:kinsoku/>
              <w:wordWrap w:val="0"/>
              <w:overflowPunct/>
              <w:topLinePunct w:val="0"/>
              <w:autoSpaceDE/>
              <w:autoSpaceDN/>
              <w:bidi w:val="0"/>
              <w:snapToGrid/>
              <w:spacing w:before="155" w:line="240" w:lineRule="auto"/>
              <w:ind w:left="2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投标价：</w:t>
            </w:r>
          </w:p>
        </w:tc>
      </w:tr>
      <w:tr w14:paraId="38F55417">
        <w:tblPrEx>
          <w:tblCellMar>
            <w:top w:w="0" w:type="dxa"/>
            <w:left w:w="0" w:type="dxa"/>
            <w:bottom w:w="0" w:type="dxa"/>
            <w:right w:w="0" w:type="dxa"/>
          </w:tblCellMar>
        </w:tblPrEx>
        <w:trPr>
          <w:trHeight w:val="3178" w:hRule="exact"/>
        </w:trPr>
        <w:tc>
          <w:tcPr>
            <w:tcW w:w="629" w:type="dxa"/>
            <w:tcBorders>
              <w:top w:val="single" w:color="000000" w:sz="6" w:space="0"/>
              <w:left w:val="single" w:color="000000" w:sz="6" w:space="0"/>
              <w:bottom w:val="single" w:color="000000" w:sz="6" w:space="0"/>
              <w:right w:val="single" w:color="000000" w:sz="6" w:space="0"/>
            </w:tcBorders>
          </w:tcPr>
          <w:p w14:paraId="2BA5F2C2">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B56A856">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541D14E">
            <w:pPr>
              <w:pStyle w:val="37"/>
              <w:keepNext w:val="0"/>
              <w:keepLines w:val="0"/>
              <w:pageBreakBefore w:val="0"/>
              <w:widowControl w:val="0"/>
              <w:kinsoku/>
              <w:wordWrap w:val="0"/>
              <w:overflowPunct/>
              <w:topLinePunct w:val="0"/>
              <w:autoSpaceDE/>
              <w:autoSpaceDN/>
              <w:bidi w:val="0"/>
              <w:snapToGrid/>
              <w:spacing w:before="153" w:line="240" w:lineRule="auto"/>
              <w:ind w:left="201" w:right="0"/>
              <w:jc w:val="left"/>
              <w:rPr>
                <w:rFonts w:ascii="宋体" w:hAnsi="宋体" w:eastAsia="宋体" w:cs="宋体"/>
                <w:color w:val="auto"/>
                <w:sz w:val="21"/>
                <w:szCs w:val="21"/>
                <w:highlight w:val="none"/>
              </w:rPr>
            </w:pPr>
            <w:r>
              <w:rPr>
                <w:rFonts w:ascii="宋体" w:hAnsi="宋体" w:eastAsia="宋体" w:cs="宋体"/>
                <w:color w:val="auto"/>
                <w:w w:val="100"/>
                <w:sz w:val="21"/>
                <w:szCs w:val="21"/>
                <w:highlight w:val="none"/>
              </w:rPr>
              <w:t>说</w:t>
            </w:r>
          </w:p>
          <w:p w14:paraId="457ACE23">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356A5404">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5DF23AC">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1C15F2FC">
            <w:pPr>
              <w:pStyle w:val="37"/>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3A0FD55F">
            <w:pPr>
              <w:pStyle w:val="37"/>
              <w:keepNext w:val="0"/>
              <w:keepLines w:val="0"/>
              <w:pageBreakBefore w:val="0"/>
              <w:widowControl w:val="0"/>
              <w:kinsoku/>
              <w:wordWrap w:val="0"/>
              <w:overflowPunct/>
              <w:topLinePunct w:val="0"/>
              <w:autoSpaceDE/>
              <w:autoSpaceDN/>
              <w:bidi w:val="0"/>
              <w:snapToGrid/>
              <w:spacing w:before="2" w:line="240" w:lineRule="auto"/>
              <w:ind w:right="0"/>
              <w:jc w:val="left"/>
              <w:rPr>
                <w:rFonts w:ascii="黑体" w:hAnsi="黑体" w:eastAsia="黑体" w:cs="黑体"/>
                <w:color w:val="auto"/>
                <w:sz w:val="21"/>
                <w:szCs w:val="21"/>
                <w:highlight w:val="none"/>
              </w:rPr>
            </w:pPr>
          </w:p>
          <w:p w14:paraId="09E30159">
            <w:pPr>
              <w:pStyle w:val="37"/>
              <w:keepNext w:val="0"/>
              <w:keepLines w:val="0"/>
              <w:pageBreakBefore w:val="0"/>
              <w:widowControl w:val="0"/>
              <w:kinsoku/>
              <w:wordWrap w:val="0"/>
              <w:overflowPunct/>
              <w:topLinePunct w:val="0"/>
              <w:autoSpaceDE/>
              <w:autoSpaceDN/>
              <w:bidi w:val="0"/>
              <w:snapToGrid/>
              <w:spacing w:line="240" w:lineRule="auto"/>
              <w:ind w:left="201" w:right="0"/>
              <w:jc w:val="left"/>
              <w:rPr>
                <w:rFonts w:ascii="宋体" w:hAnsi="宋体" w:eastAsia="宋体" w:cs="宋体"/>
                <w:color w:val="auto"/>
                <w:sz w:val="21"/>
                <w:szCs w:val="21"/>
                <w:highlight w:val="none"/>
              </w:rPr>
            </w:pPr>
            <w:r>
              <w:rPr>
                <w:rFonts w:ascii="宋体" w:hAnsi="宋体" w:eastAsia="宋体" w:cs="宋体"/>
                <w:color w:val="auto"/>
                <w:w w:val="100"/>
                <w:sz w:val="21"/>
                <w:szCs w:val="21"/>
                <w:highlight w:val="none"/>
              </w:rPr>
              <w:t>明</w:t>
            </w:r>
          </w:p>
        </w:tc>
        <w:tc>
          <w:tcPr>
            <w:tcW w:w="8217" w:type="dxa"/>
            <w:gridSpan w:val="5"/>
            <w:tcBorders>
              <w:top w:val="single" w:color="000000" w:sz="6" w:space="0"/>
              <w:left w:val="single" w:color="000000" w:sz="6" w:space="0"/>
              <w:bottom w:val="single" w:color="000000" w:sz="6" w:space="0"/>
              <w:right w:val="single" w:color="000000" w:sz="6" w:space="0"/>
            </w:tcBorders>
          </w:tcPr>
          <w:p w14:paraId="0B152C37">
            <w:pPr>
              <w:keepNext w:val="0"/>
              <w:keepLines w:val="0"/>
              <w:pageBreakBefore w:val="0"/>
              <w:widowControl w:val="0"/>
              <w:kinsoku/>
              <w:wordWrap w:val="0"/>
              <w:overflowPunct/>
              <w:topLinePunct w:val="0"/>
              <w:autoSpaceDE/>
              <w:autoSpaceDN/>
              <w:bidi w:val="0"/>
              <w:snapToGrid/>
              <w:rPr>
                <w:color w:val="auto"/>
                <w:highlight w:val="none"/>
              </w:rPr>
            </w:pPr>
          </w:p>
        </w:tc>
      </w:tr>
    </w:tbl>
    <w:p w14:paraId="69BCA3A1">
      <w:pPr>
        <w:keepNext w:val="0"/>
        <w:keepLines w:val="0"/>
        <w:pageBreakBefore w:val="0"/>
        <w:widowControl w:val="0"/>
        <w:kinsoku/>
        <w:wordWrap w:val="0"/>
        <w:overflowPunct/>
        <w:topLinePunct w:val="0"/>
        <w:autoSpaceDE/>
        <w:autoSpaceDN/>
        <w:bidi w:val="0"/>
        <w:adjustRightInd/>
        <w:snapToGrid/>
        <w:spacing w:before="0" w:beforeLines="50"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注：1.投标人可按工程进度估算并填写本表。</w:t>
      </w:r>
    </w:p>
    <w:p w14:paraId="36377616">
      <w:pPr>
        <w:rPr>
          <w:highlight w:val="none"/>
        </w:rPr>
      </w:pPr>
      <w:r>
        <w:rPr>
          <w:rFonts w:hint="eastAsia" w:ascii="宋体" w:hAnsi="宋体" w:eastAsia="宋体" w:cs="宋体"/>
          <w:color w:val="auto"/>
          <w:sz w:val="21"/>
          <w:szCs w:val="21"/>
          <w:highlight w:val="none"/>
        </w:rPr>
        <w:t>用款额按所报单价和总额价估算，不包括价格调整和暂列金额、暂估价</w:t>
      </w:r>
      <w:r>
        <w:rPr>
          <w:rFonts w:hint="eastAsia" w:ascii="宋体" w:hAnsi="宋体" w:cs="宋体"/>
          <w:color w:val="auto"/>
          <w:sz w:val="21"/>
          <w:szCs w:val="21"/>
          <w:highlight w:val="none"/>
          <w:lang w:eastAsia="zh-CN"/>
        </w:rPr>
        <w:t>，</w:t>
      </w:r>
      <w:r>
        <w:rPr>
          <w:rFonts w:ascii="宋体" w:hAnsi="宋体" w:eastAsia="宋体" w:cs="宋体"/>
          <w:color w:val="auto"/>
          <w:spacing w:val="1"/>
          <w:sz w:val="21"/>
          <w:szCs w:val="21"/>
          <w:highlight w:val="none"/>
        </w:rPr>
        <w:t>但应考虑</w:t>
      </w:r>
      <w:r>
        <w:rPr>
          <w:rFonts w:ascii="宋体" w:hAnsi="宋体" w:eastAsia="宋体" w:cs="宋体"/>
          <w:color w:val="auto"/>
          <w:spacing w:val="-1"/>
          <w:sz w:val="21"/>
          <w:szCs w:val="21"/>
          <w:highlight w:val="none"/>
        </w:rPr>
        <w:t>签发付款证书后到实际支付的时间间</w:t>
      </w:r>
      <w:r>
        <w:rPr>
          <w:rFonts w:ascii="宋体" w:hAnsi="宋体" w:eastAsia="宋体" w:cs="宋体"/>
          <w:color w:val="auto"/>
          <w:sz w:val="21"/>
          <w:szCs w:val="21"/>
          <w:highlight w:val="none"/>
        </w:rPr>
        <w:t>隔</w:t>
      </w:r>
      <w:r>
        <w:rPr>
          <w:rFonts w:hint="eastAsia" w:ascii="宋体" w:hAnsi="宋体" w:eastAsia="宋体" w:cs="宋体"/>
          <w:color w:val="000000" w:themeColor="text1"/>
          <w:sz w:val="21"/>
          <w:szCs w:val="21"/>
          <w:highlight w:val="none"/>
          <w:lang w:eastAsia="zh-CN"/>
          <w14:textFill>
            <w14:solidFill>
              <w14:schemeClr w14:val="tx1"/>
            </w14:solidFill>
          </w14:textFill>
        </w:rPr>
        <w:t>。</w:t>
      </w:r>
    </w:p>
    <w:sectPr>
      <w:footerReference r:id="rId19" w:type="first"/>
      <w:headerReference r:id="rId17" w:type="default"/>
      <w:footerReference r:id="rId18" w:type="default"/>
      <w:pgSz w:w="11905" w:h="16838"/>
      <w:pgMar w:top="1440" w:right="1417" w:bottom="1440" w:left="1417" w:header="850" w:footer="1106" w:gutter="0"/>
      <w:pgBorders>
        <w:top w:val="none" w:sz="0" w:space="0"/>
        <w:left w:val="none" w:sz="0" w:space="0"/>
        <w:bottom w:val="none" w:sz="0" w:space="0"/>
        <w:right w:val="none" w:sz="0" w:space="0"/>
      </w:pgBorders>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452F1">
    <w:pPr>
      <w:pStyle w:val="18"/>
      <w:tabs>
        <w:tab w:val="center" w:pos="4153"/>
        <w:tab w:val="right"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BC5E8">
    <w:pPr>
      <w:pStyle w:val="18"/>
      <w:tabs>
        <w:tab w:val="center" w:pos="4153"/>
        <w:tab w:val="right"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7CD8">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2D972">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253142">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6253142">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A6FE4">
    <w:pPr>
      <w:pStyle w:val="18"/>
      <w:keepNext w:val="0"/>
      <w:keepLines w:val="0"/>
      <w:pageBreakBefore w:val="0"/>
      <w:widowControl w:val="0"/>
      <w:kinsoku/>
      <w:wordWrap/>
      <w:overflowPunct/>
      <w:topLinePunct w:val="0"/>
      <w:bidi w:val="0"/>
      <w:adjustRightInd/>
      <w:snapToGrid w:val="0"/>
      <w:textAlignment w:val="auto"/>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DF3C4D">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DF3C4D">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25F35">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026AEC">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7026AEC">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52CEE">
    <w:pPr>
      <w:spacing w:before="0" w:after="0" w:line="14" w:lineRule="auto"/>
      <w:rPr>
        <w:sz w:val="2"/>
        <w:szCs w:val="2"/>
      </w:rPr>
    </w:pPr>
    <w:r>
      <w:rPr>
        <w:sz w:val="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3AB553">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73AB553">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517DE">
    <w:pPr>
      <w:pStyle w:val="18"/>
      <w:tabs>
        <w:tab w:val="center" w:pos="4153"/>
        <w:tab w:val="right" w:pos="8306"/>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DADFAF">
                          <w:pPr>
                            <w:pStyle w:val="18"/>
                            <w:tabs>
                              <w:tab w:val="center" w:pos="4153"/>
                              <w:tab w:val="right" w:pos="8306"/>
                            </w:tabs>
                          </w:pPr>
                          <w:r>
                            <w:fldChar w:fldCharType="begin"/>
                          </w:r>
                          <w:r>
                            <w:instrText xml:space="preserve"> PAGE  \* MERGEFORMAT </w:instrText>
                          </w:r>
                          <w:r>
                            <w:fldChar w:fldCharType="separate"/>
                          </w:r>
                          <w:r>
                            <w:t>88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22DADFAF">
                    <w:pPr>
                      <w:pStyle w:val="18"/>
                      <w:tabs>
                        <w:tab w:val="center" w:pos="4153"/>
                        <w:tab w:val="right" w:pos="8306"/>
                      </w:tabs>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ECAF0">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754F49">
                          <w:pPr>
                            <w:pStyle w:val="18"/>
                          </w:pPr>
                          <w:r>
                            <w:fldChar w:fldCharType="begin"/>
                          </w:r>
                          <w:r>
                            <w:instrText xml:space="preserve"> PAGE  \* MERGEFORMAT </w:instrText>
                          </w:r>
                          <w:r>
                            <w:fldChar w:fldCharType="separate"/>
                          </w:r>
                          <w:r>
                            <w:t>134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B754F49">
                    <w:pPr>
                      <w:pStyle w:val="18"/>
                    </w:pPr>
                    <w:r>
                      <w:fldChar w:fldCharType="begin"/>
                    </w:r>
                    <w:r>
                      <w:instrText xml:space="preserve"> PAGE  \* MERGEFORMAT </w:instrText>
                    </w:r>
                    <w:r>
                      <w:fldChar w:fldCharType="separate"/>
                    </w:r>
                    <w:r>
                      <w:t>134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5D2E2">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3ED3CD">
                          <w:pPr>
                            <w:pStyle w:val="18"/>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53ED3CD">
                    <w:pPr>
                      <w:pStyle w:val="18"/>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983E0">
    <w:pPr>
      <w:pStyle w:val="1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ABFEB">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CFB5">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9318">
    <w:pPr>
      <w:pStyle w:val="19"/>
      <w:tabs>
        <w:tab w:val="center" w:pos="4153"/>
        <w:tab w:val="right" w:pos="8306"/>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0E71B">
    <w:pPr>
      <w:pStyle w:val="1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15EF5">
    <w:pPr>
      <w:pStyle w:val="1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E7136">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937E27"/>
    <w:multiLevelType w:val="singleLevel"/>
    <w:tmpl w:val="B6937E27"/>
    <w:lvl w:ilvl="0" w:tentative="0">
      <w:start w:val="1"/>
      <w:numFmt w:val="decimal"/>
      <w:suff w:val="nothing"/>
      <w:lvlText w:val="（%1）"/>
      <w:lvlJc w:val="left"/>
    </w:lvl>
  </w:abstractNum>
  <w:abstractNum w:abstractNumId="1">
    <w:nsid w:val="2027350F"/>
    <w:multiLevelType w:val="multilevel"/>
    <w:tmpl w:val="2027350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219DF0C"/>
    <w:multiLevelType w:val="singleLevel"/>
    <w:tmpl w:val="4219DF0C"/>
    <w:lvl w:ilvl="0" w:tentative="0">
      <w:start w:val="10"/>
      <w:numFmt w:val="decimal"/>
      <w:suff w:val="space"/>
      <w:lvlText w:val="%1."/>
      <w:lvlJc w:val="left"/>
    </w:lvl>
  </w:abstractNum>
  <w:abstractNum w:abstractNumId="3">
    <w:nsid w:val="428D6BFA"/>
    <w:multiLevelType w:val="multilevel"/>
    <w:tmpl w:val="428D6BFA"/>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C11E063"/>
    <w:multiLevelType w:val="singleLevel"/>
    <w:tmpl w:val="4C11E063"/>
    <w:lvl w:ilvl="0" w:tentative="0">
      <w:start w:val="1"/>
      <w:numFmt w:val="lowerLetter"/>
      <w:lvlText w:val="%1."/>
      <w:lvlJc w:val="left"/>
      <w:pPr>
        <w:tabs>
          <w:tab w:val="left" w:pos="312"/>
        </w:tabs>
      </w:pPr>
    </w:lvl>
  </w:abstractNum>
  <w:abstractNum w:abstractNumId="5">
    <w:nsid w:val="5FE815F7"/>
    <w:multiLevelType w:val="multilevel"/>
    <w:tmpl w:val="5FE815F7"/>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2"/>
  </w:num>
  <w:num w:numId="3">
    <w:abstractNumId w:val="0"/>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9D6123"/>
    <w:rsid w:val="002410F1"/>
    <w:rsid w:val="01050F22"/>
    <w:rsid w:val="011802E1"/>
    <w:rsid w:val="02C8355E"/>
    <w:rsid w:val="05D75C71"/>
    <w:rsid w:val="061816F7"/>
    <w:rsid w:val="06B4491D"/>
    <w:rsid w:val="07035758"/>
    <w:rsid w:val="07A56FBB"/>
    <w:rsid w:val="07AB35C8"/>
    <w:rsid w:val="094B23D3"/>
    <w:rsid w:val="0A6F38B0"/>
    <w:rsid w:val="0A9E5F43"/>
    <w:rsid w:val="0B0A13B9"/>
    <w:rsid w:val="0B13787C"/>
    <w:rsid w:val="0CA119A9"/>
    <w:rsid w:val="0CF77927"/>
    <w:rsid w:val="0D173089"/>
    <w:rsid w:val="0D5C6023"/>
    <w:rsid w:val="0DC61A39"/>
    <w:rsid w:val="10774D14"/>
    <w:rsid w:val="10C800EF"/>
    <w:rsid w:val="111655F2"/>
    <w:rsid w:val="11194576"/>
    <w:rsid w:val="12144E0B"/>
    <w:rsid w:val="12751FBA"/>
    <w:rsid w:val="12D76496"/>
    <w:rsid w:val="13516249"/>
    <w:rsid w:val="13D725BC"/>
    <w:rsid w:val="14836DB7"/>
    <w:rsid w:val="14AC07E6"/>
    <w:rsid w:val="17A6096F"/>
    <w:rsid w:val="181F06C4"/>
    <w:rsid w:val="18280CFE"/>
    <w:rsid w:val="1A1E16A9"/>
    <w:rsid w:val="1B730995"/>
    <w:rsid w:val="1C3C12E2"/>
    <w:rsid w:val="1CDF7AFE"/>
    <w:rsid w:val="1DE5415D"/>
    <w:rsid w:val="1E5B441F"/>
    <w:rsid w:val="1F2C6D61"/>
    <w:rsid w:val="1F491B80"/>
    <w:rsid w:val="203942EC"/>
    <w:rsid w:val="20B01709"/>
    <w:rsid w:val="20C017DD"/>
    <w:rsid w:val="21DE311D"/>
    <w:rsid w:val="240E05F5"/>
    <w:rsid w:val="24842F3A"/>
    <w:rsid w:val="24D9609E"/>
    <w:rsid w:val="257167FE"/>
    <w:rsid w:val="26AF70B6"/>
    <w:rsid w:val="272730F1"/>
    <w:rsid w:val="27C60B5C"/>
    <w:rsid w:val="2801645C"/>
    <w:rsid w:val="28895E5D"/>
    <w:rsid w:val="2A4D7372"/>
    <w:rsid w:val="2A853D95"/>
    <w:rsid w:val="2ABD5256"/>
    <w:rsid w:val="2B5C71EC"/>
    <w:rsid w:val="2BB44E57"/>
    <w:rsid w:val="2DB86325"/>
    <w:rsid w:val="2DCC2C44"/>
    <w:rsid w:val="2F934574"/>
    <w:rsid w:val="2F944FDE"/>
    <w:rsid w:val="303531EA"/>
    <w:rsid w:val="30567424"/>
    <w:rsid w:val="30983075"/>
    <w:rsid w:val="33AA5A5A"/>
    <w:rsid w:val="33C57D06"/>
    <w:rsid w:val="33C94713"/>
    <w:rsid w:val="353A0493"/>
    <w:rsid w:val="36C1469B"/>
    <w:rsid w:val="37D3697D"/>
    <w:rsid w:val="389F7C3A"/>
    <w:rsid w:val="39AB195F"/>
    <w:rsid w:val="39C6055C"/>
    <w:rsid w:val="3A345DF9"/>
    <w:rsid w:val="3ABE6560"/>
    <w:rsid w:val="3C5B6911"/>
    <w:rsid w:val="3C656CE0"/>
    <w:rsid w:val="3E824FF1"/>
    <w:rsid w:val="3F021F8C"/>
    <w:rsid w:val="3F9B06C8"/>
    <w:rsid w:val="421502BE"/>
    <w:rsid w:val="43CE646B"/>
    <w:rsid w:val="4450382F"/>
    <w:rsid w:val="446E7D31"/>
    <w:rsid w:val="44E71EB4"/>
    <w:rsid w:val="45091C30"/>
    <w:rsid w:val="460C1A2C"/>
    <w:rsid w:val="46965745"/>
    <w:rsid w:val="47474406"/>
    <w:rsid w:val="483B2A7C"/>
    <w:rsid w:val="488021D7"/>
    <w:rsid w:val="4A653DFE"/>
    <w:rsid w:val="4A780875"/>
    <w:rsid w:val="4D1E35BD"/>
    <w:rsid w:val="4E430836"/>
    <w:rsid w:val="51271DBC"/>
    <w:rsid w:val="529D2BFB"/>
    <w:rsid w:val="52D81AC8"/>
    <w:rsid w:val="531D22BF"/>
    <w:rsid w:val="54C16B7B"/>
    <w:rsid w:val="553B62FA"/>
    <w:rsid w:val="554A7E27"/>
    <w:rsid w:val="55D6293D"/>
    <w:rsid w:val="55EC2E22"/>
    <w:rsid w:val="55FB7373"/>
    <w:rsid w:val="560F6402"/>
    <w:rsid w:val="562D5C92"/>
    <w:rsid w:val="564F3020"/>
    <w:rsid w:val="597F02A1"/>
    <w:rsid w:val="5A74177B"/>
    <w:rsid w:val="5C16520E"/>
    <w:rsid w:val="5C3929A3"/>
    <w:rsid w:val="5D113FA6"/>
    <w:rsid w:val="5EEC59B8"/>
    <w:rsid w:val="5F0A6AC7"/>
    <w:rsid w:val="6028345A"/>
    <w:rsid w:val="60700B70"/>
    <w:rsid w:val="60816F21"/>
    <w:rsid w:val="615B3AF4"/>
    <w:rsid w:val="62792A38"/>
    <w:rsid w:val="62970423"/>
    <w:rsid w:val="62E11FD8"/>
    <w:rsid w:val="63582DE7"/>
    <w:rsid w:val="6AF91C7B"/>
    <w:rsid w:val="6B0925F7"/>
    <w:rsid w:val="6BC92E1D"/>
    <w:rsid w:val="6C69456F"/>
    <w:rsid w:val="6CF5792C"/>
    <w:rsid w:val="6DF1172F"/>
    <w:rsid w:val="6F245D85"/>
    <w:rsid w:val="6FA47BE8"/>
    <w:rsid w:val="70A5064C"/>
    <w:rsid w:val="70BA3C5B"/>
    <w:rsid w:val="719974E5"/>
    <w:rsid w:val="722717C4"/>
    <w:rsid w:val="732A747F"/>
    <w:rsid w:val="73552361"/>
    <w:rsid w:val="73660A62"/>
    <w:rsid w:val="73875225"/>
    <w:rsid w:val="73D404BC"/>
    <w:rsid w:val="74065409"/>
    <w:rsid w:val="746918AE"/>
    <w:rsid w:val="74B03CF2"/>
    <w:rsid w:val="74C42253"/>
    <w:rsid w:val="74F57957"/>
    <w:rsid w:val="75F95225"/>
    <w:rsid w:val="789D6123"/>
    <w:rsid w:val="79A76714"/>
    <w:rsid w:val="7AAB7433"/>
    <w:rsid w:val="7B2A5E81"/>
    <w:rsid w:val="7BE6587E"/>
    <w:rsid w:val="7BE73F1B"/>
    <w:rsid w:val="7D032E2D"/>
    <w:rsid w:val="7DE77FE6"/>
    <w:rsid w:val="7E679F14"/>
    <w:rsid w:val="7EDE76AE"/>
    <w:rsid w:val="7FBB59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1"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99"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line="576" w:lineRule="auto"/>
      <w:outlineLvl w:val="0"/>
    </w:pPr>
    <w:rPr>
      <w:b/>
      <w:kern w:val="44"/>
      <w:sz w:val="44"/>
      <w:szCs w:val="44"/>
    </w:rPr>
  </w:style>
  <w:style w:type="paragraph" w:styleId="3">
    <w:name w:val="heading 2"/>
    <w:basedOn w:val="1"/>
    <w:next w:val="1"/>
    <w:qFormat/>
    <w:uiPriority w:val="99"/>
    <w:pPr>
      <w:keepNext/>
      <w:spacing w:before="100" w:beforeAutospacing="1" w:after="100" w:afterAutospacing="1" w:line="480" w:lineRule="auto"/>
      <w:ind w:left="1548" w:hanging="1128"/>
      <w:outlineLvl w:val="1"/>
    </w:pPr>
    <w:rPr>
      <w:rFonts w:ascii="黑体" w:hAnsi="宋体" w:eastAsia="黑体"/>
      <w:color w:val="000000"/>
      <w:sz w:val="32"/>
      <w:szCs w:val="32"/>
    </w:rPr>
  </w:style>
  <w:style w:type="paragraph" w:styleId="4">
    <w:name w:val="heading 3"/>
    <w:basedOn w:val="1"/>
    <w:next w:val="1"/>
    <w:qFormat/>
    <w:uiPriority w:val="99"/>
    <w:pPr>
      <w:keepNext/>
      <w:spacing w:before="100" w:beforeAutospacing="1" w:after="100" w:afterAutospacing="1"/>
      <w:ind w:left="2940" w:hanging="420"/>
      <w:outlineLvl w:val="2"/>
    </w:pPr>
    <w:rPr>
      <w:rFonts w:eastAsia="黑体"/>
      <w:b/>
      <w:bCs/>
      <w:sz w:val="30"/>
      <w:szCs w:val="30"/>
    </w:rPr>
  </w:style>
  <w:style w:type="paragraph" w:styleId="5">
    <w:name w:val="heading 4"/>
    <w:basedOn w:val="1"/>
    <w:next w:val="1"/>
    <w:qFormat/>
    <w:uiPriority w:val="1"/>
    <w:pPr>
      <w:spacing w:before="4"/>
      <w:ind w:left="1668"/>
      <w:outlineLvl w:val="4"/>
    </w:pPr>
    <w:rPr>
      <w:rFonts w:ascii="黑体" w:hAnsi="黑体" w:eastAsia="黑体"/>
      <w:sz w:val="31"/>
      <w:szCs w:val="31"/>
      <w:u w:val="single"/>
    </w:rPr>
  </w:style>
  <w:style w:type="paragraph" w:styleId="6">
    <w:name w:val="heading 5"/>
    <w:basedOn w:val="1"/>
    <w:next w:val="1"/>
    <w:qFormat/>
    <w:uiPriority w:val="1"/>
    <w:pPr>
      <w:spacing w:before="7"/>
      <w:outlineLvl w:val="5"/>
    </w:pPr>
    <w:rPr>
      <w:rFonts w:ascii="黑体" w:hAnsi="黑体" w:eastAsia="黑体"/>
      <w:sz w:val="30"/>
      <w:szCs w:val="30"/>
    </w:rPr>
  </w:style>
  <w:style w:type="character" w:default="1" w:styleId="28">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Salutation"/>
    <w:basedOn w:val="1"/>
    <w:next w:val="1"/>
    <w:unhideWhenUsed/>
    <w:qFormat/>
    <w:uiPriority w:val="99"/>
    <w:rPr>
      <w:rFonts w:ascii="宋体"/>
      <w:sz w:val="24"/>
      <w:szCs w:val="24"/>
    </w:rPr>
  </w:style>
  <w:style w:type="paragraph" w:styleId="9">
    <w:name w:val="Body Text"/>
    <w:basedOn w:val="1"/>
    <w:next w:val="10"/>
    <w:unhideWhenUsed/>
    <w:qFormat/>
    <w:uiPriority w:val="99"/>
    <w:pPr>
      <w:spacing w:line="520" w:lineRule="exact"/>
    </w:pPr>
    <w:rPr>
      <w:rFonts w:ascii="仿宋_GB2312" w:hAnsi="宋体"/>
      <w:color w:val="008000"/>
      <w:sz w:val="24"/>
      <w:szCs w:val="24"/>
    </w:rPr>
  </w:style>
  <w:style w:type="paragraph" w:customStyle="1" w:styleId="10">
    <w:name w:val="style4"/>
    <w:basedOn w:val="11"/>
    <w:next w:val="13"/>
    <w:qFormat/>
    <w:uiPriority w:val="0"/>
    <w:pPr>
      <w:spacing w:before="280" w:after="280"/>
      <w:jc w:val="both"/>
    </w:pPr>
    <w:rPr>
      <w:rFonts w:ascii="宋体"/>
      <w:kern w:val="2"/>
      <w:sz w:val="18"/>
      <w:lang w:val="en-US" w:eastAsia="zh-CN" w:bidi="ar-SA"/>
    </w:rPr>
  </w:style>
  <w:style w:type="paragraph" w:customStyle="1" w:styleId="11">
    <w:name w:val="Normal"/>
    <w:next w:val="12"/>
    <w:qFormat/>
    <w:uiPriority w:val="0"/>
    <w:pPr>
      <w:widowControl w:val="0"/>
      <w:jc w:val="both"/>
    </w:pPr>
    <w:rPr>
      <w:rFonts w:ascii="仿宋_GB2312" w:hAnsi="仿宋_GB2312" w:eastAsia="仿宋_GB2312" w:cs="??"/>
      <w:kern w:val="2"/>
      <w:sz w:val="21"/>
      <w:szCs w:val="24"/>
      <w:lang w:val="en-US" w:eastAsia="zh-CN" w:bidi="ar-SA"/>
    </w:rPr>
  </w:style>
  <w:style w:type="paragraph" w:styleId="12">
    <w:name w:val="Body Text First Indent"/>
    <w:basedOn w:val="9"/>
    <w:next w:val="1"/>
    <w:unhideWhenUsed/>
    <w:qFormat/>
    <w:uiPriority w:val="99"/>
    <w:pPr>
      <w:spacing w:line="360" w:lineRule="auto"/>
      <w:ind w:firstLine="420" w:firstLineChars="100"/>
    </w:pPr>
  </w:style>
  <w:style w:type="paragraph" w:customStyle="1" w:styleId="13">
    <w:name w:val="2"/>
    <w:next w:val="1"/>
    <w:qFormat/>
    <w:uiPriority w:val="0"/>
    <w:pPr>
      <w:widowControl w:val="0"/>
      <w:jc w:val="both"/>
    </w:pPr>
    <w:rPr>
      <w:rFonts w:ascii="Calibri" w:hAnsi="Calibri" w:eastAsia="宋体" w:cs="Times New Roman"/>
      <w:sz w:val="21"/>
      <w:szCs w:val="22"/>
      <w:lang w:val="en-US" w:eastAsia="zh-CN" w:bidi="ar-SA"/>
    </w:rPr>
  </w:style>
  <w:style w:type="paragraph" w:styleId="14">
    <w:name w:val="Body Text Indent"/>
    <w:basedOn w:val="1"/>
    <w:next w:val="15"/>
    <w:unhideWhenUsed/>
    <w:qFormat/>
    <w:uiPriority w:val="99"/>
    <w:pPr>
      <w:spacing w:line="360" w:lineRule="auto"/>
      <w:ind w:firstLine="482" w:firstLineChars="100"/>
      <w:jc w:val="center"/>
    </w:pPr>
    <w:rPr>
      <w:rFonts w:ascii="黑体" w:eastAsia="黑体"/>
      <w:b/>
      <w:sz w:val="48"/>
      <w:szCs w:val="48"/>
    </w:rPr>
  </w:style>
  <w:style w:type="paragraph" w:styleId="15">
    <w:name w:val="envelope return"/>
    <w:basedOn w:val="1"/>
    <w:unhideWhenUsed/>
    <w:qFormat/>
    <w:uiPriority w:val="99"/>
    <w:pPr>
      <w:snapToGrid w:val="0"/>
    </w:pPr>
    <w:rPr>
      <w:rFonts w:ascii="Arial" w:hAnsi="Arial"/>
    </w:rPr>
  </w:style>
  <w:style w:type="paragraph" w:styleId="16">
    <w:name w:val="Plain Text"/>
    <w:basedOn w:val="1"/>
    <w:next w:val="9"/>
    <w:unhideWhenUsed/>
    <w:qFormat/>
    <w:uiPriority w:val="99"/>
    <w:rPr>
      <w:rFonts w:ascii="宋体" w:hAnsi="Courier New"/>
    </w:rPr>
  </w:style>
  <w:style w:type="paragraph" w:styleId="17">
    <w:name w:val="Body Text Indent 2"/>
    <w:basedOn w:val="1"/>
    <w:qFormat/>
    <w:uiPriority w:val="0"/>
    <w:pPr>
      <w:spacing w:after="120" w:line="480" w:lineRule="auto"/>
      <w:ind w:left="200" w:leftChars="200"/>
    </w:pPr>
  </w:style>
  <w:style w:type="paragraph" w:styleId="18">
    <w:name w:val="footer"/>
    <w:basedOn w:val="1"/>
    <w:unhideWhenUsed/>
    <w:qFormat/>
    <w:uiPriority w:val="99"/>
    <w:pPr>
      <w:snapToGrid w:val="0"/>
      <w:jc w:val="left"/>
    </w:pPr>
    <w:rPr>
      <w:sz w:val="18"/>
      <w:szCs w:val="18"/>
    </w:rPr>
  </w:style>
  <w:style w:type="paragraph" w:styleId="19">
    <w:name w:val="header"/>
    <w:basedOn w:val="1"/>
    <w:unhideWhenUsed/>
    <w:qFormat/>
    <w:uiPriority w:val="99"/>
    <w:pPr>
      <w:snapToGrid w:val="0"/>
    </w:pPr>
    <w:rPr>
      <w:sz w:val="18"/>
      <w:szCs w:val="18"/>
    </w:rPr>
  </w:style>
  <w:style w:type="paragraph" w:styleId="20">
    <w:name w:val="toc 1"/>
    <w:basedOn w:val="1"/>
    <w:next w:val="1"/>
    <w:unhideWhenUsed/>
    <w:qFormat/>
    <w:uiPriority w:val="99"/>
    <w:pPr>
      <w:spacing w:line="360" w:lineRule="auto"/>
    </w:pPr>
    <w:rPr>
      <w:rFonts w:ascii="黑体" w:eastAsia="黑体"/>
      <w:b/>
      <w:bCs/>
      <w:sz w:val="24"/>
      <w:szCs w:val="24"/>
    </w:rPr>
  </w:style>
  <w:style w:type="paragraph" w:styleId="21">
    <w:name w:val="footnote text"/>
    <w:basedOn w:val="1"/>
    <w:semiHidden/>
    <w:qFormat/>
    <w:uiPriority w:val="0"/>
    <w:pPr>
      <w:snapToGrid w:val="0"/>
      <w:jc w:val="left"/>
    </w:pPr>
    <w:rPr>
      <w:sz w:val="18"/>
      <w:szCs w:val="18"/>
    </w:rPr>
  </w:style>
  <w:style w:type="paragraph" w:styleId="22">
    <w:name w:val="Body Text 2"/>
    <w:basedOn w:val="1"/>
    <w:next w:val="9"/>
    <w:qFormat/>
    <w:uiPriority w:val="0"/>
    <w:pPr>
      <w:spacing w:line="500" w:lineRule="exact"/>
      <w:jc w:val="center"/>
    </w:pPr>
    <w:rPr>
      <w:rFonts w:hAnsi="宋体" w:eastAsia="方正小标宋_GBK"/>
      <w:spacing w:val="-20"/>
      <w:sz w:val="44"/>
    </w:rPr>
  </w:style>
  <w:style w:type="paragraph" w:styleId="23">
    <w:name w:val="Normal (Web)"/>
    <w:basedOn w:val="1"/>
    <w:unhideWhenUsed/>
    <w:qFormat/>
    <w:uiPriority w:val="99"/>
    <w:pPr>
      <w:jc w:val="left"/>
    </w:pPr>
    <w:rPr>
      <w:kern w:val="0"/>
      <w:sz w:val="24"/>
      <w:szCs w:val="24"/>
    </w:rPr>
  </w:style>
  <w:style w:type="paragraph" w:styleId="24">
    <w:name w:val="Title"/>
    <w:basedOn w:val="1"/>
    <w:next w:val="1"/>
    <w:qFormat/>
    <w:uiPriority w:val="99"/>
    <w:pPr>
      <w:jc w:val="center"/>
      <w:outlineLvl w:val="0"/>
    </w:pPr>
    <w:rPr>
      <w:rFonts w:ascii="Cambria" w:hAnsi="Cambria"/>
      <w:b/>
      <w:bCs/>
      <w:sz w:val="32"/>
      <w:szCs w:val="32"/>
    </w:rPr>
  </w:style>
  <w:style w:type="paragraph" w:styleId="25">
    <w:name w:val="Body Text First Indent 2"/>
    <w:basedOn w:val="14"/>
    <w:next w:val="26"/>
    <w:unhideWhenUsed/>
    <w:qFormat/>
    <w:uiPriority w:val="99"/>
    <w:pPr>
      <w:ind w:firstLine="420" w:firstLineChars="200"/>
    </w:pPr>
    <w:rPr>
      <w:sz w:val="21"/>
    </w:rPr>
  </w:style>
  <w:style w:type="paragraph" w:customStyle="1" w:styleId="26">
    <w:name w:val="样式 正文首行缩进 2 + Arial"/>
    <w:basedOn w:val="1"/>
    <w:next w:val="1"/>
    <w:qFormat/>
    <w:uiPriority w:val="0"/>
    <w:pPr>
      <w:spacing w:after="120" w:line="320" w:lineRule="atLeast"/>
      <w:ind w:firstLine="200" w:firstLineChars="200"/>
    </w:pPr>
    <w:rPr>
      <w:rFonts w:ascii="Arial" w:hAnsi="Arial"/>
      <w:kern w:val="0"/>
    </w:rPr>
  </w:style>
  <w:style w:type="character" w:styleId="29">
    <w:name w:val="Hyperlink"/>
    <w:basedOn w:val="28"/>
    <w:qFormat/>
    <w:uiPriority w:val="0"/>
    <w:rPr>
      <w:rFonts w:cs="Times New Roman"/>
      <w:color w:val="0000FF"/>
      <w:u w:val="single"/>
    </w:rPr>
  </w:style>
  <w:style w:type="paragraph" w:customStyle="1" w:styleId="30">
    <w:name w:val="正文文本8"/>
    <w:basedOn w:val="1"/>
    <w:qFormat/>
    <w:uiPriority w:val="0"/>
    <w:pPr>
      <w:shd w:val="clear" w:color="auto" w:fill="FFFFFF"/>
      <w:spacing w:line="398" w:lineRule="exact"/>
      <w:ind w:hanging="3860"/>
      <w:jc w:val="distribute"/>
    </w:pPr>
    <w:rPr>
      <w:rFonts w:ascii="MingLiU" w:hAnsi="MingLiU" w:eastAsia="MingLiU" w:cs="宋体"/>
      <w:sz w:val="22"/>
      <w:szCs w:val="22"/>
    </w:rPr>
  </w:style>
  <w:style w:type="paragraph" w:customStyle="1" w:styleId="31">
    <w:name w:val="p0"/>
    <w:basedOn w:val="1"/>
    <w:qFormat/>
    <w:uiPriority w:val="0"/>
    <w:pPr>
      <w:widowControl/>
      <w:jc w:val="left"/>
    </w:pPr>
    <w:rPr>
      <w:rFonts w:ascii="宋体" w:hAnsi="宋体" w:cs="宋体"/>
      <w:kern w:val="0"/>
      <w:sz w:val="24"/>
      <w:szCs w:val="24"/>
    </w:rPr>
  </w:style>
  <w:style w:type="paragraph" w:customStyle="1" w:styleId="32">
    <w:name w:val="Default"/>
    <w:basedOn w:val="16"/>
    <w:next w:val="33"/>
    <w:qFormat/>
    <w:uiPriority w:val="0"/>
    <w:pPr>
      <w:autoSpaceDE w:val="0"/>
      <w:autoSpaceDN w:val="0"/>
      <w:adjustRightInd w:val="0"/>
      <w:jc w:val="left"/>
    </w:pPr>
    <w:rPr>
      <w:rFonts w:cs="宋体"/>
      <w:color w:val="000000"/>
      <w:kern w:val="0"/>
      <w:sz w:val="24"/>
      <w:szCs w:val="24"/>
    </w:rPr>
  </w:style>
  <w:style w:type="paragraph" w:customStyle="1" w:styleId="33">
    <w:name w:val="大标题"/>
    <w:basedOn w:val="1"/>
    <w:next w:val="25"/>
    <w:qFormat/>
    <w:uiPriority w:val="0"/>
    <w:pPr>
      <w:jc w:val="center"/>
    </w:pPr>
    <w:rPr>
      <w:rFonts w:ascii="Arial" w:hAnsi="Arial"/>
      <w:b/>
      <w:sz w:val="28"/>
    </w:rPr>
  </w:style>
  <w:style w:type="paragraph" w:customStyle="1" w:styleId="34">
    <w:name w:val="样式 标题 2 + Times New Roman 四号 非加粗 段前: 5 磅 段后: 0 磅 行距: 固定值 20..."/>
    <w:basedOn w:val="3"/>
    <w:qFormat/>
    <w:uiPriority w:val="0"/>
    <w:pPr>
      <w:keepLines/>
      <w:spacing w:before="0" w:beforeAutospacing="0" w:after="0" w:afterAutospacing="0" w:line="400" w:lineRule="exact"/>
      <w:ind w:left="0" w:firstLine="0"/>
    </w:pPr>
    <w:rPr>
      <w:rFonts w:ascii="Times New Roman" w:hAnsi="Times New Roman" w:cs="宋体"/>
      <w:color w:val="auto"/>
      <w:sz w:val="28"/>
      <w:szCs w:val="28"/>
    </w:rPr>
  </w:style>
  <w:style w:type="paragraph" w:customStyle="1" w:styleId="35">
    <w:name w:val="样式 标题 3 + (中文) 黑体 小四 非加粗 段前: 7.8 磅 段后: 0 磅 行距: 固定值 20 磅"/>
    <w:basedOn w:val="4"/>
    <w:qFormat/>
    <w:uiPriority w:val="0"/>
    <w:pPr>
      <w:keepLines/>
      <w:spacing w:before="0" w:beforeAutospacing="0" w:after="0" w:afterAutospacing="0" w:line="400" w:lineRule="exact"/>
      <w:ind w:left="0" w:firstLine="0"/>
    </w:pPr>
    <w:rPr>
      <w:rFonts w:cs="宋体"/>
      <w:b w:val="0"/>
      <w:bCs w:val="0"/>
      <w:sz w:val="24"/>
      <w:szCs w:val="24"/>
    </w:rPr>
  </w:style>
  <w:style w:type="paragraph" w:customStyle="1" w:styleId="36">
    <w:name w:val="Char1 Char Char Char"/>
    <w:basedOn w:val="1"/>
    <w:qFormat/>
    <w:uiPriority w:val="0"/>
  </w:style>
  <w:style w:type="paragraph" w:customStyle="1" w:styleId="37">
    <w:name w:val="Table Paragraph"/>
    <w:basedOn w:val="1"/>
    <w:qFormat/>
    <w:uiPriority w:val="1"/>
  </w:style>
  <w:style w:type="character" w:customStyle="1" w:styleId="38">
    <w:name w:val="17"/>
    <w:basedOn w:val="28"/>
    <w:qFormat/>
    <w:uiPriority w:val="0"/>
    <w:rPr>
      <w:rFonts w:hint="default" w:ascii="Times New Roman" w:hAnsi="Times New Roman" w:eastAsia="黑体" w:cs="Times New Roman"/>
      <w:b/>
      <w:bCs/>
      <w:sz w:val="30"/>
      <w:szCs w:val="30"/>
    </w:rPr>
  </w:style>
  <w:style w:type="paragraph" w:customStyle="1" w:styleId="39">
    <w:name w:val="xl54"/>
    <w:basedOn w:val="1"/>
    <w:qFormat/>
    <w:uiPriority w:val="0"/>
    <w:pPr>
      <w:widowControl/>
      <w:spacing w:before="100" w:beforeAutospacing="1" w:after="100" w:afterAutospacing="1"/>
      <w:jc w:val="left"/>
      <w:textAlignment w:val="center"/>
    </w:pPr>
    <w:rPr>
      <w:rFonts w:ascii="仿宋_GB2312" w:hAnsi="Arial Unicode MS"/>
      <w:kern w:val="0"/>
      <w:sz w:val="18"/>
      <w:szCs w:val="18"/>
    </w:rPr>
  </w:style>
  <w:style w:type="paragraph" w:customStyle="1" w:styleId="40">
    <w:name w:val=" Char1 Char Char Char"/>
    <w:basedOn w:val="1"/>
    <w:qFormat/>
    <w:uiPriority w:val="0"/>
    <w:rPr>
      <w:szCs w:val="20"/>
    </w:rPr>
  </w:style>
  <w:style w:type="table" w:customStyle="1" w:styleId="4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139</Pages>
  <Words>23378</Words>
  <Characters>25784</Characters>
  <Lines>0</Lines>
  <Paragraphs>0</Paragraphs>
  <TotalTime>4</TotalTime>
  <ScaleCrop>false</ScaleCrop>
  <LinksUpToDate>false</LinksUpToDate>
  <CharactersWithSpaces>26519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2026-05-13T16:56:00Z</dcterms:created>
  <dc:creator>NTKO</dc:creator>
  <cp:lastModifiedBy>Administrator</cp:lastModifiedBy>
  <cp:lastPrinted>2026-07-30T00:27:00Z</cp:lastPrinted>
  <dcterms:modified xsi:type="dcterms:W3CDTF">2026-08-10T01:45:05Z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A507E78F53FA415B9FDC37F9C6AC9324_13</vt:lpwstr>
  </property>
  <property fmtid="{D5CDD505-2E9C-101B-9397-08002B2CF9AE}" pid="4" name="KSOTemplateDocerSaveRecord">
    <vt:lpwstr>eyJoZGlkIjoiODI1YjIyODM5MTc1NzhmYWFlMzc3OWQzODJlNjEzNWQiLCJ1c2VySWQiOiIxMTUzNzc4NDQ4In0=</vt:lpwstr>
  </property>
</Properties>
</file>