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97B7FD">
      <w:pPr>
        <w:spacing w:line="360" w:lineRule="auto"/>
        <w:ind w:firstLine="261" w:firstLineChars="50"/>
        <w:jc w:val="center"/>
        <w:rPr>
          <w:rFonts w:hint="eastAsia" w:ascii="宋体" w:hAnsi="宋体" w:eastAsia="宋体" w:cs="宋体"/>
          <w:b/>
          <w:color w:val="auto"/>
          <w:sz w:val="84"/>
          <w:szCs w:val="84"/>
          <w:highlight w:val="none"/>
        </w:rPr>
      </w:pPr>
      <w:r>
        <w:rPr>
          <w:rFonts w:hint="eastAsia" w:ascii="宋体" w:hAnsi="宋体" w:cs="宋体"/>
          <w:b/>
          <w:color w:val="auto"/>
          <w:sz w:val="52"/>
          <w:szCs w:val="52"/>
          <w:highlight w:val="none"/>
          <w:lang w:eastAsia="zh-CN"/>
        </w:rPr>
        <w:t>灵宝市自然资源和规划局灵宝市耕地保护和国土绿化空间专项规划项目</w:t>
      </w:r>
    </w:p>
    <w:p w14:paraId="2D3BF3B0">
      <w:pPr>
        <w:spacing w:line="360" w:lineRule="auto"/>
        <w:ind w:firstLine="422" w:firstLineChars="50"/>
        <w:jc w:val="center"/>
        <w:rPr>
          <w:rFonts w:hint="eastAsia" w:ascii="宋体" w:hAnsi="宋体" w:eastAsia="宋体" w:cs="宋体"/>
          <w:b/>
          <w:color w:val="auto"/>
          <w:sz w:val="84"/>
          <w:szCs w:val="84"/>
          <w:highlight w:val="none"/>
        </w:rPr>
      </w:pPr>
    </w:p>
    <w:p w14:paraId="09868FE6">
      <w:pPr>
        <w:spacing w:line="360" w:lineRule="auto"/>
        <w:ind w:firstLine="422" w:firstLineChars="50"/>
        <w:jc w:val="center"/>
        <w:rPr>
          <w:rFonts w:hint="eastAsia" w:ascii="宋体" w:hAnsi="宋体" w:eastAsia="宋体" w:cs="宋体"/>
          <w:b/>
          <w:color w:val="auto"/>
          <w:sz w:val="84"/>
          <w:szCs w:val="84"/>
          <w:highlight w:val="none"/>
        </w:rPr>
      </w:pPr>
      <w:r>
        <w:rPr>
          <w:rFonts w:hint="eastAsia" w:ascii="宋体" w:hAnsi="宋体" w:eastAsia="宋体" w:cs="宋体"/>
          <w:b/>
          <w:color w:val="auto"/>
          <w:sz w:val="84"/>
          <w:szCs w:val="84"/>
          <w:highlight w:val="none"/>
        </w:rPr>
        <w:t>竞争性磋商文件</w:t>
      </w:r>
    </w:p>
    <w:p w14:paraId="1B24BA1F">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2" w:lineRule="atLeast"/>
        <w:ind w:right="0"/>
        <w:jc w:val="center"/>
        <w:rPr>
          <w:rFonts w:hint="eastAsia" w:ascii="宋体" w:hAnsi="宋体" w:eastAsia="宋体" w:cs="宋体"/>
          <w:b/>
          <w:color w:val="auto"/>
          <w:sz w:val="28"/>
          <w:szCs w:val="28"/>
          <w:highlight w:val="none"/>
        </w:rPr>
      </w:pPr>
    </w:p>
    <w:p w14:paraId="1EE24E88">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2" w:lineRule="atLeast"/>
        <w:ind w:right="0"/>
        <w:jc w:val="center"/>
        <w:rPr>
          <w:rFonts w:hint="eastAsia" w:ascii="微软雅黑" w:hAnsi="微软雅黑" w:eastAsia="宋体" w:cs="微软雅黑"/>
          <w:color w:val="auto"/>
          <w:sz w:val="16"/>
          <w:szCs w:val="16"/>
          <w:highlight w:val="none"/>
          <w:lang w:val="en-US" w:eastAsia="zh-CN"/>
        </w:rPr>
      </w:pPr>
      <w:r>
        <w:rPr>
          <w:rFonts w:hint="eastAsia" w:ascii="宋体" w:hAnsi="宋体" w:eastAsia="宋体" w:cs="宋体"/>
          <w:b/>
          <w:color w:val="auto"/>
          <w:sz w:val="28"/>
          <w:szCs w:val="28"/>
          <w:highlight w:val="none"/>
        </w:rPr>
        <w:t>项目编号：</w:t>
      </w:r>
      <w:r>
        <w:rPr>
          <w:rFonts w:hint="eastAsia" w:ascii="宋体" w:hAnsi="宋体" w:cs="宋体"/>
          <w:b/>
          <w:color w:val="auto"/>
          <w:sz w:val="28"/>
          <w:szCs w:val="28"/>
          <w:highlight w:val="none"/>
          <w:lang w:eastAsia="zh-CN"/>
        </w:rPr>
        <w:t>LBGZ[2026]060-ZC050、灵宝竞磋采购-2026-32</w:t>
      </w:r>
    </w:p>
    <w:p w14:paraId="52E13796">
      <w:pPr>
        <w:widowControl/>
        <w:spacing w:line="560" w:lineRule="exact"/>
        <w:jc w:val="left"/>
        <w:rPr>
          <w:rFonts w:hint="eastAsia" w:ascii="宋体" w:hAnsi="宋体" w:eastAsia="宋体" w:cs="宋体"/>
          <w:b/>
          <w:color w:val="auto"/>
          <w:sz w:val="28"/>
          <w:szCs w:val="28"/>
          <w:highlight w:val="none"/>
        </w:rPr>
      </w:pPr>
    </w:p>
    <w:p w14:paraId="676B7C89">
      <w:pPr>
        <w:spacing w:line="360" w:lineRule="auto"/>
        <w:jc w:val="both"/>
        <w:rPr>
          <w:rFonts w:hint="eastAsia" w:ascii="宋体" w:hAnsi="宋体" w:eastAsia="宋体" w:cs="宋体"/>
          <w:b/>
          <w:color w:val="auto"/>
          <w:sz w:val="28"/>
          <w:szCs w:val="28"/>
          <w:highlight w:val="none"/>
        </w:rPr>
      </w:pPr>
    </w:p>
    <w:p w14:paraId="47C83AAD">
      <w:pPr>
        <w:spacing w:line="360" w:lineRule="auto"/>
        <w:jc w:val="both"/>
        <w:rPr>
          <w:rFonts w:hint="eastAsia" w:ascii="宋体" w:hAnsi="宋体" w:eastAsia="宋体" w:cs="宋体"/>
          <w:b/>
          <w:color w:val="auto"/>
          <w:sz w:val="28"/>
          <w:szCs w:val="28"/>
          <w:highlight w:val="none"/>
        </w:rPr>
      </w:pPr>
    </w:p>
    <w:p w14:paraId="3A0027D6">
      <w:pPr>
        <w:widowControl/>
        <w:jc w:val="left"/>
        <w:rPr>
          <w:rFonts w:hint="eastAsia" w:ascii="宋体" w:hAnsi="宋体" w:eastAsia="宋体" w:cs="宋体"/>
          <w:color w:val="auto"/>
          <w:highlight w:val="none"/>
        </w:rPr>
      </w:pPr>
    </w:p>
    <w:p w14:paraId="000039D0">
      <w:pPr>
        <w:widowControl/>
        <w:jc w:val="left"/>
        <w:rPr>
          <w:rFonts w:hint="eastAsia" w:ascii="宋体" w:hAnsi="宋体" w:eastAsia="宋体" w:cs="宋体"/>
          <w:color w:val="auto"/>
          <w:highlight w:val="none"/>
        </w:rPr>
      </w:pPr>
    </w:p>
    <w:p w14:paraId="744DC268">
      <w:pPr>
        <w:widowControl/>
        <w:jc w:val="left"/>
        <w:rPr>
          <w:rFonts w:hint="eastAsia" w:ascii="宋体" w:hAnsi="宋体" w:eastAsia="宋体" w:cs="宋体"/>
          <w:color w:val="auto"/>
          <w:highlight w:val="none"/>
        </w:rPr>
      </w:pPr>
    </w:p>
    <w:p w14:paraId="6C428B06">
      <w:pPr>
        <w:widowControl/>
        <w:jc w:val="left"/>
        <w:rPr>
          <w:rFonts w:hint="eastAsia" w:ascii="宋体" w:hAnsi="宋体" w:eastAsia="宋体" w:cs="宋体"/>
          <w:color w:val="auto"/>
          <w:highlight w:val="none"/>
        </w:rPr>
      </w:pPr>
    </w:p>
    <w:p w14:paraId="30C9AB70">
      <w:pPr>
        <w:widowControl/>
        <w:jc w:val="left"/>
        <w:rPr>
          <w:rFonts w:hint="eastAsia" w:ascii="宋体" w:hAnsi="宋体" w:eastAsia="宋体" w:cs="宋体"/>
          <w:color w:val="auto"/>
          <w:highlight w:val="none"/>
        </w:rPr>
      </w:pPr>
    </w:p>
    <w:p w14:paraId="0B395D26">
      <w:pPr>
        <w:pStyle w:val="5"/>
        <w:rPr>
          <w:rFonts w:hint="eastAsia" w:ascii="宋体" w:hAnsi="宋体" w:eastAsia="宋体" w:cs="宋体"/>
          <w:color w:val="auto"/>
          <w:highlight w:val="none"/>
        </w:rPr>
      </w:pPr>
    </w:p>
    <w:p w14:paraId="7C3D6E01">
      <w:pPr>
        <w:pStyle w:val="5"/>
        <w:rPr>
          <w:rFonts w:hint="eastAsia" w:ascii="宋体" w:hAnsi="宋体" w:eastAsia="宋体" w:cs="宋体"/>
          <w:color w:val="auto"/>
          <w:highlight w:val="none"/>
        </w:rPr>
      </w:pPr>
    </w:p>
    <w:p w14:paraId="546EB2C6">
      <w:pPr>
        <w:widowControl/>
        <w:jc w:val="left"/>
        <w:rPr>
          <w:rFonts w:hint="eastAsia" w:ascii="宋体" w:hAnsi="宋体" w:eastAsia="宋体" w:cs="宋体"/>
          <w:color w:val="auto"/>
          <w:highlight w:val="none"/>
        </w:rPr>
      </w:pPr>
    </w:p>
    <w:p w14:paraId="1E653908">
      <w:pPr>
        <w:widowControl/>
        <w:jc w:val="left"/>
        <w:rPr>
          <w:rFonts w:hint="eastAsia" w:ascii="宋体" w:hAnsi="宋体" w:eastAsia="宋体" w:cs="宋体"/>
          <w:color w:val="auto"/>
          <w:highlight w:val="none"/>
        </w:rPr>
      </w:pPr>
    </w:p>
    <w:p w14:paraId="20834577">
      <w:pPr>
        <w:widowControl/>
        <w:jc w:val="left"/>
        <w:rPr>
          <w:rFonts w:hint="eastAsia" w:ascii="宋体" w:hAnsi="宋体" w:eastAsia="宋体" w:cs="宋体"/>
          <w:color w:val="auto"/>
          <w:highlight w:val="none"/>
        </w:rPr>
      </w:pPr>
    </w:p>
    <w:tbl>
      <w:tblPr>
        <w:tblStyle w:val="17"/>
        <w:tblW w:w="0" w:type="auto"/>
        <w:jc w:val="center"/>
        <w:tblLayout w:type="fixed"/>
        <w:tblCellMar>
          <w:top w:w="0" w:type="dxa"/>
          <w:left w:w="108" w:type="dxa"/>
          <w:bottom w:w="0" w:type="dxa"/>
          <w:right w:w="108" w:type="dxa"/>
        </w:tblCellMar>
      </w:tblPr>
      <w:tblGrid>
        <w:gridCol w:w="2190"/>
        <w:gridCol w:w="5410"/>
      </w:tblGrid>
      <w:tr w14:paraId="194C85BB">
        <w:tblPrEx>
          <w:tblCellMar>
            <w:top w:w="0" w:type="dxa"/>
            <w:left w:w="108" w:type="dxa"/>
            <w:bottom w:w="0" w:type="dxa"/>
            <w:right w:w="108" w:type="dxa"/>
          </w:tblCellMar>
        </w:tblPrEx>
        <w:trPr>
          <w:jc w:val="center"/>
        </w:trPr>
        <w:tc>
          <w:tcPr>
            <w:tcW w:w="2190" w:type="dxa"/>
          </w:tcPr>
          <w:p w14:paraId="053A58A2">
            <w:pPr>
              <w:pStyle w:val="10"/>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rPr>
            </w:pPr>
            <w:bookmarkStart w:id="0" w:name="_Toc508179882"/>
            <w:r>
              <w:rPr>
                <w:rFonts w:hint="eastAsia" w:asciiTheme="minorEastAsia" w:hAnsiTheme="minorEastAsia" w:eastAsiaTheme="minorEastAsia" w:cstheme="minorEastAsia"/>
                <w:b/>
                <w:sz w:val="32"/>
                <w:szCs w:val="32"/>
                <w:highlight w:val="none"/>
              </w:rPr>
              <w:t>招标人：</w:t>
            </w:r>
          </w:p>
        </w:tc>
        <w:tc>
          <w:tcPr>
            <w:tcW w:w="5410" w:type="dxa"/>
          </w:tcPr>
          <w:p w14:paraId="5AF75C9D">
            <w:pPr>
              <w:pStyle w:val="10"/>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lang w:eastAsia="zh-CN"/>
              </w:rPr>
            </w:pPr>
            <w:r>
              <w:rPr>
                <w:rFonts w:hint="eastAsia" w:asciiTheme="minorEastAsia" w:hAnsiTheme="minorEastAsia" w:eastAsiaTheme="minorEastAsia" w:cstheme="minorEastAsia"/>
                <w:b/>
                <w:spacing w:val="14"/>
                <w:w w:val="97"/>
                <w:sz w:val="32"/>
                <w:szCs w:val="32"/>
                <w:highlight w:val="none"/>
                <w:lang w:eastAsia="zh-CN"/>
              </w:rPr>
              <w:t>灵宝市自然资源和规划局</w:t>
            </w:r>
          </w:p>
        </w:tc>
      </w:tr>
      <w:tr w14:paraId="52D9C15F">
        <w:tblPrEx>
          <w:tblCellMar>
            <w:top w:w="0" w:type="dxa"/>
            <w:left w:w="108" w:type="dxa"/>
            <w:bottom w:w="0" w:type="dxa"/>
            <w:right w:w="108" w:type="dxa"/>
          </w:tblCellMar>
        </w:tblPrEx>
        <w:trPr>
          <w:jc w:val="center"/>
        </w:trPr>
        <w:tc>
          <w:tcPr>
            <w:tcW w:w="2190" w:type="dxa"/>
          </w:tcPr>
          <w:p w14:paraId="487510B7">
            <w:pPr>
              <w:pStyle w:val="10"/>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代理机构：</w:t>
            </w:r>
          </w:p>
        </w:tc>
        <w:tc>
          <w:tcPr>
            <w:tcW w:w="5410" w:type="dxa"/>
          </w:tcPr>
          <w:p w14:paraId="7BE57A64">
            <w:pPr>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lang w:eastAsia="zh-CN"/>
              </w:rPr>
            </w:pPr>
            <w:r>
              <w:rPr>
                <w:rFonts w:hint="eastAsia" w:asciiTheme="minorEastAsia" w:hAnsiTheme="minorEastAsia" w:eastAsiaTheme="minorEastAsia" w:cstheme="minorEastAsia"/>
                <w:b/>
                <w:sz w:val="32"/>
                <w:szCs w:val="32"/>
                <w:highlight w:val="none"/>
                <w:lang w:eastAsia="zh-CN"/>
              </w:rPr>
              <w:t>河南匠之心工程咨询有限公司</w:t>
            </w:r>
          </w:p>
        </w:tc>
      </w:tr>
      <w:tr w14:paraId="48558ECD">
        <w:tblPrEx>
          <w:tblCellMar>
            <w:top w:w="0" w:type="dxa"/>
            <w:left w:w="108" w:type="dxa"/>
            <w:bottom w:w="0" w:type="dxa"/>
            <w:right w:w="108" w:type="dxa"/>
          </w:tblCellMar>
        </w:tblPrEx>
        <w:trPr>
          <w:jc w:val="center"/>
        </w:trPr>
        <w:tc>
          <w:tcPr>
            <w:tcW w:w="2190" w:type="dxa"/>
          </w:tcPr>
          <w:p w14:paraId="30D75D2A">
            <w:pPr>
              <w:pStyle w:val="10"/>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编制日期：</w:t>
            </w:r>
          </w:p>
        </w:tc>
        <w:tc>
          <w:tcPr>
            <w:tcW w:w="5410" w:type="dxa"/>
          </w:tcPr>
          <w:p w14:paraId="6B3F44D8">
            <w:pPr>
              <w:pStyle w:val="10"/>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二零二</w:t>
            </w:r>
            <w:r>
              <w:rPr>
                <w:rFonts w:hint="eastAsia" w:asciiTheme="minorEastAsia" w:hAnsiTheme="minorEastAsia" w:eastAsiaTheme="minorEastAsia" w:cstheme="minorEastAsia"/>
                <w:b/>
                <w:sz w:val="32"/>
                <w:szCs w:val="32"/>
                <w:highlight w:val="none"/>
                <w:lang w:val="en-US" w:eastAsia="zh-CN"/>
              </w:rPr>
              <w:t>六</w:t>
            </w:r>
            <w:r>
              <w:rPr>
                <w:rFonts w:hint="eastAsia" w:asciiTheme="minorEastAsia" w:hAnsiTheme="minorEastAsia" w:eastAsiaTheme="minorEastAsia" w:cstheme="minorEastAsia"/>
                <w:b/>
                <w:sz w:val="32"/>
                <w:szCs w:val="32"/>
                <w:highlight w:val="none"/>
              </w:rPr>
              <w:t>年</w:t>
            </w:r>
            <w:r>
              <w:rPr>
                <w:rFonts w:hint="eastAsia" w:asciiTheme="minorEastAsia" w:hAnsiTheme="minorEastAsia" w:eastAsiaTheme="minorEastAsia" w:cstheme="minorEastAsia"/>
                <w:b/>
                <w:sz w:val="32"/>
                <w:szCs w:val="32"/>
                <w:highlight w:val="none"/>
                <w:lang w:val="en-US" w:eastAsia="zh-CN"/>
              </w:rPr>
              <w:t>四</w:t>
            </w:r>
            <w:r>
              <w:rPr>
                <w:rFonts w:hint="eastAsia" w:asciiTheme="minorEastAsia" w:hAnsiTheme="minorEastAsia" w:eastAsiaTheme="minorEastAsia" w:cstheme="minorEastAsia"/>
                <w:b/>
                <w:sz w:val="32"/>
                <w:szCs w:val="32"/>
                <w:highlight w:val="none"/>
              </w:rPr>
              <w:t>月</w:t>
            </w:r>
          </w:p>
        </w:tc>
      </w:tr>
    </w:tbl>
    <w:p w14:paraId="77A07DDA">
      <w:pPr>
        <w:spacing w:line="360" w:lineRule="auto"/>
        <w:jc w:val="center"/>
        <w:rPr>
          <w:rFonts w:hint="eastAsia" w:ascii="宋体" w:hAnsi="宋体" w:eastAsia="宋体" w:cs="宋体"/>
          <w:b/>
          <w:color w:val="auto"/>
          <w:kern w:val="44"/>
          <w:sz w:val="44"/>
          <w:szCs w:val="44"/>
          <w:highlight w:val="none"/>
        </w:rPr>
      </w:pPr>
      <w:r>
        <w:rPr>
          <w:rFonts w:hint="eastAsia" w:ascii="宋体" w:hAnsi="宋体" w:eastAsia="宋体" w:cs="宋体"/>
          <w:b/>
          <w:color w:val="auto"/>
          <w:kern w:val="0"/>
          <w:sz w:val="32"/>
          <w:szCs w:val="32"/>
          <w:highlight w:val="none"/>
          <w:shd w:val="clear" w:color="auto" w:fill="FFFFFF"/>
        </w:rPr>
        <w:br w:type="page"/>
      </w:r>
      <w:r>
        <w:rPr>
          <w:rFonts w:hint="eastAsia" w:ascii="宋体" w:hAnsi="宋体" w:eastAsia="宋体" w:cs="宋体"/>
          <w:b/>
          <w:color w:val="auto"/>
          <w:kern w:val="44"/>
          <w:sz w:val="44"/>
          <w:szCs w:val="44"/>
          <w:highlight w:val="none"/>
        </w:rPr>
        <w:t>目   录</w:t>
      </w:r>
    </w:p>
    <w:bookmarkEnd w:id="0"/>
    <w:p w14:paraId="7ACCADF5">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bookmarkStart w:id="1" w:name="_Toc523220931"/>
      <w:bookmarkStart w:id="2" w:name="_Toc16520163"/>
      <w:bookmarkStart w:id="3" w:name="_Toc525811562"/>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TOC \o "1-2" \h \u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_Toc23400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第一章  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_Toc23400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6F486F59">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_Toc8041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 xml:space="preserve">第二章 </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_Toc8041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38E1FAD6">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_Toc23881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 xml:space="preserve">第三章  </w:t>
      </w:r>
      <w:r>
        <w:rPr>
          <w:rFonts w:hint="eastAsia" w:ascii="宋体" w:hAnsi="宋体" w:eastAsia="宋体" w:cs="宋体"/>
          <w:bCs/>
          <w:color w:val="auto"/>
          <w:sz w:val="24"/>
          <w:szCs w:val="24"/>
          <w:highlight w:val="none"/>
          <w:lang w:val="en-US" w:eastAsia="zh-CN"/>
        </w:rPr>
        <w:t>服务内容</w:t>
      </w:r>
      <w:r>
        <w:rPr>
          <w:rFonts w:hint="eastAsia" w:ascii="宋体" w:hAnsi="宋体" w:eastAsia="宋体" w:cs="宋体"/>
          <w:bCs/>
          <w:color w:val="auto"/>
          <w:sz w:val="24"/>
          <w:szCs w:val="24"/>
          <w:highlight w:val="none"/>
        </w:rPr>
        <w:t>及要求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_Toc23881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25</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67D29EAB">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_Toc10931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第四章  评审办法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_Toc10931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27</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28BC6DAF">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_Toc32577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 xml:space="preserve">第五章 </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合同协议书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_Toc32577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34</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3D9E0B7C">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_Toc5473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 xml:space="preserve">第六章 </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响应性文件部分格式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_Toc5473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34</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6C82405D">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fldChar w:fldCharType="end"/>
      </w:r>
    </w:p>
    <w:p w14:paraId="423ED0FE">
      <w:pPr>
        <w:rPr>
          <w:rFonts w:hint="eastAsia" w:ascii="宋体" w:hAnsi="宋体" w:eastAsia="宋体" w:cs="宋体"/>
          <w:bCs/>
          <w:color w:val="auto"/>
          <w:sz w:val="30"/>
          <w:szCs w:val="30"/>
          <w:highlight w:val="none"/>
        </w:rPr>
      </w:pPr>
    </w:p>
    <w:p w14:paraId="7AB74682">
      <w:pPr>
        <w:jc w:val="center"/>
        <w:outlineLvl w:val="0"/>
        <w:rPr>
          <w:rFonts w:hint="eastAsia" w:ascii="宋体" w:hAnsi="宋体" w:eastAsia="宋体" w:cs="宋体"/>
          <w:b/>
          <w:bCs/>
          <w:color w:val="auto"/>
          <w:sz w:val="32"/>
          <w:szCs w:val="32"/>
          <w:highlight w:val="none"/>
        </w:rPr>
        <w:sectPr>
          <w:headerReference r:id="rId3" w:type="default"/>
          <w:footerReference r:id="rId4" w:type="default"/>
          <w:pgSz w:w="11906" w:h="16838"/>
          <w:pgMar w:top="1361" w:right="1134" w:bottom="1247" w:left="1134" w:header="850" w:footer="907" w:gutter="0"/>
          <w:cols w:space="720" w:num="1"/>
          <w:docGrid w:type="lines" w:linePitch="312" w:charSpace="0"/>
        </w:sectPr>
      </w:pPr>
      <w:bookmarkStart w:id="4" w:name="_Toc121405490"/>
      <w:bookmarkStart w:id="5" w:name="_Toc23400"/>
      <w:bookmarkStart w:id="6" w:name="_Toc22273"/>
    </w:p>
    <w:p w14:paraId="5A80307B">
      <w:pPr>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第一章  竞争性磋商公告</w:t>
      </w:r>
      <w:bookmarkEnd w:id="4"/>
      <w:bookmarkEnd w:id="5"/>
      <w:bookmarkEnd w:id="6"/>
    </w:p>
    <w:bookmarkEnd w:id="1"/>
    <w:bookmarkEnd w:id="2"/>
    <w:bookmarkEnd w:id="3"/>
    <w:p w14:paraId="6AEF7EDD">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bookmarkStart w:id="7" w:name="_Hlk16602944"/>
      <w:bookmarkStart w:id="8" w:name="_Toc28359091"/>
      <w:bookmarkStart w:id="9" w:name="_Toc28359014"/>
      <w:r>
        <w:rPr>
          <w:rFonts w:hint="eastAsia" w:ascii="宋体" w:hAnsi="宋体" w:cs="宋体"/>
          <w:color w:val="auto"/>
          <w:sz w:val="24"/>
          <w:szCs w:val="24"/>
          <w:highlight w:val="none"/>
          <w:lang w:val="zh-CN" w:eastAsia="zh-CN" w:bidi="zh-CN"/>
        </w:rPr>
        <w:t>河南匠之心工程咨询有限公司</w:t>
      </w:r>
      <w:r>
        <w:rPr>
          <w:rFonts w:hint="eastAsia" w:ascii="宋体" w:hAnsi="宋体" w:eastAsia="宋体" w:cs="宋体"/>
          <w:color w:val="auto"/>
          <w:sz w:val="24"/>
          <w:szCs w:val="24"/>
          <w:highlight w:val="none"/>
          <w:lang w:val="zh-CN" w:eastAsia="zh-CN" w:bidi="zh-CN"/>
        </w:rPr>
        <w:t>受灵宝市自然资源和规划局的委托，就</w:t>
      </w:r>
      <w:r>
        <w:rPr>
          <w:rFonts w:hint="eastAsia" w:ascii="宋体" w:hAnsi="宋体" w:cs="宋体"/>
          <w:color w:val="auto"/>
          <w:sz w:val="24"/>
          <w:szCs w:val="24"/>
          <w:highlight w:val="none"/>
          <w:lang w:val="zh-CN" w:eastAsia="zh-CN" w:bidi="zh-CN"/>
        </w:rPr>
        <w:t>灵宝市自然资源和规划局灵宝市耕地保护和国土绿化空间专项规划项目</w:t>
      </w:r>
      <w:r>
        <w:rPr>
          <w:rFonts w:hint="eastAsia" w:ascii="宋体" w:hAnsi="宋体" w:eastAsia="宋体" w:cs="宋体"/>
          <w:color w:val="auto"/>
          <w:sz w:val="24"/>
          <w:szCs w:val="24"/>
          <w:highlight w:val="none"/>
          <w:lang w:val="zh-CN" w:eastAsia="zh-CN" w:bidi="zh-CN"/>
        </w:rPr>
        <w:t>进行竞争性磋商，欢迎符合资格条件的供应商参加磋商。</w:t>
      </w:r>
    </w:p>
    <w:p w14:paraId="058F502D">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一、项目基本情况</w:t>
      </w:r>
    </w:p>
    <w:p w14:paraId="1B98090B">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default"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zh-CN" w:eastAsia="zh-CN" w:bidi="zh-CN"/>
        </w:rPr>
        <w:t>1、项目编号：</w:t>
      </w:r>
      <w:r>
        <w:rPr>
          <w:rFonts w:hint="eastAsia" w:ascii="宋体" w:hAnsi="宋体" w:cs="宋体"/>
          <w:color w:val="auto"/>
          <w:sz w:val="24"/>
          <w:szCs w:val="24"/>
          <w:highlight w:val="none"/>
          <w:lang w:val="zh-CN" w:eastAsia="zh-CN" w:bidi="zh-CN"/>
        </w:rPr>
        <w:t>LBGZ[2026]060-ZC050、</w:t>
      </w:r>
      <w:bookmarkStart w:id="401" w:name="_GoBack"/>
      <w:bookmarkEnd w:id="401"/>
      <w:r>
        <w:rPr>
          <w:rFonts w:hint="eastAsia" w:ascii="宋体" w:hAnsi="宋体" w:cs="宋体"/>
          <w:color w:val="auto"/>
          <w:sz w:val="24"/>
          <w:szCs w:val="24"/>
          <w:highlight w:val="none"/>
          <w:lang w:val="zh-CN" w:eastAsia="zh-CN" w:bidi="zh-CN"/>
        </w:rPr>
        <w:t>灵宝竞磋采购-2026-32</w:t>
      </w:r>
    </w:p>
    <w:p w14:paraId="1B95CFEF">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2、项目名称：</w:t>
      </w:r>
      <w:r>
        <w:rPr>
          <w:rFonts w:hint="eastAsia" w:ascii="宋体" w:hAnsi="宋体" w:cs="宋体"/>
          <w:color w:val="auto"/>
          <w:sz w:val="24"/>
          <w:szCs w:val="24"/>
          <w:highlight w:val="none"/>
          <w:lang w:val="zh-CN" w:eastAsia="zh-CN" w:bidi="zh-CN"/>
        </w:rPr>
        <w:t>灵宝市自然资源和规划局灵宝市耕地保护和国土绿化空间专项规划项目</w:t>
      </w:r>
    </w:p>
    <w:p w14:paraId="377B693F">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3、采购方式：竞争性磋商</w:t>
      </w:r>
    </w:p>
    <w:p w14:paraId="46D26D11">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4、预算金额：</w:t>
      </w:r>
      <w:r>
        <w:rPr>
          <w:rFonts w:hint="eastAsia" w:ascii="宋体" w:hAnsi="宋体" w:cs="宋体"/>
          <w:color w:val="auto"/>
          <w:sz w:val="24"/>
          <w:szCs w:val="24"/>
          <w:highlight w:val="none"/>
          <w:lang w:val="en-US" w:eastAsia="zh-CN" w:bidi="zh-CN"/>
        </w:rPr>
        <w:t>45.85</w:t>
      </w:r>
      <w:r>
        <w:rPr>
          <w:rFonts w:hint="eastAsia" w:ascii="宋体" w:hAnsi="宋体" w:eastAsia="宋体" w:cs="宋体"/>
          <w:color w:val="auto"/>
          <w:sz w:val="24"/>
          <w:szCs w:val="24"/>
          <w:highlight w:val="none"/>
          <w:lang w:val="en-US" w:eastAsia="zh-CN" w:bidi="zh-CN"/>
        </w:rPr>
        <w:t>万元</w:t>
      </w:r>
    </w:p>
    <w:p w14:paraId="2F4AB89B">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5、采购需求（包括但不限于标的的名称、数量、简要技术需求或服务要求等）</w:t>
      </w:r>
    </w:p>
    <w:p w14:paraId="50599D9D">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5.1采购内容：</w:t>
      </w:r>
      <w:r>
        <w:rPr>
          <w:rFonts w:hint="eastAsia" w:ascii="宋体" w:hAnsi="宋体" w:cs="宋体"/>
          <w:color w:val="auto"/>
          <w:sz w:val="24"/>
          <w:szCs w:val="24"/>
          <w:highlight w:val="none"/>
          <w:lang w:eastAsia="zh-CN"/>
        </w:rPr>
        <w:t>灵宝市自然资源和规划局灵宝市耕地保护和国土绿化空间专项规划项目，</w:t>
      </w:r>
      <w:r>
        <w:rPr>
          <w:rFonts w:hint="eastAsia" w:ascii="宋体" w:hAnsi="宋体" w:cs="宋体"/>
          <w:color w:val="auto"/>
          <w:sz w:val="24"/>
          <w:szCs w:val="24"/>
          <w:highlight w:val="none"/>
        </w:rPr>
        <w:t>位于三门峡市灵宝市，</w:t>
      </w:r>
      <w:r>
        <w:rPr>
          <w:rFonts w:hint="eastAsia" w:ascii="宋体" w:hAnsi="宋体" w:cs="宋体"/>
          <w:color w:val="auto"/>
          <w:sz w:val="24"/>
          <w:szCs w:val="24"/>
          <w:highlight w:val="none"/>
          <w:lang w:eastAsia="zh-CN"/>
        </w:rPr>
        <w:t>包括前期准备工作、外业调查、核查举证图斑、外业测绘、遥感数据处理、成果报告方案编制、审查报批、成果印刷等，</w:t>
      </w:r>
      <w:r>
        <w:rPr>
          <w:rFonts w:hint="eastAsia" w:ascii="宋体" w:hAnsi="宋体" w:cs="宋体"/>
          <w:color w:val="auto"/>
          <w:sz w:val="24"/>
          <w:szCs w:val="24"/>
          <w:highlight w:val="none"/>
        </w:rPr>
        <w:t>具体内容详见磋商文件</w:t>
      </w:r>
      <w:r>
        <w:rPr>
          <w:rFonts w:hint="eastAsia" w:ascii="宋体" w:hAnsi="宋体" w:cs="宋体"/>
          <w:color w:val="auto"/>
          <w:sz w:val="24"/>
          <w:szCs w:val="24"/>
          <w:highlight w:val="none"/>
          <w:lang w:val="zh-CN" w:eastAsia="zh-CN" w:bidi="zh-CN"/>
        </w:rPr>
        <w:t>；</w:t>
      </w:r>
    </w:p>
    <w:p w14:paraId="65712043">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5.2标段划分：</w:t>
      </w:r>
      <w:r>
        <w:rPr>
          <w:rFonts w:hint="eastAsia" w:ascii="宋体" w:hAnsi="宋体" w:cs="宋体"/>
          <w:color w:val="auto"/>
          <w:sz w:val="24"/>
          <w:szCs w:val="24"/>
          <w:highlight w:val="none"/>
          <w:lang w:val="en-US" w:eastAsia="zh-CN" w:bidi="zh-CN"/>
        </w:rPr>
        <w:t>不划分</w:t>
      </w:r>
      <w:r>
        <w:rPr>
          <w:rFonts w:hint="eastAsia" w:ascii="宋体" w:hAnsi="宋体" w:eastAsia="宋体" w:cs="宋体"/>
          <w:color w:val="auto"/>
          <w:sz w:val="24"/>
          <w:szCs w:val="24"/>
          <w:highlight w:val="none"/>
          <w:lang w:val="en-US" w:eastAsia="zh-CN" w:bidi="zh-CN"/>
        </w:rPr>
        <w:t>标段</w:t>
      </w:r>
      <w:r>
        <w:rPr>
          <w:rFonts w:hint="eastAsia" w:ascii="宋体" w:hAnsi="宋体" w:cs="宋体"/>
          <w:color w:val="auto"/>
          <w:sz w:val="24"/>
          <w:szCs w:val="24"/>
          <w:highlight w:val="none"/>
          <w:lang w:val="en-US" w:eastAsia="zh-CN" w:bidi="zh-CN"/>
        </w:rPr>
        <w:t>；</w:t>
      </w:r>
    </w:p>
    <w:p w14:paraId="11315E52">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w:t>
      </w:r>
      <w:r>
        <w:rPr>
          <w:rFonts w:hint="eastAsia" w:ascii="宋体" w:hAnsi="宋体" w:eastAsia="宋体" w:cs="宋体"/>
          <w:color w:val="auto"/>
          <w:sz w:val="24"/>
          <w:szCs w:val="24"/>
          <w:highlight w:val="none"/>
          <w:lang w:val="en-US" w:eastAsia="zh-CN" w:bidi="zh-CN"/>
        </w:rPr>
        <w:t>3</w:t>
      </w:r>
      <w:r>
        <w:rPr>
          <w:rFonts w:hint="eastAsia" w:ascii="宋体" w:hAnsi="宋体" w:eastAsia="宋体" w:cs="宋体"/>
          <w:color w:val="auto"/>
          <w:sz w:val="24"/>
          <w:szCs w:val="24"/>
          <w:highlight w:val="none"/>
          <w:lang w:val="zh-CN" w:eastAsia="zh-CN" w:bidi="zh-CN"/>
        </w:rPr>
        <w:t>服务地点：采购人指定地点</w:t>
      </w:r>
      <w:r>
        <w:rPr>
          <w:rFonts w:hint="eastAsia" w:ascii="宋体" w:hAnsi="宋体" w:cs="宋体"/>
          <w:color w:val="auto"/>
          <w:sz w:val="24"/>
          <w:szCs w:val="24"/>
          <w:highlight w:val="none"/>
          <w:lang w:val="zh-CN" w:eastAsia="zh-CN" w:bidi="zh-CN"/>
        </w:rPr>
        <w:t>；</w:t>
      </w:r>
    </w:p>
    <w:p w14:paraId="3793ABA6">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w:t>
      </w:r>
      <w:r>
        <w:rPr>
          <w:rFonts w:hint="eastAsia" w:ascii="宋体" w:hAnsi="宋体" w:eastAsia="宋体" w:cs="宋体"/>
          <w:color w:val="auto"/>
          <w:sz w:val="24"/>
          <w:szCs w:val="24"/>
          <w:highlight w:val="none"/>
          <w:lang w:val="en-US" w:eastAsia="zh-CN" w:bidi="zh-CN"/>
        </w:rPr>
        <w:t>4</w:t>
      </w:r>
      <w:r>
        <w:rPr>
          <w:rFonts w:hint="eastAsia" w:ascii="宋体" w:hAnsi="宋体" w:eastAsia="宋体" w:cs="宋体"/>
          <w:color w:val="auto"/>
          <w:sz w:val="24"/>
          <w:szCs w:val="24"/>
          <w:highlight w:val="none"/>
          <w:lang w:val="zh-CN" w:eastAsia="zh-CN" w:bidi="zh-CN"/>
        </w:rPr>
        <w:t>服务质量：符合现行国家规程、地方技术方案及相关标准的规定，质量要求达到合格，通过上级行政主管部门的评审及验收</w:t>
      </w:r>
      <w:r>
        <w:rPr>
          <w:rFonts w:hint="eastAsia" w:ascii="宋体" w:hAnsi="宋体" w:cs="宋体"/>
          <w:color w:val="auto"/>
          <w:sz w:val="24"/>
          <w:szCs w:val="24"/>
          <w:highlight w:val="none"/>
          <w:lang w:val="zh-CN" w:eastAsia="zh-CN" w:bidi="zh-CN"/>
        </w:rPr>
        <w:t>；</w:t>
      </w:r>
    </w:p>
    <w:p w14:paraId="7722A4B4">
      <w:pPr>
        <w:spacing w:line="360" w:lineRule="auto"/>
        <w:ind w:firstLine="480" w:firstLineChars="200"/>
        <w:jc w:val="left"/>
        <w:rPr>
          <w:rFonts w:hint="default"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5.5资金来源：财政资金，已落实；</w:t>
      </w:r>
    </w:p>
    <w:p w14:paraId="2801DEC3">
      <w:pPr>
        <w:spacing w:line="360" w:lineRule="auto"/>
        <w:ind w:firstLine="480" w:firstLineChars="200"/>
        <w:jc w:val="left"/>
        <w:rPr>
          <w:rFonts w:hint="eastAsia" w:ascii="宋体" w:hAnsi="宋体" w:eastAsia="宋体" w:cs="宋体"/>
          <w:color w:val="auto"/>
          <w:sz w:val="24"/>
          <w:szCs w:val="24"/>
          <w:highlight w:val="none"/>
          <w:lang w:val="zh-CN" w:eastAsia="zh-CN" w:bidi="zh-CN"/>
        </w:rPr>
      </w:pPr>
      <w:r>
        <w:rPr>
          <w:rFonts w:hint="eastAsia" w:ascii="宋体" w:hAnsi="宋体" w:cs="宋体"/>
          <w:color w:val="auto"/>
          <w:sz w:val="24"/>
          <w:szCs w:val="24"/>
          <w:highlight w:val="none"/>
          <w:lang w:val="en-US" w:eastAsia="zh-CN" w:bidi="zh-CN"/>
        </w:rPr>
        <w:t>5.6</w:t>
      </w:r>
      <w:r>
        <w:rPr>
          <w:rFonts w:hint="eastAsia" w:ascii="宋体" w:hAnsi="宋体" w:eastAsia="宋体" w:cs="宋体"/>
          <w:color w:val="auto"/>
          <w:sz w:val="24"/>
          <w:szCs w:val="24"/>
          <w:highlight w:val="none"/>
          <w:lang w:val="zh-CN" w:eastAsia="zh-CN" w:bidi="zh-CN"/>
        </w:rPr>
        <w:t>服务期限：自签订合同之日起</w:t>
      </w:r>
      <w:r>
        <w:rPr>
          <w:rFonts w:hint="eastAsia" w:ascii="宋体" w:hAnsi="宋体" w:cs="宋体"/>
          <w:color w:val="auto"/>
          <w:sz w:val="24"/>
          <w:szCs w:val="24"/>
          <w:highlight w:val="none"/>
          <w:lang w:val="zh-CN" w:eastAsia="zh-CN" w:bidi="zh-CN"/>
        </w:rPr>
        <w:t>60日历天</w:t>
      </w:r>
      <w:r>
        <w:rPr>
          <w:rFonts w:hint="eastAsia" w:ascii="宋体" w:hAnsi="宋体" w:eastAsia="宋体" w:cs="宋体"/>
          <w:color w:val="auto"/>
          <w:sz w:val="24"/>
          <w:szCs w:val="24"/>
          <w:highlight w:val="none"/>
          <w:lang w:val="zh-CN" w:eastAsia="zh-CN" w:bidi="zh-CN"/>
        </w:rPr>
        <w:t>完成项目服务并提交成果；</w:t>
      </w:r>
    </w:p>
    <w:p w14:paraId="29FAC92A">
      <w:pPr>
        <w:spacing w:line="360" w:lineRule="auto"/>
        <w:ind w:firstLine="480" w:firstLineChars="200"/>
        <w:jc w:val="left"/>
        <w:rPr>
          <w:rFonts w:hint="eastAsia" w:ascii="宋体" w:hAnsi="宋体" w:cs="宋体"/>
          <w:color w:val="auto"/>
          <w:sz w:val="24"/>
          <w:szCs w:val="24"/>
          <w:highlight w:val="none"/>
          <w:lang w:val="en-US" w:eastAsia="zh-CN" w:bidi="zh-CN"/>
        </w:rPr>
      </w:pPr>
      <w:r>
        <w:rPr>
          <w:rFonts w:hint="eastAsia" w:ascii="宋体" w:hAnsi="宋体" w:cs="宋体"/>
          <w:color w:val="auto"/>
          <w:sz w:val="24"/>
          <w:szCs w:val="24"/>
          <w:highlight w:val="none"/>
          <w:lang w:val="en-US" w:eastAsia="zh-CN" w:bidi="zh-CN"/>
        </w:rPr>
        <w:t>6、合同履行期限：60日历天</w:t>
      </w:r>
    </w:p>
    <w:p w14:paraId="7A497A79">
      <w:pPr>
        <w:spacing w:line="360" w:lineRule="auto"/>
        <w:ind w:firstLine="480" w:firstLineChars="200"/>
        <w:jc w:val="left"/>
        <w:rPr>
          <w:rFonts w:hint="eastAsia" w:ascii="宋体" w:hAnsi="宋体" w:cs="宋体"/>
          <w:color w:val="auto"/>
          <w:sz w:val="24"/>
          <w:szCs w:val="24"/>
          <w:highlight w:val="none"/>
          <w:lang w:val="zh-CN" w:eastAsia="zh-CN" w:bidi="zh-CN"/>
        </w:rPr>
      </w:pPr>
      <w:r>
        <w:rPr>
          <w:rFonts w:hint="eastAsia" w:ascii="宋体" w:hAnsi="宋体" w:cs="宋体"/>
          <w:color w:val="auto"/>
          <w:sz w:val="24"/>
          <w:szCs w:val="24"/>
          <w:highlight w:val="none"/>
          <w:lang w:val="en-US" w:eastAsia="zh-CN" w:bidi="zh-CN"/>
        </w:rPr>
        <w:t>7</w:t>
      </w:r>
      <w:r>
        <w:rPr>
          <w:rFonts w:hint="eastAsia" w:ascii="宋体" w:hAnsi="宋体" w:cs="宋体"/>
          <w:color w:val="auto"/>
          <w:sz w:val="24"/>
          <w:szCs w:val="24"/>
          <w:highlight w:val="none"/>
          <w:lang w:val="zh-CN" w:eastAsia="zh-CN" w:bidi="zh-CN"/>
        </w:rPr>
        <w:t>、本项目是否接受联合体投标：否</w:t>
      </w:r>
    </w:p>
    <w:p w14:paraId="37FE6B37">
      <w:pPr>
        <w:spacing w:line="360" w:lineRule="auto"/>
        <w:ind w:firstLine="480" w:firstLineChars="200"/>
        <w:jc w:val="left"/>
        <w:rPr>
          <w:rFonts w:hint="eastAsia" w:ascii="宋体" w:hAnsi="宋体" w:cs="宋体"/>
          <w:color w:val="auto"/>
          <w:sz w:val="24"/>
          <w:szCs w:val="24"/>
          <w:highlight w:val="none"/>
          <w:lang w:val="zh-CN" w:eastAsia="zh-CN" w:bidi="zh-CN"/>
        </w:rPr>
      </w:pPr>
      <w:r>
        <w:rPr>
          <w:rFonts w:hint="eastAsia" w:ascii="宋体" w:hAnsi="宋体" w:cs="宋体"/>
          <w:color w:val="auto"/>
          <w:sz w:val="24"/>
          <w:szCs w:val="24"/>
          <w:highlight w:val="none"/>
          <w:lang w:val="en-US" w:eastAsia="zh-CN" w:bidi="zh-CN"/>
        </w:rPr>
        <w:t>8</w:t>
      </w:r>
      <w:r>
        <w:rPr>
          <w:rFonts w:hint="eastAsia" w:ascii="宋体" w:hAnsi="宋体" w:cs="宋体"/>
          <w:color w:val="auto"/>
          <w:sz w:val="24"/>
          <w:szCs w:val="24"/>
          <w:highlight w:val="none"/>
          <w:lang w:val="zh-CN" w:eastAsia="zh-CN" w:bidi="zh-CN"/>
        </w:rPr>
        <w:t>、是否接受进口产品：否</w:t>
      </w:r>
    </w:p>
    <w:p w14:paraId="6714AED7">
      <w:pPr>
        <w:spacing w:line="360" w:lineRule="auto"/>
        <w:ind w:firstLine="480" w:firstLineChars="200"/>
        <w:jc w:val="left"/>
        <w:rPr>
          <w:rFonts w:hint="default" w:ascii="宋体" w:hAnsi="宋体" w:cs="宋体"/>
          <w:color w:val="auto"/>
          <w:sz w:val="24"/>
          <w:szCs w:val="24"/>
          <w:highlight w:val="none"/>
          <w:lang w:val="en-US" w:eastAsia="zh-CN" w:bidi="zh-CN"/>
        </w:rPr>
      </w:pPr>
      <w:r>
        <w:rPr>
          <w:rFonts w:hint="eastAsia" w:ascii="宋体" w:hAnsi="宋体" w:cs="宋体"/>
          <w:color w:val="auto"/>
          <w:sz w:val="24"/>
          <w:szCs w:val="24"/>
          <w:highlight w:val="none"/>
          <w:lang w:val="en-US" w:eastAsia="zh-CN" w:bidi="zh-CN"/>
        </w:rPr>
        <w:t>9、是否专门面向中小企业：是</w:t>
      </w:r>
    </w:p>
    <w:p w14:paraId="3DE052EF">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二、</w:t>
      </w:r>
      <w:r>
        <w:rPr>
          <w:rFonts w:hint="eastAsia" w:ascii="宋体" w:hAnsi="宋体" w:eastAsia="宋体" w:cs="宋体"/>
          <w:color w:val="auto"/>
          <w:sz w:val="24"/>
          <w:szCs w:val="24"/>
          <w:highlight w:val="none"/>
          <w:lang w:val="en-US" w:eastAsia="zh-CN" w:bidi="zh-CN"/>
        </w:rPr>
        <w:t>供应商</w:t>
      </w:r>
      <w:r>
        <w:rPr>
          <w:rFonts w:hint="eastAsia" w:ascii="宋体" w:hAnsi="宋体" w:eastAsia="宋体" w:cs="宋体"/>
          <w:color w:val="auto"/>
          <w:sz w:val="24"/>
          <w:szCs w:val="24"/>
          <w:highlight w:val="none"/>
          <w:lang w:val="zh-CN" w:eastAsia="zh-CN" w:bidi="zh-CN"/>
        </w:rPr>
        <w:t>资格要求：</w:t>
      </w:r>
    </w:p>
    <w:p w14:paraId="7B45EBE2">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1、满足《中华人民共和国政府采购法》第二十二条规定；</w:t>
      </w:r>
    </w:p>
    <w:p w14:paraId="046398FE">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2、落实政府采购政策满足的资格要求：</w:t>
      </w:r>
    </w:p>
    <w:p w14:paraId="191A9487">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本项目专门面向中小企业、监狱企业及残疾人福利性单位采购项目，须提供《中小企业声明函》</w:t>
      </w:r>
      <w:r>
        <w:rPr>
          <w:rFonts w:hint="eastAsia" w:ascii="宋体" w:hAnsi="宋体" w:cs="宋体"/>
          <w:color w:val="auto"/>
          <w:sz w:val="24"/>
          <w:szCs w:val="24"/>
          <w:highlight w:val="none"/>
          <w:lang w:val="zh-CN" w:eastAsia="zh-CN" w:bidi="zh-CN"/>
        </w:rPr>
        <w:t>，</w:t>
      </w:r>
      <w:r>
        <w:rPr>
          <w:rFonts w:hint="eastAsia" w:ascii="宋体" w:hAnsi="宋体" w:eastAsia="宋体" w:cs="宋体"/>
          <w:color w:val="auto"/>
          <w:sz w:val="24"/>
          <w:szCs w:val="24"/>
          <w:highlight w:val="none"/>
          <w:lang w:val="zh-CN" w:eastAsia="zh-CN" w:bidi="zh-CN"/>
        </w:rPr>
        <w:t>不符合要求的声明函或未提供的将视为不符合资格要求。</w:t>
      </w:r>
    </w:p>
    <w:p w14:paraId="3E8862CB">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3、本项目的特定资格要求：</w:t>
      </w:r>
    </w:p>
    <w:p w14:paraId="675218B7">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3.1、供应商具有独立承担民事责任的能力（具有有效的营业执照或事业单位法人证书）；</w:t>
      </w:r>
    </w:p>
    <w:p w14:paraId="797493C6">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3.2、</w:t>
      </w:r>
      <w:r>
        <w:rPr>
          <w:rFonts w:hint="eastAsia" w:ascii="宋体" w:hAnsi="宋体" w:cs="宋体"/>
          <w:color w:val="auto"/>
          <w:sz w:val="24"/>
          <w:szCs w:val="24"/>
          <w:highlight w:val="none"/>
          <w:lang w:val="zh-CN" w:eastAsia="zh-CN" w:bidi="zh-CN"/>
        </w:rPr>
        <w:t>供应商应具备城乡规划（国土空间规划）编制乙级及以上资质或土地规划乙级及以上资质</w:t>
      </w:r>
      <w:r>
        <w:rPr>
          <w:rFonts w:hint="eastAsia" w:ascii="宋体" w:hAnsi="宋体" w:eastAsia="宋体" w:cs="宋体"/>
          <w:color w:val="auto"/>
          <w:sz w:val="24"/>
          <w:szCs w:val="24"/>
          <w:highlight w:val="none"/>
          <w:lang w:val="zh-CN" w:eastAsia="zh-CN" w:bidi="zh-CN"/>
        </w:rPr>
        <w:t>；</w:t>
      </w:r>
    </w:p>
    <w:p w14:paraId="53BC34C4">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3.3、</w:t>
      </w:r>
      <w:r>
        <w:rPr>
          <w:rFonts w:hint="eastAsia" w:ascii="宋体" w:hAnsi="宋体" w:cs="宋体"/>
          <w:color w:val="auto"/>
          <w:sz w:val="24"/>
          <w:szCs w:val="24"/>
          <w:highlight w:val="none"/>
          <w:lang w:val="zh-CN" w:eastAsia="zh-CN" w:bidi="zh-CN"/>
        </w:rPr>
        <w:t>项目负责人须同时具有国家注册城市(乡)规划师资格及相关专业高级或以上职称，提供劳动合同及社保证明</w:t>
      </w:r>
      <w:r>
        <w:rPr>
          <w:rFonts w:hint="eastAsia" w:ascii="宋体" w:hAnsi="宋体" w:eastAsia="宋体" w:cs="宋体"/>
          <w:color w:val="auto"/>
          <w:sz w:val="24"/>
          <w:szCs w:val="24"/>
          <w:highlight w:val="none"/>
          <w:lang w:val="zh-CN" w:eastAsia="zh-CN" w:bidi="zh-CN"/>
        </w:rPr>
        <w:t>；</w:t>
      </w:r>
    </w:p>
    <w:p w14:paraId="057AE624">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4</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具有履行合同所必需的设备和专业技术能力（自行承诺，格式自拟）；</w:t>
      </w:r>
    </w:p>
    <w:p w14:paraId="5E9C2FC1">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5</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参加政府采购活动前三年，在经营活动中没有重大违法记录（提供参加政府采购活动前三年没有重大违法记录的书面声明，格式自拟）；</w:t>
      </w:r>
    </w:p>
    <w:p w14:paraId="10FF77F3">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.6</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根据《关于在政府采购活动中查询及使用信用记录有关问题的通知》(财库[2016]125号)和豫财购【2016】15号的规定，企业没有被列入“中国执行信息公开网”网站的“失信被执行人”、“信用中国”网站的“重大税收违法失信主体”及“中国政府采购网”网站的“政府采购严重违法失信行为记录名单”，查询渠道：“中国执行信息公开网”网站（http://zxgk.court.gov.cn/shixin）“信用中国”网站（www.creditchina.gov.cn）、中国政府采购网（www.ccgp.gov.cn）；提供网站的查询信息截图</w:t>
      </w:r>
      <w:r>
        <w:rPr>
          <w:rFonts w:hint="eastAsia" w:ascii="宋体" w:hAnsi="宋体" w:cs="宋体"/>
          <w:color w:val="auto"/>
          <w:sz w:val="24"/>
          <w:szCs w:val="24"/>
          <w:highlight w:val="none"/>
          <w:lang w:val="zh-CN" w:eastAsia="zh-CN" w:bidi="zh-CN"/>
        </w:rPr>
        <w:t>【</w:t>
      </w:r>
      <w:r>
        <w:rPr>
          <w:rFonts w:hint="eastAsia" w:ascii="宋体" w:hAnsi="宋体" w:eastAsia="宋体" w:cs="宋体"/>
          <w:color w:val="auto"/>
          <w:sz w:val="24"/>
          <w:szCs w:val="24"/>
          <w:highlight w:val="none"/>
          <w:lang w:val="zh-CN" w:eastAsia="zh-CN" w:bidi="zh-CN"/>
        </w:rPr>
        <w:t>查询时间自公告发布之日起</w:t>
      </w:r>
      <w:r>
        <w:rPr>
          <w:rFonts w:hint="eastAsia" w:ascii="宋体" w:hAnsi="宋体" w:cs="宋体"/>
          <w:color w:val="auto"/>
          <w:sz w:val="24"/>
          <w:szCs w:val="24"/>
          <w:highlight w:val="none"/>
          <w:lang w:val="zh-CN" w:eastAsia="zh-CN" w:bidi="zh-CN"/>
        </w:rPr>
        <w:t>】</w:t>
      </w:r>
      <w:r>
        <w:rPr>
          <w:rFonts w:hint="eastAsia" w:ascii="宋体" w:hAnsi="宋体" w:eastAsia="宋体" w:cs="宋体"/>
          <w:color w:val="auto"/>
          <w:sz w:val="24"/>
          <w:szCs w:val="24"/>
          <w:highlight w:val="none"/>
          <w:lang w:val="zh-CN" w:eastAsia="zh-CN" w:bidi="zh-CN"/>
        </w:rPr>
        <w:t>；</w:t>
      </w:r>
    </w:p>
    <w:p w14:paraId="56569D3E">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7</w:t>
      </w:r>
      <w:r>
        <w:rPr>
          <w:rFonts w:hint="eastAsia" w:ascii="宋体" w:hAnsi="宋体" w:eastAsia="宋体" w:cs="宋体"/>
          <w:color w:val="auto"/>
          <w:sz w:val="24"/>
          <w:szCs w:val="24"/>
          <w:highlight w:val="none"/>
          <w:lang w:val="en-US" w:eastAsia="zh-CN" w:bidi="zh-CN"/>
        </w:rPr>
        <w:t>、须提供本企业无商业贿赂及无不正当竞争行为的承诺书（格式自拟）</w:t>
      </w:r>
      <w:r>
        <w:rPr>
          <w:rFonts w:hint="eastAsia" w:ascii="宋体" w:hAnsi="宋体" w:eastAsia="宋体" w:cs="宋体"/>
          <w:color w:val="auto"/>
          <w:sz w:val="24"/>
          <w:szCs w:val="24"/>
          <w:highlight w:val="none"/>
          <w:lang w:val="zh-CN" w:eastAsia="zh-CN" w:bidi="zh-CN"/>
        </w:rPr>
        <w:t>；</w:t>
      </w:r>
    </w:p>
    <w:p w14:paraId="23C8D901">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8</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单位负责人为同一人或者存在直接控股、管理关系的不同供应商，不得参加同一合同项下的采购活动；（提供“国家企业信用信息公示系统”中查询打印的相关信息并加盖公章</w:t>
      </w:r>
      <w:r>
        <w:rPr>
          <w:rFonts w:hint="eastAsia" w:ascii="宋体" w:hAnsi="宋体" w:cs="宋体"/>
          <w:color w:val="auto"/>
          <w:sz w:val="24"/>
          <w:szCs w:val="24"/>
          <w:highlight w:val="none"/>
          <w:lang w:val="zh-CN" w:eastAsia="zh-CN" w:bidi="zh-CN"/>
        </w:rPr>
        <w:t>【</w:t>
      </w:r>
      <w:r>
        <w:rPr>
          <w:rFonts w:hint="eastAsia" w:ascii="宋体" w:hAnsi="宋体" w:eastAsia="宋体" w:cs="宋体"/>
          <w:color w:val="auto"/>
          <w:sz w:val="24"/>
          <w:szCs w:val="24"/>
          <w:highlight w:val="none"/>
          <w:lang w:val="zh-CN" w:eastAsia="zh-CN" w:bidi="zh-CN"/>
        </w:rPr>
        <w:t>查询信息需包含公司基本信息、股东信息及股权变更信息等相关信息，查询日期为本项目公告发布之后</w:t>
      </w:r>
      <w:r>
        <w:rPr>
          <w:rFonts w:hint="eastAsia" w:ascii="宋体" w:hAnsi="宋体" w:cs="宋体"/>
          <w:color w:val="auto"/>
          <w:sz w:val="24"/>
          <w:szCs w:val="24"/>
          <w:highlight w:val="none"/>
          <w:lang w:val="zh-CN" w:eastAsia="zh-CN" w:bidi="zh-CN"/>
        </w:rPr>
        <w:t>】</w:t>
      </w:r>
      <w:r>
        <w:rPr>
          <w:rFonts w:hint="eastAsia" w:ascii="宋体" w:hAnsi="宋体" w:eastAsia="宋体" w:cs="宋体"/>
          <w:color w:val="auto"/>
          <w:sz w:val="24"/>
          <w:szCs w:val="24"/>
          <w:highlight w:val="none"/>
          <w:lang w:val="zh-CN" w:eastAsia="zh-CN" w:bidi="zh-CN"/>
        </w:rPr>
        <w:t>；</w:t>
      </w:r>
    </w:p>
    <w:p w14:paraId="1381891E">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9</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本项目不接受联合体投标（提供非联合体承诺，格式自拟）。</w:t>
      </w:r>
    </w:p>
    <w:p w14:paraId="71964383">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3.1</w:t>
      </w:r>
      <w:r>
        <w:rPr>
          <w:rFonts w:hint="eastAsia" w:ascii="宋体" w:hAnsi="宋体" w:cs="宋体"/>
          <w:color w:val="auto"/>
          <w:sz w:val="24"/>
          <w:szCs w:val="24"/>
          <w:highlight w:val="none"/>
          <w:lang w:val="en-US" w:eastAsia="zh-CN" w:bidi="zh-CN"/>
        </w:rPr>
        <w:t>0</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本次招标实行资格后审，资格审查的具体要求见竞争性磋商文件。</w:t>
      </w:r>
    </w:p>
    <w:p w14:paraId="42E6359A">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三、竞争性磋商文件获取：</w:t>
      </w:r>
    </w:p>
    <w:bookmarkEnd w:id="7"/>
    <w:bookmarkEnd w:id="8"/>
    <w:bookmarkEnd w:id="9"/>
    <w:p w14:paraId="0B33A95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1.时间：202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04</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28</w:t>
      </w:r>
      <w:r>
        <w:rPr>
          <w:rFonts w:hint="eastAsia" w:ascii="宋体" w:hAnsi="宋体" w:eastAsia="宋体" w:cs="宋体"/>
          <w:color w:val="auto"/>
          <w:sz w:val="24"/>
          <w:szCs w:val="24"/>
          <w:highlight w:val="none"/>
        </w:rPr>
        <w:t>日至</w:t>
      </w:r>
      <w:r>
        <w:rPr>
          <w:rFonts w:hint="eastAsia" w:ascii="宋体" w:hAnsi="宋体" w:cs="宋体"/>
          <w:color w:val="auto"/>
          <w:sz w:val="24"/>
          <w:szCs w:val="24"/>
          <w:highlight w:val="none"/>
          <w:lang w:eastAsia="zh-CN"/>
        </w:rPr>
        <w:t>2026年05月12日08时30分</w:t>
      </w:r>
      <w:r>
        <w:rPr>
          <w:rFonts w:hint="eastAsia" w:ascii="宋体" w:hAnsi="宋体" w:eastAsia="宋体" w:cs="宋体"/>
          <w:color w:val="auto"/>
          <w:sz w:val="24"/>
          <w:szCs w:val="24"/>
          <w:highlight w:val="none"/>
        </w:rPr>
        <w:t>（北京时间）</w:t>
      </w:r>
    </w:p>
    <w:p w14:paraId="4B303F04">
      <w:pPr>
        <w:spacing w:line="360" w:lineRule="auto"/>
        <w:ind w:firstLine="480" w:firstLineChars="200"/>
        <w:jc w:val="left"/>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2.地点：三门峡市公共资源交易中心网（http://gzjy.smx.gov.cn/）</w:t>
      </w:r>
    </w:p>
    <w:p w14:paraId="3B77DCC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3.方式：本项目没有报名环节，</w:t>
      </w:r>
      <w:r>
        <w:rPr>
          <w:rFonts w:hint="eastAsia" w:ascii="宋体" w:hAnsi="宋体" w:eastAsia="宋体" w:cs="宋体"/>
          <w:color w:val="auto"/>
          <w:kern w:val="0"/>
          <w:sz w:val="24"/>
          <w:szCs w:val="24"/>
          <w:highlight w:val="none"/>
          <w:lang w:val="en-US" w:eastAsia="zh-CN"/>
        </w:rPr>
        <w:t>供应商</w:t>
      </w:r>
      <w:r>
        <w:rPr>
          <w:rFonts w:hint="eastAsia" w:ascii="宋体" w:hAnsi="宋体" w:eastAsia="宋体" w:cs="宋体"/>
          <w:color w:val="auto"/>
          <w:sz w:val="24"/>
          <w:szCs w:val="24"/>
          <w:highlight w:val="none"/>
        </w:rPr>
        <w:t>凭CA数字证书通过（网址：http://gzjy.smx.gov.cn/），点击交易平台选择“市场主体登录”，登陆系统后，点击采购业务-业务管理-竞争性磋商文件领取菜单-点击领取按钮-领取.smxzf格式的电子竞争性磋商文件。</w:t>
      </w:r>
    </w:p>
    <w:p w14:paraId="0B00D6FA">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三门峡市公共资源交易平台操作手册：</w:t>
      </w:r>
    </w:p>
    <w:p w14:paraId="57A443D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http://gzjy.smx.gov.cn/fwzn/004003/20200325/2b5a3a5a-f987-405c-993f-88f43e1d1ac3.html</w:t>
      </w:r>
    </w:p>
    <w:p w14:paraId="5650A537">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办理CA证书：</w:t>
      </w:r>
    </w:p>
    <w:p w14:paraId="6E521C36">
      <w:pPr>
        <w:numPr>
          <w:ilvl w:val="0"/>
          <w:numId w:val="0"/>
        </w:num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rPr>
        <w:t>http://gzjy.smx.gov.cn/bzzx/008001/20231102/4defc9b5-408e-47f2-9e9f-1f376a06ee1f.html</w:t>
      </w:r>
    </w:p>
    <w:p w14:paraId="2841EE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售价：根据《关于进一步加强公共资源交易管理持续优化营商环境的通知》（三公管办〔2020〕2号）文件的要求，文件费用不再收取。</w:t>
      </w:r>
    </w:p>
    <w:p w14:paraId="2C00C195">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四、响应文件提交</w:t>
      </w:r>
    </w:p>
    <w:p w14:paraId="3888C0FB">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1、截止时间：</w:t>
      </w:r>
      <w:r>
        <w:rPr>
          <w:rFonts w:hint="eastAsia" w:ascii="宋体" w:hAnsi="宋体" w:cs="宋体"/>
          <w:color w:val="auto"/>
          <w:sz w:val="24"/>
          <w:szCs w:val="24"/>
          <w:highlight w:val="none"/>
          <w:lang w:val="zh-CN" w:eastAsia="zh-CN" w:bidi="zh-CN"/>
        </w:rPr>
        <w:t>2026年05月12日08时30分</w:t>
      </w:r>
      <w:r>
        <w:rPr>
          <w:rFonts w:hint="eastAsia" w:ascii="宋体" w:hAnsi="宋体" w:eastAsia="宋体" w:cs="宋体"/>
          <w:color w:val="auto"/>
          <w:sz w:val="24"/>
          <w:szCs w:val="24"/>
          <w:highlight w:val="none"/>
          <w:lang w:val="zh-CN" w:eastAsia="zh-CN" w:bidi="zh-CN"/>
        </w:rPr>
        <w:t>（北京时间）</w:t>
      </w:r>
    </w:p>
    <w:p w14:paraId="2541AE48">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2、地点：加密电子竞争性磋商响应文件须在磋商截止时间前通过三门峡市公共资源交易中心电子交易平台加密上传。（网址：http://gzjy.smx.gov.cn/）</w:t>
      </w:r>
    </w:p>
    <w:p w14:paraId="2B682197">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五、磋商时间和地点</w:t>
      </w:r>
    </w:p>
    <w:p w14:paraId="722D05D6">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1.响应文件递交截止时间及磋商时间：</w:t>
      </w:r>
      <w:r>
        <w:rPr>
          <w:rFonts w:hint="eastAsia" w:ascii="宋体" w:hAnsi="宋体" w:cs="宋体"/>
          <w:color w:val="auto"/>
          <w:sz w:val="24"/>
          <w:szCs w:val="24"/>
          <w:highlight w:val="none"/>
          <w:lang w:val="zh-CN" w:eastAsia="zh-CN" w:bidi="zh-CN"/>
        </w:rPr>
        <w:t>2026年05月12日08时30分</w:t>
      </w:r>
      <w:r>
        <w:rPr>
          <w:rFonts w:hint="eastAsia" w:ascii="宋体" w:hAnsi="宋体" w:eastAsia="宋体" w:cs="宋体"/>
          <w:color w:val="auto"/>
          <w:sz w:val="24"/>
          <w:szCs w:val="24"/>
          <w:highlight w:val="none"/>
          <w:lang w:val="zh-CN" w:eastAsia="zh-CN" w:bidi="zh-CN"/>
        </w:rPr>
        <w:t>。</w:t>
      </w:r>
    </w:p>
    <w:p w14:paraId="40310267">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2.磋商地点：灵宝市公共资源交易中心开</w:t>
      </w:r>
      <w:r>
        <w:rPr>
          <w:rFonts w:hint="eastAsia" w:ascii="宋体" w:hAnsi="宋体" w:cs="宋体"/>
          <w:color w:val="auto"/>
          <w:sz w:val="24"/>
          <w:szCs w:val="24"/>
          <w:highlight w:val="none"/>
          <w:lang w:val="zh-CN" w:eastAsia="zh-CN" w:bidi="zh-CN"/>
        </w:rPr>
        <w:t>标二室、评标三室</w:t>
      </w:r>
      <w:r>
        <w:rPr>
          <w:rFonts w:hint="eastAsia" w:ascii="宋体" w:hAnsi="宋体" w:eastAsia="宋体" w:cs="宋体"/>
          <w:color w:val="auto"/>
          <w:sz w:val="24"/>
          <w:szCs w:val="24"/>
          <w:highlight w:val="none"/>
          <w:lang w:val="zh-CN" w:eastAsia="zh-CN" w:bidi="zh-CN"/>
        </w:rPr>
        <w:t>（灵宝市信用合作联社 12 楼）。</w:t>
      </w:r>
    </w:p>
    <w:p w14:paraId="7162F708">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3、开标时供应商必须持CA密钥在规定时间内对本单位的加密电子响应文件进行远程解密。本次项目实行远程不见面开标。</w:t>
      </w:r>
    </w:p>
    <w:p w14:paraId="252F6359">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六、其他补充事宜</w:t>
      </w:r>
    </w:p>
    <w:p w14:paraId="33901E68">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1. 本项目为不见面开标项目。开标当日，磋商供应商无需到开标现场参加开标会议，磋商供应商应当在投标截止时间前，登陆不见面开标大厅选择登陆三门峡市公共资源电子招投标系统进行登陆（网址http://120.194.249.36:10094/BidOpening/bidopeninghallaction/hall/login）,在线准时参加开标活动并进行响应文件解密等。每位磋商供应商的解密时间为开标时间起30分钟内完成。因供应商原因未能解密、解密失败或解密超时的将被拒绝。</w:t>
      </w:r>
    </w:p>
    <w:p w14:paraId="45128140">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2.本项目为电子化、无纸化交易项目，开标时不再接受任何纸质资料，为保证您能投标成功，请需仔细阅读竞争性磋商文件和三门峡市公共资源交易中心官网业务办理指南。</w:t>
      </w:r>
    </w:p>
    <w:p w14:paraId="71F55DC7">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3.根据《河南省财政厅关于优化政府采购营商环境有关问题的通知》（豫财购【2019】4号）第6条的规定，磋商保证金不再收取。</w:t>
      </w:r>
    </w:p>
    <w:p w14:paraId="43E9DC46">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4.本项目实行资格后审，审查内容以投标文件为准，其上传资料真实性由供应商自行承担。</w:t>
      </w:r>
    </w:p>
    <w:p w14:paraId="2643F40C">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5.评标打分部分：评标打分部分仍按照100分制原则进行，涉及到资格审查、企业荣誉、企业业绩等计分部分时，以投标单位自行上传到磋商响应文件中的相应内容为准。</w:t>
      </w:r>
    </w:p>
    <w:p w14:paraId="2530E12E">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6.在竞争性磋商文件中要求投标人按照磋商响应文件格式进行磋商响应文件编制，在磋商响应文件编制时，应明确将供应商企业基本情况、人员情况、财务情况、业绩情况编入磋商响应文件，便于进行资格审查及评标打分。</w:t>
      </w:r>
    </w:p>
    <w:p w14:paraId="7A427ABE">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7.我单位（采购人）严格按三财购【2021】9号文要求的时限发布中标结果公告，发出中标通知书，签订采购合同，上传采购合同。</w:t>
      </w:r>
    </w:p>
    <w:p w14:paraId="07F8C077">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七、发布竞争性磋商公告的媒介</w:t>
      </w:r>
    </w:p>
    <w:p w14:paraId="6AA0235E">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本次磋商公告同时在《河南省政府采购网》、《中国采购与招标网》、《三门峡市公共资源交易中心网》上发布。</w:t>
      </w:r>
    </w:p>
    <w:p w14:paraId="0E8A1626">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八</w:t>
      </w:r>
      <w:r>
        <w:rPr>
          <w:rFonts w:hint="eastAsia" w:ascii="宋体" w:hAnsi="宋体" w:eastAsia="宋体" w:cs="宋体"/>
          <w:color w:val="auto"/>
          <w:sz w:val="24"/>
          <w:szCs w:val="24"/>
          <w:highlight w:val="none"/>
        </w:rPr>
        <w:t>、联系方式：</w:t>
      </w:r>
    </w:p>
    <w:p w14:paraId="15847A62">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监督单位：灵宝市财政局政府采购监督管理科</w:t>
      </w:r>
    </w:p>
    <w:p w14:paraId="43128B17">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联系电话：0398-8852670</w:t>
      </w:r>
    </w:p>
    <w:p w14:paraId="225B8E26">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监督单位：中共灵宝市自然资源和规划局党组</w:t>
      </w:r>
    </w:p>
    <w:p w14:paraId="5E95360B">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lang w:val="en-US" w:eastAsia="zh-CN"/>
        </w:rPr>
        <w:t>0398-8853801</w:t>
      </w:r>
    </w:p>
    <w:p w14:paraId="5711314D">
      <w:pPr>
        <w:keepNext w:val="0"/>
        <w:keepLines w:val="0"/>
        <w:pageBreakBefore w:val="0"/>
        <w:widowControl w:val="0"/>
        <w:kinsoku/>
        <w:wordWrap/>
        <w:overflowPunct/>
        <w:topLinePunct w:val="0"/>
        <w:bidi w:val="0"/>
        <w:adjustRightInd/>
        <w:snapToGrid/>
        <w:spacing w:line="360" w:lineRule="auto"/>
        <w:ind w:firstLine="484" w:firstLineChars="202"/>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w:t>
      </w:r>
      <w:bookmarkStart w:id="10" w:name="OLE_LINK1"/>
      <w:r>
        <w:rPr>
          <w:rFonts w:hint="eastAsia" w:ascii="宋体" w:hAnsi="宋体" w:eastAsia="宋体" w:cs="宋体"/>
          <w:color w:val="auto"/>
          <w:sz w:val="24"/>
          <w:szCs w:val="24"/>
          <w:highlight w:val="none"/>
          <w:lang w:val="en-US" w:eastAsia="zh-CN"/>
        </w:rPr>
        <w:t>灵宝市自然资源和规划局</w:t>
      </w:r>
      <w:bookmarkEnd w:id="10"/>
    </w:p>
    <w:p w14:paraId="719AD916">
      <w:pPr>
        <w:keepNext w:val="0"/>
        <w:keepLines w:val="0"/>
        <w:pageBreakBefore w:val="0"/>
        <w:widowControl w:val="0"/>
        <w:kinsoku/>
        <w:wordWrap/>
        <w:overflowPunct/>
        <w:topLinePunct w:val="0"/>
        <w:bidi w:val="0"/>
        <w:adjustRightInd/>
        <w:snapToGrid/>
        <w:spacing w:line="360" w:lineRule="auto"/>
        <w:ind w:firstLine="484" w:firstLineChars="202"/>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w:t>
      </w:r>
      <w:r>
        <w:rPr>
          <w:rFonts w:hint="eastAsia" w:ascii="宋体" w:hAnsi="宋体" w:cs="宋体"/>
          <w:color w:val="auto"/>
          <w:sz w:val="24"/>
          <w:szCs w:val="24"/>
          <w:highlight w:val="none"/>
          <w:lang w:val="en-US" w:eastAsia="zh-CN"/>
        </w:rPr>
        <w:t>李先生</w:t>
      </w:r>
    </w:p>
    <w:p w14:paraId="695FA72C">
      <w:pPr>
        <w:keepNext w:val="0"/>
        <w:keepLines w:val="0"/>
        <w:pageBreakBefore w:val="0"/>
        <w:widowControl w:val="0"/>
        <w:kinsoku/>
        <w:wordWrap/>
        <w:overflowPunct/>
        <w:topLinePunct w:val="0"/>
        <w:bidi w:val="0"/>
        <w:adjustRightInd/>
        <w:snapToGrid/>
        <w:spacing w:line="360" w:lineRule="auto"/>
        <w:ind w:firstLine="484" w:firstLineChars="202"/>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联系电话：</w:t>
      </w:r>
      <w:r>
        <w:rPr>
          <w:rFonts w:hint="eastAsia" w:ascii="宋体" w:hAnsi="宋体" w:cs="宋体"/>
          <w:color w:val="auto"/>
          <w:sz w:val="24"/>
          <w:szCs w:val="24"/>
          <w:highlight w:val="none"/>
          <w:lang w:val="en-US" w:eastAsia="zh-CN"/>
        </w:rPr>
        <w:t>0398-8859892</w:t>
      </w:r>
    </w:p>
    <w:p w14:paraId="3DE8B94C">
      <w:pPr>
        <w:keepNext w:val="0"/>
        <w:keepLines w:val="0"/>
        <w:pageBreakBefore w:val="0"/>
        <w:widowControl w:val="0"/>
        <w:kinsoku/>
        <w:wordWrap/>
        <w:overflowPunct/>
        <w:topLinePunct w:val="0"/>
        <w:bidi w:val="0"/>
        <w:adjustRightInd/>
        <w:snapToGrid/>
        <w:spacing w:line="360" w:lineRule="auto"/>
        <w:ind w:firstLine="484" w:firstLineChars="202"/>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    址：灵宝市函谷路56号</w:t>
      </w:r>
    </w:p>
    <w:p w14:paraId="35CDB36C">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代理机构：</w:t>
      </w:r>
      <w:r>
        <w:rPr>
          <w:rFonts w:hint="eastAsia" w:ascii="宋体" w:hAnsi="宋体" w:cs="宋体"/>
          <w:color w:val="auto"/>
          <w:sz w:val="24"/>
          <w:szCs w:val="24"/>
          <w:highlight w:val="none"/>
          <w:lang w:eastAsia="zh-CN"/>
        </w:rPr>
        <w:t>河南匠之心工程咨询有限公司</w:t>
      </w:r>
    </w:p>
    <w:p w14:paraId="4840E4CC">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　　址：</w:t>
      </w:r>
      <w:r>
        <w:rPr>
          <w:rFonts w:hint="eastAsia" w:ascii="宋体" w:hAnsi="宋体" w:cs="宋体"/>
          <w:color w:val="auto"/>
          <w:sz w:val="24"/>
          <w:szCs w:val="24"/>
          <w:highlight w:val="none"/>
          <w:lang w:val="en-US" w:eastAsia="zh-CN"/>
        </w:rPr>
        <w:t>河南自贸试验区郑州片区（经开）航海东路1356号商鼎大厦506、508号房间</w:t>
      </w:r>
    </w:p>
    <w:p w14:paraId="64FAE861">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 系 人：</w:t>
      </w:r>
      <w:r>
        <w:rPr>
          <w:rFonts w:hint="eastAsia" w:ascii="宋体" w:hAnsi="宋体" w:cs="宋体"/>
          <w:bCs/>
          <w:color w:val="auto"/>
          <w:kern w:val="0"/>
          <w:sz w:val="24"/>
          <w:szCs w:val="24"/>
          <w:highlight w:val="none"/>
          <w:lang w:val="en-US" w:eastAsia="zh-CN"/>
        </w:rPr>
        <w:t>纪先生</w:t>
      </w:r>
    </w:p>
    <w:p w14:paraId="42E5796E">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电    话：</w:t>
      </w:r>
      <w:r>
        <w:rPr>
          <w:rFonts w:hint="eastAsia" w:ascii="宋体" w:hAnsi="宋体" w:cs="宋体"/>
          <w:color w:val="auto"/>
          <w:sz w:val="24"/>
          <w:szCs w:val="24"/>
          <w:highlight w:val="none"/>
          <w:lang w:val="en-US" w:eastAsia="zh-CN"/>
        </w:rPr>
        <w:t>15837183802</w:t>
      </w:r>
    </w:p>
    <w:p w14:paraId="262CB200">
      <w:pP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br w:type="page"/>
      </w:r>
    </w:p>
    <w:p w14:paraId="55170264">
      <w:pPr>
        <w:jc w:val="center"/>
        <w:outlineLvl w:val="0"/>
        <w:rPr>
          <w:rFonts w:hint="eastAsia" w:ascii="宋体" w:hAnsi="宋体" w:eastAsia="宋体" w:cs="宋体"/>
          <w:b/>
          <w:bCs/>
          <w:color w:val="auto"/>
          <w:sz w:val="32"/>
          <w:szCs w:val="32"/>
          <w:highlight w:val="none"/>
        </w:rPr>
      </w:pPr>
      <w:bookmarkStart w:id="11" w:name="_Toc16520676"/>
      <w:bookmarkStart w:id="12" w:name="_Toc121405491"/>
      <w:bookmarkStart w:id="13" w:name="_Toc8041"/>
      <w:bookmarkStart w:id="14" w:name="_Toc27546"/>
      <w:bookmarkStart w:id="15" w:name="_Toc508179883"/>
      <w:bookmarkStart w:id="16" w:name="_Toc16520164"/>
      <w:r>
        <w:rPr>
          <w:rFonts w:hint="eastAsia" w:ascii="宋体" w:hAnsi="宋体" w:eastAsia="宋体" w:cs="宋体"/>
          <w:b/>
          <w:bCs/>
          <w:color w:val="auto"/>
          <w:sz w:val="32"/>
          <w:szCs w:val="32"/>
          <w:highlight w:val="none"/>
        </w:rPr>
        <w:t>第二章 供应商须知</w:t>
      </w:r>
      <w:bookmarkEnd w:id="11"/>
      <w:bookmarkEnd w:id="12"/>
      <w:bookmarkEnd w:id="13"/>
      <w:bookmarkEnd w:id="14"/>
      <w:bookmarkEnd w:id="15"/>
      <w:bookmarkEnd w:id="16"/>
    </w:p>
    <w:p w14:paraId="04D47E46">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供应商须知前附表</w:t>
      </w:r>
    </w:p>
    <w:tbl>
      <w:tblPr>
        <w:tblStyle w:val="17"/>
        <w:tblW w:w="9935" w:type="dxa"/>
        <w:jc w:val="center"/>
        <w:tblLayout w:type="fixed"/>
        <w:tblCellMar>
          <w:top w:w="0" w:type="dxa"/>
          <w:left w:w="108" w:type="dxa"/>
          <w:bottom w:w="0" w:type="dxa"/>
          <w:right w:w="108" w:type="dxa"/>
        </w:tblCellMar>
      </w:tblPr>
      <w:tblGrid>
        <w:gridCol w:w="987"/>
        <w:gridCol w:w="2657"/>
        <w:gridCol w:w="6291"/>
      </w:tblGrid>
      <w:tr w14:paraId="5A242678">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0C446D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条款号</w:t>
            </w:r>
          </w:p>
        </w:tc>
        <w:tc>
          <w:tcPr>
            <w:tcW w:w="2657" w:type="dxa"/>
            <w:tcBorders>
              <w:top w:val="single" w:color="auto" w:sz="4" w:space="0"/>
              <w:left w:val="single" w:color="auto" w:sz="4" w:space="0"/>
              <w:bottom w:val="single" w:color="auto" w:sz="4" w:space="0"/>
              <w:right w:val="single" w:color="auto" w:sz="4" w:space="0"/>
            </w:tcBorders>
            <w:noWrap w:val="0"/>
            <w:vAlign w:val="center"/>
          </w:tcPr>
          <w:p w14:paraId="550CF9D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  款  名  称</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5B6827FF">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编  列  内  容</w:t>
            </w:r>
          </w:p>
        </w:tc>
      </w:tr>
      <w:tr w14:paraId="6EB74844">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62490D7A">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5558E3A2">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 购 人</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7FC700CB">
            <w:pPr>
              <w:spacing w:line="45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采购人：灵宝市自然资源和规划局</w:t>
            </w:r>
          </w:p>
          <w:p w14:paraId="29F0C145">
            <w:pPr>
              <w:spacing w:line="45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联 系 人：</w:t>
            </w:r>
            <w:r>
              <w:rPr>
                <w:rFonts w:hint="eastAsia" w:ascii="宋体" w:hAnsi="宋体" w:cs="宋体"/>
                <w:color w:val="auto"/>
                <w:sz w:val="24"/>
                <w:szCs w:val="24"/>
                <w:highlight w:val="none"/>
                <w:lang w:val="en-US" w:eastAsia="zh-CN"/>
              </w:rPr>
              <w:t>李先生</w:t>
            </w:r>
          </w:p>
          <w:p w14:paraId="6FBA36B6">
            <w:pPr>
              <w:spacing w:line="45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联系电话：</w:t>
            </w:r>
            <w:r>
              <w:rPr>
                <w:rFonts w:hint="eastAsia" w:ascii="宋体" w:hAnsi="宋体" w:cs="宋体"/>
                <w:color w:val="auto"/>
                <w:sz w:val="24"/>
                <w:highlight w:val="none"/>
                <w:lang w:val="en-US" w:eastAsia="zh-CN"/>
              </w:rPr>
              <w:t>0398-8859892</w:t>
            </w:r>
          </w:p>
          <w:p w14:paraId="6616E529">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地址：灵宝市函谷路56号</w:t>
            </w:r>
          </w:p>
        </w:tc>
      </w:tr>
      <w:tr w14:paraId="4B6EF93B">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442B301">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27572470">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采购代理机构</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5AE4C84">
            <w:pPr>
              <w:spacing w:line="45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代理机构：</w:t>
            </w:r>
            <w:r>
              <w:rPr>
                <w:rFonts w:hint="eastAsia" w:ascii="宋体" w:hAnsi="宋体" w:cs="宋体"/>
                <w:color w:val="auto"/>
                <w:sz w:val="24"/>
                <w:highlight w:val="none"/>
                <w:lang w:eastAsia="zh-CN"/>
              </w:rPr>
              <w:t>河南匠之心工程咨询有限公司</w:t>
            </w:r>
          </w:p>
          <w:p w14:paraId="7A6060D9">
            <w:pPr>
              <w:spacing w:line="45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地址：</w:t>
            </w:r>
            <w:r>
              <w:rPr>
                <w:rFonts w:hint="eastAsia" w:ascii="宋体" w:hAnsi="宋体" w:cs="宋体"/>
                <w:color w:val="auto"/>
                <w:sz w:val="24"/>
                <w:highlight w:val="none"/>
                <w:lang w:val="en-US" w:eastAsia="zh-CN"/>
              </w:rPr>
              <w:t>河南自贸试验区郑州片区（经开）航海东路1356号商鼎大厦506、508号房间</w:t>
            </w:r>
          </w:p>
          <w:p w14:paraId="42967CA6">
            <w:pPr>
              <w:spacing w:line="45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联系人：</w:t>
            </w:r>
            <w:r>
              <w:rPr>
                <w:rFonts w:hint="eastAsia" w:ascii="宋体" w:hAnsi="宋体" w:cs="宋体"/>
                <w:color w:val="auto"/>
                <w:sz w:val="24"/>
                <w:highlight w:val="none"/>
                <w:lang w:val="en-US" w:eastAsia="zh-CN"/>
              </w:rPr>
              <w:t>纪先生</w:t>
            </w:r>
          </w:p>
          <w:p w14:paraId="6959FE90">
            <w:pPr>
              <w:spacing w:line="45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电话：</w:t>
            </w:r>
            <w:r>
              <w:rPr>
                <w:rFonts w:hint="eastAsia" w:ascii="宋体" w:hAnsi="宋体" w:cs="宋体"/>
                <w:color w:val="auto"/>
                <w:sz w:val="24"/>
                <w:highlight w:val="none"/>
                <w:lang w:val="en-US" w:eastAsia="zh-CN"/>
              </w:rPr>
              <w:t>15837183802</w:t>
            </w:r>
          </w:p>
        </w:tc>
      </w:tr>
      <w:tr w14:paraId="742449AE">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EDBFDDF">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437C9B22">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217B02D8">
            <w:pPr>
              <w:widowControl/>
              <w:spacing w:line="420" w:lineRule="exact"/>
              <w:jc w:val="left"/>
              <w:rPr>
                <w:rFonts w:hint="eastAsia" w:ascii="宋体" w:hAnsi="宋体" w:eastAsia="宋体" w:cs="宋体"/>
                <w:color w:val="auto"/>
                <w:sz w:val="24"/>
                <w:highlight w:val="none"/>
              </w:rPr>
            </w:pPr>
            <w:r>
              <w:rPr>
                <w:rFonts w:hint="eastAsia" w:ascii="宋体" w:hAnsi="宋体" w:cs="宋体"/>
                <w:color w:val="auto"/>
                <w:sz w:val="24"/>
                <w:highlight w:val="none"/>
                <w:lang w:eastAsia="zh-CN"/>
              </w:rPr>
              <w:t>灵宝市自然资源和规划局灵宝市耕地保护和国土绿化空间专项规划项目</w:t>
            </w:r>
          </w:p>
        </w:tc>
      </w:tr>
      <w:tr w14:paraId="59B0F8D4">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B4C3FA7">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1BA4358D">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采购内容</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4D083205">
            <w:pPr>
              <w:widowControl/>
              <w:spacing w:line="420" w:lineRule="exact"/>
              <w:jc w:val="left"/>
              <w:rPr>
                <w:rFonts w:hint="eastAsia" w:ascii="宋体" w:hAnsi="宋体" w:eastAsia="宋体" w:cs="宋体"/>
                <w:color w:val="auto"/>
                <w:sz w:val="24"/>
                <w:highlight w:val="none"/>
              </w:rPr>
            </w:pPr>
            <w:r>
              <w:rPr>
                <w:rFonts w:hint="eastAsia" w:ascii="宋体" w:hAnsi="宋体" w:cs="宋体"/>
                <w:color w:val="auto"/>
                <w:sz w:val="24"/>
                <w:szCs w:val="24"/>
                <w:highlight w:val="none"/>
                <w:lang w:eastAsia="zh-CN"/>
              </w:rPr>
              <w:t>灵宝市自然资源和规划局灵宝市耕地保护和国土绿化空间专项规划项目</w:t>
            </w:r>
            <w:r>
              <w:rPr>
                <w:rFonts w:hint="eastAsia" w:ascii="宋体" w:hAnsi="宋体" w:cs="宋体"/>
                <w:color w:val="auto"/>
                <w:sz w:val="24"/>
                <w:szCs w:val="24"/>
                <w:highlight w:val="none"/>
              </w:rPr>
              <w:t>；具体内容详见磋商文件</w:t>
            </w:r>
          </w:p>
        </w:tc>
      </w:tr>
      <w:tr w14:paraId="58B9839C">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99AF25A">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2D06EB27">
            <w:pPr>
              <w:spacing w:line="45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服务质量</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2F4E5610">
            <w:pPr>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eastAsia="zh-CN"/>
              </w:rPr>
              <w:t>符合现行国家规程、地方技术方案及相关标准的规定，质量要求达到合格，通过上级行政主管部门的评审及验收</w:t>
            </w:r>
            <w:r>
              <w:rPr>
                <w:rFonts w:hint="eastAsia" w:ascii="宋体" w:hAnsi="宋体" w:cs="宋体"/>
                <w:color w:val="auto"/>
                <w:sz w:val="24"/>
                <w:highlight w:val="none"/>
                <w:lang w:val="zh-CN" w:eastAsia="zh-CN"/>
              </w:rPr>
              <w:t>；</w:t>
            </w:r>
          </w:p>
        </w:tc>
      </w:tr>
      <w:tr w14:paraId="5D426E45">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29B686C">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59BF3A40">
            <w:pPr>
              <w:spacing w:line="480" w:lineRule="exact"/>
              <w:jc w:val="center"/>
              <w:rPr>
                <w:rFonts w:hint="eastAsia" w:ascii="宋体" w:hAnsi="宋体" w:eastAsia="宋体" w:cs="宋体"/>
                <w:color w:val="auto"/>
                <w:sz w:val="24"/>
                <w:highlight w:val="none"/>
                <w:lang w:val="zh-CN" w:eastAsia="zh-CN"/>
              </w:rPr>
            </w:pPr>
            <w:r>
              <w:rPr>
                <w:rFonts w:hint="eastAsia" w:ascii="宋体" w:hAnsi="宋体" w:eastAsia="宋体" w:cs="宋体"/>
                <w:color w:val="auto"/>
                <w:sz w:val="24"/>
                <w:highlight w:val="none"/>
                <w:lang w:val="en-US" w:eastAsia="zh-CN"/>
              </w:rPr>
              <w:t>服务期限</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70B5A425">
            <w:pPr>
              <w:spacing w:line="48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zh-CN" w:eastAsia="zh-CN"/>
              </w:rPr>
              <w:t>自签订合同之日起60日历天完成项目服务并提交成果；</w:t>
            </w:r>
          </w:p>
        </w:tc>
      </w:tr>
      <w:tr w14:paraId="75F1F623">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635BAF8C">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3322CE21">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服务</w:t>
            </w:r>
            <w:r>
              <w:rPr>
                <w:rFonts w:hint="eastAsia" w:ascii="宋体" w:hAnsi="宋体" w:eastAsia="宋体" w:cs="宋体"/>
                <w:color w:val="auto"/>
                <w:sz w:val="24"/>
                <w:highlight w:val="none"/>
              </w:rPr>
              <w:t>地点</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5B5BEADC">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采购人指定地点</w:t>
            </w:r>
          </w:p>
        </w:tc>
      </w:tr>
      <w:tr w14:paraId="49771123">
        <w:tblPrEx>
          <w:tblCellMar>
            <w:top w:w="0" w:type="dxa"/>
            <w:left w:w="108" w:type="dxa"/>
            <w:bottom w:w="0" w:type="dxa"/>
            <w:right w:w="108" w:type="dxa"/>
          </w:tblCellMar>
        </w:tblPrEx>
        <w:trPr>
          <w:trHeight w:val="531"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0C50FB7">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top"/>
          </w:tcPr>
          <w:p w14:paraId="46C493BE">
            <w:pPr>
              <w:spacing w:line="480" w:lineRule="exact"/>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标段划分</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A9C3B10">
            <w:pPr>
              <w:spacing w:line="48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不划分标段</w:t>
            </w:r>
          </w:p>
        </w:tc>
      </w:tr>
      <w:tr w14:paraId="23FFA75C">
        <w:tblPrEx>
          <w:tblCellMar>
            <w:top w:w="0" w:type="dxa"/>
            <w:left w:w="108" w:type="dxa"/>
            <w:bottom w:w="0" w:type="dxa"/>
            <w:right w:w="108" w:type="dxa"/>
          </w:tblCellMar>
        </w:tblPrEx>
        <w:trPr>
          <w:trHeight w:val="531"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33B3B78">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24C23553">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资金来源</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E54C105">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财政</w:t>
            </w:r>
            <w:r>
              <w:rPr>
                <w:rFonts w:hint="eastAsia" w:ascii="宋体" w:hAnsi="宋体" w:eastAsia="宋体" w:cs="宋体"/>
                <w:color w:val="auto"/>
                <w:sz w:val="24"/>
                <w:highlight w:val="none"/>
              </w:rPr>
              <w:t>资金</w:t>
            </w:r>
          </w:p>
        </w:tc>
      </w:tr>
      <w:tr w14:paraId="2BA74D41">
        <w:tblPrEx>
          <w:tblCellMar>
            <w:top w:w="0" w:type="dxa"/>
            <w:left w:w="108" w:type="dxa"/>
            <w:bottom w:w="0" w:type="dxa"/>
            <w:right w:w="108" w:type="dxa"/>
          </w:tblCellMar>
        </w:tblPrEx>
        <w:trPr>
          <w:trHeight w:val="531"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23099F2">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31A600FA">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资金落实情况</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48669107">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已落实</w:t>
            </w:r>
          </w:p>
        </w:tc>
      </w:tr>
      <w:tr w14:paraId="0D3FEAE6">
        <w:tblPrEx>
          <w:tblCellMar>
            <w:top w:w="0" w:type="dxa"/>
            <w:left w:w="108" w:type="dxa"/>
            <w:bottom w:w="0" w:type="dxa"/>
            <w:right w:w="108" w:type="dxa"/>
          </w:tblCellMar>
        </w:tblPrEx>
        <w:trPr>
          <w:trHeight w:val="9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D6EBB3">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4A4EA313">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供应商资质条件</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70103D7B">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480" w:lineRule="exact"/>
              <w:jc w:val="both"/>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同第一章竞争性磋商公告“二、供应商资格要求”</w:t>
            </w:r>
          </w:p>
        </w:tc>
      </w:tr>
      <w:tr w14:paraId="7F803A3F">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821ECEF">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014C0336">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投标预备会</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077E803F">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■不召开</w:t>
            </w:r>
          </w:p>
        </w:tc>
      </w:tr>
      <w:tr w14:paraId="2B9AFBE6">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CF62C31">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68C8F9D1">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分包</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0084446F">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■不允许</w:t>
            </w:r>
          </w:p>
        </w:tc>
      </w:tr>
      <w:tr w14:paraId="1BA94F4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6AE0964E">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5D81BEFC">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偏离</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043EA354">
            <w:pPr>
              <w:spacing w:line="360" w:lineRule="auto"/>
              <w:rPr>
                <w:rFonts w:hint="default" w:ascii="宋体" w:hAnsi="宋体" w:eastAsia="宋体" w:cs="宋体"/>
                <w:color w:val="auto"/>
                <w:sz w:val="24"/>
                <w:highlight w:val="none"/>
                <w:lang w:val="en-US"/>
              </w:rPr>
            </w:pPr>
            <w:r>
              <w:rPr>
                <w:rFonts w:hint="eastAsia" w:ascii="宋体" w:hAnsi="宋体" w:eastAsia="宋体" w:cs="宋体"/>
                <w:caps w:val="0"/>
                <w:color w:val="auto"/>
                <w:spacing w:val="0"/>
                <w:sz w:val="24"/>
                <w:szCs w:val="24"/>
                <w:highlight w:val="none"/>
                <w:lang w:eastAsia="zh-CN"/>
              </w:rPr>
              <w:t>■不允许</w:t>
            </w:r>
            <w:r>
              <w:rPr>
                <w:rFonts w:hint="eastAsia" w:ascii="宋体" w:hAnsi="宋体" w:eastAsia="宋体" w:cs="宋体"/>
                <w:caps w:val="0"/>
                <w:color w:val="auto"/>
                <w:spacing w:val="0"/>
                <w:sz w:val="24"/>
                <w:szCs w:val="24"/>
                <w:highlight w:val="none"/>
                <w:lang w:val="en-US" w:eastAsia="zh-CN"/>
              </w:rPr>
              <w:t>负偏离</w:t>
            </w:r>
          </w:p>
        </w:tc>
      </w:tr>
      <w:tr w14:paraId="1A529130">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225F5D">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4186E7FC">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踏勘现场</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B46A849">
            <w:pPr>
              <w:spacing w:line="360" w:lineRule="auto"/>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lang w:eastAsia="zh-CN"/>
              </w:rPr>
              <w:t>■不组织，投标人自行踏勘。</w:t>
            </w:r>
          </w:p>
        </w:tc>
      </w:tr>
      <w:tr w14:paraId="48902E97">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ADCCB2E">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66F04BDC">
            <w:pPr>
              <w:spacing w:line="45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是否接受联合体投标</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273168A4">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■不允许</w:t>
            </w:r>
          </w:p>
        </w:tc>
      </w:tr>
      <w:tr w14:paraId="76B27C3D">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03551A96">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131A78AE">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供应商提出问题的截止时间</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4C065A38">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响应性文件递交截止时间5天前</w:t>
            </w:r>
          </w:p>
        </w:tc>
      </w:tr>
      <w:tr w14:paraId="30B59959">
        <w:tblPrEx>
          <w:tblCellMar>
            <w:top w:w="0" w:type="dxa"/>
            <w:left w:w="108" w:type="dxa"/>
            <w:bottom w:w="0" w:type="dxa"/>
            <w:right w:w="108" w:type="dxa"/>
          </w:tblCellMar>
        </w:tblPrEx>
        <w:trPr>
          <w:trHeight w:val="716"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0DABCE1">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51C93986">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采购人书面澄清的时间</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A585014">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响应性文件递交截止时间5天前</w:t>
            </w:r>
          </w:p>
        </w:tc>
      </w:tr>
      <w:tr w14:paraId="1ABBCE0F">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6BF1271">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6DE2770A">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磋商文件澄清或者修改发出的形式</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47C2705">
            <w:pPr>
              <w:spacing w:line="360" w:lineRule="auto"/>
              <w:rPr>
                <w:rFonts w:hint="eastAsia" w:ascii="宋体" w:hAnsi="宋体" w:eastAsia="宋体" w:cs="宋体"/>
                <w:color w:val="auto"/>
                <w:sz w:val="24"/>
                <w:highlight w:val="none"/>
                <w:lang w:eastAsia="zh-CN"/>
              </w:rPr>
            </w:pPr>
            <w:r>
              <w:rPr>
                <w:rFonts w:hint="eastAsia" w:ascii="宋体" w:hAnsi="宋体" w:eastAsia="宋体" w:cs="宋体"/>
                <w:caps w:val="0"/>
                <w:color w:val="auto"/>
                <w:spacing w:val="0"/>
                <w:sz w:val="24"/>
                <w:szCs w:val="24"/>
                <w:highlight w:val="none"/>
                <w:lang w:eastAsia="zh-CN"/>
              </w:rPr>
              <w:t>所有投标单位请时刻关注三门峡市公共资源交易中心电子化交易系统，该项目所有澄清、修改、答疑、变更均在</w:t>
            </w:r>
            <w:r>
              <w:rPr>
                <w:rFonts w:hint="eastAsia" w:ascii="宋体" w:hAnsi="宋体" w:eastAsia="宋体" w:cs="宋体"/>
                <w:caps w:val="0"/>
                <w:color w:val="auto"/>
                <w:spacing w:val="0"/>
                <w:sz w:val="24"/>
                <w:szCs w:val="24"/>
                <w:highlight w:val="none"/>
                <w:lang w:val="en-US" w:eastAsia="zh-CN"/>
              </w:rPr>
              <w:t>招标公告</w:t>
            </w:r>
            <w:r>
              <w:rPr>
                <w:rFonts w:hint="eastAsia" w:ascii="宋体" w:hAnsi="宋体" w:eastAsia="宋体" w:cs="宋体"/>
                <w:caps w:val="0"/>
                <w:color w:val="auto"/>
                <w:spacing w:val="0"/>
                <w:sz w:val="24"/>
                <w:szCs w:val="24"/>
                <w:highlight w:val="none"/>
                <w:lang w:eastAsia="zh-CN"/>
              </w:rPr>
              <w:t>发布</w:t>
            </w:r>
            <w:r>
              <w:rPr>
                <w:rFonts w:hint="eastAsia" w:ascii="宋体" w:hAnsi="宋体" w:eastAsia="宋体" w:cs="宋体"/>
                <w:caps w:val="0"/>
                <w:color w:val="auto"/>
                <w:spacing w:val="0"/>
                <w:sz w:val="24"/>
                <w:szCs w:val="24"/>
                <w:highlight w:val="none"/>
                <w:lang w:val="en-US" w:eastAsia="zh-CN"/>
              </w:rPr>
              <w:t>同一网站</w:t>
            </w:r>
            <w:r>
              <w:rPr>
                <w:rFonts w:hint="eastAsia" w:ascii="宋体" w:hAnsi="宋体" w:eastAsia="宋体" w:cs="宋体"/>
                <w:caps w:val="0"/>
                <w:color w:val="auto"/>
                <w:spacing w:val="0"/>
                <w:sz w:val="24"/>
                <w:szCs w:val="24"/>
                <w:highlight w:val="none"/>
                <w:lang w:eastAsia="zh-CN"/>
              </w:rPr>
              <w:t>，不再另行通知。如未及时查看影响其投标，后果自负。（如有）</w:t>
            </w:r>
          </w:p>
        </w:tc>
      </w:tr>
      <w:tr w14:paraId="69012DAD">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38CD4B9">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0E866DC4">
            <w:pPr>
              <w:widowControl/>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确认收到磋商文件澄清或者修改</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23014F5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供应商在投标截止时间前须自行查看在原公告发布媒体上发布的澄清或修改公告，因供应商未及时查看而造成的后果自负。</w:t>
            </w:r>
          </w:p>
        </w:tc>
      </w:tr>
      <w:tr w14:paraId="59F495FD">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66A0833">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454D7482">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构成竞争性磋商文件的其他材料</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09A5A87F">
            <w:pPr>
              <w:spacing w:line="360" w:lineRule="auto"/>
              <w:rPr>
                <w:rFonts w:hint="eastAsia" w:ascii="宋体" w:hAnsi="宋体" w:eastAsia="宋体" w:cs="宋体"/>
                <w:color w:val="auto"/>
                <w:sz w:val="24"/>
                <w:highlight w:val="none"/>
                <w:lang w:eastAsia="zh-CN"/>
              </w:rPr>
            </w:pPr>
            <w:r>
              <w:rPr>
                <w:rFonts w:hint="eastAsia" w:ascii="宋体" w:hAnsi="宋体" w:eastAsia="宋体" w:cs="宋体"/>
                <w:caps w:val="0"/>
                <w:color w:val="auto"/>
                <w:spacing w:val="0"/>
                <w:sz w:val="24"/>
                <w:szCs w:val="24"/>
                <w:highlight w:val="none"/>
                <w:lang w:eastAsia="zh-CN"/>
              </w:rPr>
              <w:t>答疑纪要、竞争性磋商文件的补充和修改文件（如有）、工程量清单、招标控制价等。</w:t>
            </w:r>
          </w:p>
        </w:tc>
      </w:tr>
      <w:tr w14:paraId="29328CDA">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17E9C99">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7331A5A4">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投标人要求澄清竞争性磋商文件的截止时间</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6BB5A1C">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供应商认为磋商文件、磋商过程、成交结果使自己的权益受到损害的，可以在知道或者应知其权益受到损害之日起7个工作日内，以书面形式向招标人、招标代理机构提出质疑。</w:t>
            </w:r>
          </w:p>
          <w:p w14:paraId="5421F3E4">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要求供应商在法定质疑期内一次性提出针对同一磋商程序环节的质疑。</w:t>
            </w:r>
          </w:p>
        </w:tc>
      </w:tr>
      <w:tr w14:paraId="1DF3F796">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E57291">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3728E34D">
            <w:pPr>
              <w:spacing w:line="45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响应性文件递交截止</w:t>
            </w:r>
            <w:r>
              <w:rPr>
                <w:rFonts w:hint="eastAsia" w:ascii="宋体" w:hAnsi="宋体" w:eastAsia="宋体" w:cs="宋体"/>
                <w:color w:val="auto"/>
                <w:sz w:val="24"/>
                <w:highlight w:val="none"/>
                <w:lang w:eastAsia="zh-CN"/>
              </w:rPr>
              <w:t>地点</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D4DC603">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同公告</w:t>
            </w:r>
          </w:p>
        </w:tc>
      </w:tr>
      <w:tr w14:paraId="6EA59651">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09D23CA">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7F5AB93C">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供应商确认收到竞争性磋商文件的澄清时间</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AB615D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收到竞争性磋商文件澄清24小时内</w:t>
            </w:r>
          </w:p>
        </w:tc>
      </w:tr>
      <w:tr w14:paraId="0E03C78B">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1000DF5">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3894CC8A">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供应商确认收到竞争性磋商文件的修改时间</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4A96D2D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收到竞争性磋商文件澄清24小时内</w:t>
            </w:r>
          </w:p>
        </w:tc>
      </w:tr>
      <w:tr w14:paraId="3A5B5784">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629A3AA">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0255B5B4">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投标有效期</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62EC99A3">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自响应性文件递交截止之日起60日历天</w:t>
            </w:r>
          </w:p>
        </w:tc>
      </w:tr>
      <w:tr w14:paraId="624AAA46">
        <w:tblPrEx>
          <w:tblCellMar>
            <w:top w:w="0" w:type="dxa"/>
            <w:left w:w="108" w:type="dxa"/>
            <w:bottom w:w="0" w:type="dxa"/>
            <w:right w:w="108" w:type="dxa"/>
          </w:tblCellMar>
        </w:tblPrEx>
        <w:trPr>
          <w:trHeight w:val="9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3FEDA01">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top"/>
          </w:tcPr>
          <w:p w14:paraId="3398BDD7">
            <w:pPr>
              <w:spacing w:line="400" w:lineRule="exact"/>
              <w:jc w:val="left"/>
              <w:rPr>
                <w:rFonts w:hint="eastAsia" w:ascii="宋体" w:hAnsi="宋体" w:eastAsia="宋体" w:cs="宋体"/>
                <w:color w:val="auto"/>
                <w:sz w:val="24"/>
                <w:highlight w:val="none"/>
              </w:rPr>
            </w:pPr>
            <w:r>
              <w:rPr>
                <w:rFonts w:hint="eastAsia" w:ascii="Times New Roman" w:hAnsi="Times New Roman"/>
                <w:color w:val="auto"/>
                <w:sz w:val="24"/>
                <w:szCs w:val="24"/>
                <w:highlight w:val="none"/>
                <w:shd w:val="clear" w:color="auto" w:fill="FFFFFF"/>
                <w:lang w:bidi="ar"/>
              </w:rPr>
              <w:t>近年财务状况的年份要求</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2E005376">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提供202</w:t>
            </w:r>
            <w:r>
              <w:rPr>
                <w:rFonts w:hint="eastAsia" w:ascii="宋体" w:hAnsi="宋体" w:eastAsia="宋体" w:cs="宋体"/>
                <w:caps w:val="0"/>
                <w:color w:val="auto"/>
                <w:spacing w:val="0"/>
                <w:sz w:val="24"/>
                <w:szCs w:val="24"/>
                <w:highlight w:val="none"/>
                <w:lang w:val="en-US" w:eastAsia="zh-CN"/>
              </w:rPr>
              <w:t>5</w:t>
            </w:r>
            <w:r>
              <w:rPr>
                <w:rFonts w:hint="eastAsia" w:ascii="宋体" w:hAnsi="宋体" w:eastAsia="宋体" w:cs="宋体"/>
                <w:caps w:val="0"/>
                <w:color w:val="auto"/>
                <w:spacing w:val="0"/>
                <w:sz w:val="24"/>
                <w:szCs w:val="24"/>
                <w:highlight w:val="none"/>
                <w:lang w:eastAsia="zh-CN"/>
              </w:rPr>
              <w:t>年度经审计的财务状况报告，</w:t>
            </w:r>
            <w:r>
              <w:rPr>
                <w:rFonts w:hint="eastAsia" w:ascii="宋体" w:hAnsi="宋体" w:eastAsia="宋体" w:cs="宋体"/>
                <w:caps w:val="0"/>
                <w:color w:val="auto"/>
                <w:spacing w:val="0"/>
                <w:sz w:val="24"/>
                <w:szCs w:val="24"/>
                <w:highlight w:val="none"/>
                <w:lang w:val="en-US" w:eastAsia="zh-CN"/>
              </w:rPr>
              <w:t>如</w:t>
            </w:r>
            <w:r>
              <w:rPr>
                <w:rFonts w:hint="eastAsia" w:ascii="宋体" w:hAnsi="宋体" w:eastAsia="宋体" w:cs="宋体"/>
                <w:caps w:val="0"/>
                <w:color w:val="auto"/>
                <w:spacing w:val="0"/>
                <w:sz w:val="24"/>
                <w:szCs w:val="24"/>
                <w:highlight w:val="none"/>
                <w:lang w:eastAsia="zh-CN"/>
              </w:rPr>
              <w:t>202</w:t>
            </w:r>
            <w:r>
              <w:rPr>
                <w:rFonts w:hint="eastAsia" w:ascii="宋体" w:hAnsi="宋体" w:eastAsia="宋体" w:cs="宋体"/>
                <w:caps w:val="0"/>
                <w:color w:val="auto"/>
                <w:spacing w:val="0"/>
                <w:sz w:val="24"/>
                <w:szCs w:val="24"/>
                <w:highlight w:val="none"/>
                <w:lang w:val="en-US" w:eastAsia="zh-CN"/>
              </w:rPr>
              <w:t>5</w:t>
            </w:r>
            <w:r>
              <w:rPr>
                <w:rFonts w:hint="eastAsia" w:ascii="宋体" w:hAnsi="宋体" w:eastAsia="宋体" w:cs="宋体"/>
                <w:caps w:val="0"/>
                <w:color w:val="auto"/>
                <w:spacing w:val="0"/>
                <w:sz w:val="24"/>
                <w:szCs w:val="24"/>
                <w:highlight w:val="none"/>
                <w:lang w:eastAsia="zh-CN"/>
              </w:rPr>
              <w:t>年度经审计的财务状况报告</w:t>
            </w:r>
            <w:r>
              <w:rPr>
                <w:rFonts w:hint="eastAsia" w:ascii="宋体" w:hAnsi="宋体" w:eastAsia="宋体" w:cs="宋体"/>
                <w:caps w:val="0"/>
                <w:color w:val="auto"/>
                <w:spacing w:val="0"/>
                <w:sz w:val="24"/>
                <w:szCs w:val="24"/>
                <w:highlight w:val="none"/>
                <w:lang w:val="en-US" w:eastAsia="zh-CN"/>
              </w:rPr>
              <w:t>未出，可提供2024年度。</w:t>
            </w:r>
            <w:r>
              <w:rPr>
                <w:rFonts w:hint="eastAsia" w:ascii="宋体" w:hAnsi="宋体" w:eastAsia="宋体" w:cs="宋体"/>
                <w:caps w:val="0"/>
                <w:color w:val="auto"/>
                <w:spacing w:val="0"/>
                <w:sz w:val="24"/>
                <w:szCs w:val="24"/>
                <w:highlight w:val="none"/>
                <w:lang w:eastAsia="zh-CN"/>
              </w:rPr>
              <w:t>（成立时间不足一年的，可提供成立时间至当前时间节点的财务状况报告）</w:t>
            </w:r>
          </w:p>
        </w:tc>
      </w:tr>
      <w:tr w14:paraId="6FD6FE7D">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ACC80B8">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top"/>
          </w:tcPr>
          <w:p w14:paraId="76D5EE07">
            <w:pPr>
              <w:spacing w:line="400" w:lineRule="exact"/>
              <w:jc w:val="left"/>
              <w:rPr>
                <w:rFonts w:hint="eastAsia" w:ascii="宋体" w:hAnsi="宋体" w:eastAsia="宋体" w:cs="宋体"/>
                <w:color w:val="auto"/>
                <w:sz w:val="24"/>
                <w:highlight w:val="none"/>
              </w:rPr>
            </w:pPr>
            <w:r>
              <w:rPr>
                <w:rFonts w:hint="eastAsia" w:ascii="Times New Roman" w:hAnsi="Times New Roman"/>
                <w:color w:val="auto"/>
                <w:sz w:val="24"/>
                <w:szCs w:val="24"/>
                <w:highlight w:val="none"/>
                <w:shd w:val="clear" w:color="auto" w:fill="FFFFFF"/>
                <w:lang w:bidi="ar"/>
              </w:rPr>
              <w:t>近年完成的类似项目的年份要求</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42780D82">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202</w:t>
            </w: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年1月1日以来至今。</w:t>
            </w:r>
          </w:p>
        </w:tc>
      </w:tr>
      <w:tr w14:paraId="5A49A51A">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7283EF6">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top"/>
          </w:tcPr>
          <w:p w14:paraId="0ED3835B">
            <w:pPr>
              <w:spacing w:line="400" w:lineRule="exact"/>
              <w:jc w:val="left"/>
              <w:rPr>
                <w:rFonts w:hint="eastAsia" w:ascii="宋体" w:hAnsi="宋体" w:eastAsia="宋体" w:cs="宋体"/>
                <w:color w:val="auto"/>
                <w:sz w:val="24"/>
                <w:highlight w:val="none"/>
              </w:rPr>
            </w:pPr>
            <w:r>
              <w:rPr>
                <w:rFonts w:hint="eastAsia" w:ascii="Times New Roman" w:hAnsi="Times New Roman"/>
                <w:color w:val="auto"/>
                <w:sz w:val="24"/>
                <w:szCs w:val="24"/>
                <w:highlight w:val="none"/>
                <w:shd w:val="clear" w:color="auto" w:fill="FFFFFF"/>
                <w:lang w:bidi="ar"/>
              </w:rPr>
              <w:t>近年发生的诉讼及仲裁情况的年份要求</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2839BB32">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202</w:t>
            </w: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年1月1日以来至今。</w:t>
            </w:r>
          </w:p>
        </w:tc>
      </w:tr>
      <w:tr w14:paraId="2207F8A3">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FCB0DEF">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3994FBE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磋商保证金</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7369B3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按照《河南省财政厅关于优化政府采购营商环境有关问题的通知》（豫财购[2019]4号文）的要求本项目不再收取投标保证金。</w:t>
            </w:r>
          </w:p>
        </w:tc>
      </w:tr>
      <w:tr w14:paraId="301FF698">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8964C64">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1942A524">
            <w:pPr>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签字或盖章要求</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4DFC92DB">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本项目为电子化、无纸化交易项目，磋商文件是响应人通过中心投标文件制作系统制作，并经过电子签章和加密后生成的电子化投标文件，未对电子化文件进行签章的视为无效投标。投标人投标时，将不再接受任何纸质文件资料。</w:t>
            </w:r>
          </w:p>
          <w:p w14:paraId="4529AFAC">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w:t>
            </w:r>
            <w:r>
              <w:rPr>
                <w:rFonts w:hint="eastAsia" w:ascii="宋体" w:hAnsi="宋体" w:cs="宋体"/>
                <w:caps w:val="0"/>
                <w:color w:val="auto"/>
                <w:spacing w:val="0"/>
                <w:sz w:val="24"/>
                <w:szCs w:val="24"/>
                <w:highlight w:val="none"/>
                <w:lang w:eastAsia="zh-CN"/>
              </w:rPr>
              <w:t>文件中要求盖单位章的位置投标人应使用CA数字证书签盖投标人的单位电子印章；要求法定代表人签字或盖章的地方，投标人应使用CA数字证书签盖法定代表人的个人电子印章为准。要求委托代理人签字或盖章的以委托代理人签字或盖章为准。</w:t>
            </w:r>
          </w:p>
          <w:p w14:paraId="6B3141FF">
            <w:pPr>
              <w:spacing w:line="360" w:lineRule="auto"/>
              <w:rPr>
                <w:rFonts w:hint="eastAsia" w:ascii="宋体" w:hAnsi="宋体" w:eastAsia="宋体" w:cs="宋体"/>
                <w:color w:val="auto"/>
                <w:kern w:val="0"/>
                <w:sz w:val="24"/>
                <w:highlight w:val="none"/>
              </w:rPr>
            </w:pPr>
            <w:r>
              <w:rPr>
                <w:rFonts w:hint="eastAsia" w:ascii="宋体" w:hAnsi="宋体" w:eastAsia="宋体" w:cs="宋体"/>
                <w:caps w:val="0"/>
                <w:color w:val="auto"/>
                <w:spacing w:val="0"/>
                <w:sz w:val="24"/>
                <w:szCs w:val="24"/>
                <w:highlight w:val="none"/>
                <w:lang w:eastAsia="zh-CN"/>
              </w:rPr>
              <w:t>3、电子化投标文件工具请点击https://download.bqpoint.com/download/downloaddetail.html?SourceFrom=Ztb&amp;ZtbSoftXiaQuCode=1506&amp;ZtbSoftType=tballinclusive进行下载。</w:t>
            </w:r>
          </w:p>
        </w:tc>
      </w:tr>
      <w:tr w14:paraId="21E0CC7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A8AADB7">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08B69891">
            <w:pPr>
              <w:widowControl/>
              <w:spacing w:line="259" w:lineRule="auto"/>
              <w:ind w:left="90" w:leftChars="43" w:firstLine="240" w:firstLineChars="100"/>
              <w:rPr>
                <w:rFonts w:hint="eastAsia" w:ascii="宋体" w:hAnsi="宋体" w:eastAsia="宋体" w:cs="宋体"/>
                <w:color w:val="auto"/>
                <w:kern w:val="10"/>
                <w:sz w:val="24"/>
                <w:highlight w:val="none"/>
              </w:rPr>
            </w:pPr>
            <w:r>
              <w:rPr>
                <w:rFonts w:hint="eastAsia" w:ascii="宋体" w:hAnsi="宋体" w:eastAsia="宋体" w:cs="宋体"/>
                <w:color w:val="auto"/>
                <w:kern w:val="0"/>
                <w:sz w:val="24"/>
                <w:highlight w:val="none"/>
              </w:rPr>
              <w:t>响应文件上传</w:t>
            </w:r>
          </w:p>
        </w:tc>
        <w:tc>
          <w:tcPr>
            <w:tcW w:w="6291" w:type="dxa"/>
            <w:tcBorders>
              <w:top w:val="single" w:color="auto" w:sz="4" w:space="0"/>
              <w:left w:val="single" w:color="auto" w:sz="4" w:space="0"/>
              <w:bottom w:val="single" w:color="auto" w:sz="4" w:space="0"/>
              <w:right w:val="single" w:color="auto" w:sz="4" w:space="0"/>
            </w:tcBorders>
            <w:noWrap w:val="0"/>
            <w:vAlign w:val="top"/>
          </w:tcPr>
          <w:p w14:paraId="1D0325AB">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1、本项目采用电子招标，根据三门峡市公共资源交易中心系统编制响应文件，供应商需用CA在电子平台上传电子响应文件；</w:t>
            </w:r>
          </w:p>
          <w:p w14:paraId="1073AAFC">
            <w:pPr>
              <w:widowControl/>
              <w:spacing w:line="259" w:lineRule="auto"/>
              <w:ind w:right="105" w:rightChars="50"/>
              <w:jc w:val="left"/>
              <w:rPr>
                <w:rFonts w:hint="eastAsia" w:ascii="宋体" w:hAnsi="宋体" w:eastAsia="宋体" w:cs="宋体"/>
                <w:color w:val="auto"/>
                <w:kern w:val="10"/>
                <w:sz w:val="24"/>
                <w:highlight w:val="none"/>
              </w:rPr>
            </w:pPr>
            <w:r>
              <w:rPr>
                <w:rFonts w:hint="eastAsia" w:ascii="宋体" w:hAnsi="宋体" w:eastAsia="宋体" w:cs="宋体"/>
                <w:caps w:val="0"/>
                <w:color w:val="auto"/>
                <w:spacing w:val="0"/>
                <w:sz w:val="24"/>
                <w:szCs w:val="24"/>
                <w:highlight w:val="none"/>
                <w:lang w:eastAsia="zh-CN"/>
              </w:rPr>
              <w:t>2、开标时不再递交纸质响应文件，中标单位领取成交通知书时提交</w:t>
            </w:r>
            <w:r>
              <w:rPr>
                <w:rFonts w:hint="eastAsia" w:ascii="宋体" w:hAnsi="宋体" w:cs="宋体"/>
                <w:caps w:val="0"/>
                <w:color w:val="auto"/>
                <w:spacing w:val="0"/>
                <w:sz w:val="24"/>
                <w:szCs w:val="24"/>
                <w:highlight w:val="none"/>
                <w:lang w:val="en-US" w:eastAsia="zh-CN"/>
              </w:rPr>
              <w:t>三</w:t>
            </w:r>
            <w:r>
              <w:rPr>
                <w:rFonts w:hint="eastAsia" w:ascii="宋体" w:hAnsi="宋体" w:eastAsia="宋体" w:cs="宋体"/>
                <w:caps w:val="0"/>
                <w:color w:val="auto"/>
                <w:spacing w:val="0"/>
                <w:sz w:val="24"/>
                <w:szCs w:val="24"/>
                <w:highlight w:val="none"/>
                <w:lang w:eastAsia="zh-CN"/>
              </w:rPr>
              <w:t>份纸质响应文件，响应文件应按以下要求装订：胶装（不得采用活页装订），应有目录，并逐页标注连续页码，需加盖公章。</w:t>
            </w:r>
          </w:p>
        </w:tc>
      </w:tr>
      <w:tr w14:paraId="1069ECF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DF51B1">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7BB2DF7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kern w:val="10"/>
                <w:sz w:val="24"/>
                <w:highlight w:val="none"/>
              </w:rPr>
              <w:t>是否允许递交备选投标方案</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0DE80EC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kern w:val="10"/>
                <w:sz w:val="24"/>
                <w:highlight w:val="none"/>
              </w:rPr>
              <w:t>不允许</w:t>
            </w:r>
          </w:p>
        </w:tc>
      </w:tr>
      <w:tr w14:paraId="6DF38380">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490F739">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61AAB299">
            <w:pPr>
              <w:spacing w:line="360" w:lineRule="auto"/>
              <w:jc w:val="center"/>
              <w:rPr>
                <w:rFonts w:hint="eastAsia" w:ascii="宋体" w:hAnsi="宋体" w:cs="宋体"/>
                <w:color w:val="auto"/>
                <w:kern w:val="2"/>
                <w:sz w:val="21"/>
                <w:szCs w:val="21"/>
                <w:highlight w:val="none"/>
                <w:lang w:val="en-US" w:eastAsia="zh-CN" w:bidi="ar-SA"/>
              </w:rPr>
            </w:pPr>
            <w:r>
              <w:rPr>
                <w:rFonts w:hint="eastAsia" w:ascii="宋体" w:hAnsi="宋体" w:eastAsia="宋体" w:cs="宋体"/>
                <w:color w:val="auto"/>
                <w:sz w:val="24"/>
                <w:highlight w:val="none"/>
              </w:rPr>
              <w:t>是否退还响应性文件</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550B5DDA">
            <w:pPr>
              <w:spacing w:line="360" w:lineRule="auto"/>
              <w:rPr>
                <w:rFonts w:hint="eastAsia" w:ascii="宋体" w:hAnsi="宋体" w:cs="宋体"/>
                <w:color w:val="auto"/>
                <w:kern w:val="2"/>
                <w:sz w:val="21"/>
                <w:szCs w:val="21"/>
                <w:highlight w:val="none"/>
                <w:lang w:val="en-US" w:eastAsia="zh-CN" w:bidi="ar-SA"/>
              </w:rPr>
            </w:pPr>
            <w:r>
              <w:rPr>
                <w:rFonts w:hint="eastAsia" w:ascii="宋体" w:hAnsi="宋体" w:eastAsia="宋体" w:cs="宋体"/>
                <w:color w:val="auto"/>
                <w:sz w:val="24"/>
                <w:highlight w:val="none"/>
              </w:rPr>
              <w:t>■否</w:t>
            </w:r>
          </w:p>
        </w:tc>
      </w:tr>
      <w:tr w14:paraId="676C01CB">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B19D0A4">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7EB958EF">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电子化磋商响应文件的格式及上传</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E40151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投标人所上传的电子化磋商响应文件，应是通过中心投标文件制作系统制作的（投标文件制作工具下载地址：https://download.bqpoint.com/download/downloaddetail.html?SourceFrom=Ztb&amp;ZtbSoftXiaQuCode=1506&amp;ZtbSoftType=tballinclusive），经过签章和加密后生成的电子版磋商响应文件。其中包含用于磋商响应文件上传的主文件（后缀为.smxtf）和用于应急补救的磋商响应文件备份文件（后缀为.nsmxtf）。</w:t>
            </w:r>
          </w:p>
          <w:p w14:paraId="0F5E777B">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2.电子化磋商响应文件应在投标截止时间前成功上传至三门峡市公共资源电子化交易系统。至投标截止时间止，仍未上传成功的电子化磋商响应文件将不予接收。</w:t>
            </w:r>
          </w:p>
          <w:p w14:paraId="37209958">
            <w:pPr>
              <w:spacing w:line="360" w:lineRule="auto"/>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lang w:eastAsia="zh-CN"/>
              </w:rPr>
              <w:t>注：如按照电子化投标操作教材制作完成的电子化磋商响应文件无法上传的，投标人应在投标截止时间前尽早的联系中心技术人员，以便有充分的时间进行处理。投标人应充分考虑到处理技术问题和上传数据等工作所需的时间问题，磋商响应文件未在投标截止时间前成功上传的，其磋商响应文件不予接收。</w:t>
            </w:r>
          </w:p>
        </w:tc>
      </w:tr>
      <w:tr w14:paraId="45C572EF">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914B34E">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450EECCA">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响应性文件递交截止时间</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7893570">
            <w:pPr>
              <w:spacing w:line="450" w:lineRule="exact"/>
              <w:rPr>
                <w:rFonts w:hint="eastAsia" w:ascii="宋体" w:hAnsi="宋体" w:eastAsia="宋体" w:cs="宋体"/>
                <w:color w:val="auto"/>
                <w:sz w:val="24"/>
                <w:highlight w:val="none"/>
              </w:rPr>
            </w:pPr>
            <w:r>
              <w:rPr>
                <w:rFonts w:hint="eastAsia" w:ascii="宋体" w:hAnsi="宋体" w:cs="宋体"/>
                <w:color w:val="auto"/>
                <w:sz w:val="24"/>
                <w:highlight w:val="none"/>
                <w:lang w:eastAsia="zh-CN"/>
              </w:rPr>
              <w:t>2026年05月12日08时30分</w:t>
            </w:r>
          </w:p>
        </w:tc>
      </w:tr>
      <w:tr w14:paraId="17C7DD78">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0969DD59">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77D13D3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磋商时间和地点</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148BEF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磋商时间：同递交响应性文件截止时间</w:t>
            </w:r>
          </w:p>
          <w:p w14:paraId="4792A54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磋商地点：同递交响应性文件地点</w:t>
            </w:r>
          </w:p>
        </w:tc>
      </w:tr>
      <w:tr w14:paraId="21963CF5">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6CDCC8B">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1D65CB1E">
            <w:pPr>
              <w:widowControl/>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aps w:val="0"/>
                <w:color w:val="auto"/>
                <w:spacing w:val="0"/>
                <w:sz w:val="24"/>
                <w:szCs w:val="24"/>
                <w:highlight w:val="none"/>
              </w:rPr>
              <w:t>磋商程序</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958AA86">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1</w:t>
            </w:r>
            <w:r>
              <w:rPr>
                <w:rFonts w:hint="eastAsia" w:ascii="Times New Roman" w:hAnsi="Times New Roman"/>
                <w:color w:val="auto"/>
                <w:sz w:val="24"/>
                <w:szCs w:val="24"/>
                <w:highlight w:val="none"/>
                <w:shd w:val="clear" w:color="auto" w:fill="FFFFFF"/>
                <w:lang w:bidi="ar"/>
              </w:rPr>
              <w:t>、本项目采用电子开评标系统，投标人应当在开标时间前，登录到三门峡市公共资源电子招投标交易平台→点击进入“不见面开标大厅”→找到相应的项目→在线准时参加开标活动。</w:t>
            </w:r>
          </w:p>
          <w:p w14:paraId="175F6A95">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2</w:t>
            </w:r>
            <w:r>
              <w:rPr>
                <w:rFonts w:hint="eastAsia" w:ascii="Times New Roman" w:hAnsi="Times New Roman"/>
                <w:color w:val="auto"/>
                <w:sz w:val="24"/>
                <w:szCs w:val="24"/>
                <w:highlight w:val="none"/>
                <w:shd w:val="clear" w:color="auto" w:fill="FFFFFF"/>
                <w:lang w:bidi="ar"/>
              </w:rPr>
              <w:t>、公布在投标截止时间前提交投标文件的供应商名单；</w:t>
            </w:r>
          </w:p>
          <w:p w14:paraId="0DAA30F9">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3</w:t>
            </w:r>
            <w:r>
              <w:rPr>
                <w:rFonts w:hint="eastAsia" w:ascii="Times New Roman" w:hAnsi="Times New Roman"/>
                <w:color w:val="auto"/>
                <w:sz w:val="24"/>
                <w:szCs w:val="24"/>
                <w:highlight w:val="none"/>
                <w:shd w:val="clear" w:color="auto" w:fill="FFFFFF"/>
                <w:lang w:bidi="ar"/>
              </w:rPr>
              <w:t>、投标人通过电子招标投标交易平台对已递交的电子投标文件进行解密；</w:t>
            </w:r>
          </w:p>
          <w:p w14:paraId="1CD6FD40">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4</w:t>
            </w:r>
            <w:r>
              <w:rPr>
                <w:rFonts w:hint="eastAsia" w:ascii="Times New Roman" w:hAnsi="Times New Roman"/>
                <w:color w:val="auto"/>
                <w:sz w:val="24"/>
                <w:szCs w:val="24"/>
                <w:highlight w:val="none"/>
                <w:shd w:val="clear" w:color="auto" w:fill="FFFFFF"/>
                <w:lang w:bidi="ar"/>
              </w:rPr>
              <w:t>、系统导入电子投标文件；</w:t>
            </w:r>
          </w:p>
          <w:p w14:paraId="2AB30789">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5</w:t>
            </w:r>
            <w:r>
              <w:rPr>
                <w:rFonts w:hint="eastAsia" w:ascii="Times New Roman" w:hAnsi="Times New Roman"/>
                <w:color w:val="auto"/>
                <w:sz w:val="24"/>
                <w:szCs w:val="24"/>
                <w:highlight w:val="none"/>
                <w:shd w:val="clear" w:color="auto" w:fill="FFFFFF"/>
                <w:lang w:bidi="ar"/>
              </w:rPr>
              <w:t>、采购人或采购代理机构将通过“电子开标系统”按照顺序公布供应商名称和招标文件规定的需要公布的其他内容；</w:t>
            </w:r>
          </w:p>
          <w:p w14:paraId="4AB1D23B">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6</w:t>
            </w:r>
            <w:r>
              <w:rPr>
                <w:rFonts w:hint="eastAsia" w:ascii="Times New Roman" w:hAnsi="Times New Roman"/>
                <w:color w:val="auto"/>
                <w:sz w:val="24"/>
                <w:szCs w:val="24"/>
                <w:highlight w:val="none"/>
                <w:shd w:val="clear" w:color="auto" w:fill="FFFFFF"/>
                <w:lang w:bidi="ar"/>
              </w:rPr>
              <w:t>、投标人代表对开标过程和开标记录有无异议：投标人如有异议，须按要求在规定时间内通过系统提出，由监督人代表现场核查并及时处理；否则视为该投标人认可开标过程及开标记录；投标人未参加开标的，视为认可开标结果。</w:t>
            </w:r>
          </w:p>
          <w:p w14:paraId="612112D1">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7</w:t>
            </w:r>
            <w:r>
              <w:rPr>
                <w:rFonts w:hint="eastAsia" w:ascii="Times New Roman" w:hAnsi="Times New Roman"/>
                <w:color w:val="auto"/>
                <w:sz w:val="24"/>
                <w:szCs w:val="24"/>
                <w:highlight w:val="none"/>
                <w:shd w:val="clear" w:color="auto" w:fill="FFFFFF"/>
                <w:lang w:bidi="ar"/>
              </w:rPr>
              <w:t>、开标结束。</w:t>
            </w:r>
          </w:p>
          <w:p w14:paraId="247BE5A5">
            <w:pPr>
              <w:spacing w:line="400" w:lineRule="exact"/>
              <w:ind w:firstLine="482" w:firstLineChars="200"/>
              <w:jc w:val="left"/>
              <w:rPr>
                <w:rFonts w:ascii="Times New Roman" w:hAnsi="Times New Roman"/>
                <w:b/>
                <w:bCs/>
                <w:color w:val="auto"/>
                <w:sz w:val="24"/>
                <w:szCs w:val="24"/>
                <w:highlight w:val="none"/>
                <w:shd w:val="clear" w:color="auto" w:fill="FFFFFF"/>
                <w:lang w:bidi="ar"/>
              </w:rPr>
            </w:pPr>
            <w:r>
              <w:rPr>
                <w:rFonts w:hint="eastAsia" w:ascii="Times New Roman" w:hAnsi="Times New Roman"/>
                <w:b/>
                <w:bCs/>
                <w:color w:val="auto"/>
                <w:sz w:val="24"/>
                <w:szCs w:val="24"/>
                <w:highlight w:val="none"/>
                <w:shd w:val="clear" w:color="auto" w:fill="FFFFFF"/>
                <w:lang w:bidi="ar"/>
              </w:rPr>
              <w:t>注：</w:t>
            </w:r>
            <w:r>
              <w:rPr>
                <w:rFonts w:ascii="Times New Roman" w:hAnsi="Times New Roman"/>
                <w:b/>
                <w:bCs/>
                <w:color w:val="auto"/>
                <w:sz w:val="24"/>
                <w:szCs w:val="24"/>
                <w:highlight w:val="none"/>
                <w:shd w:val="clear" w:color="auto" w:fill="FFFFFF"/>
                <w:lang w:bidi="ar"/>
              </w:rPr>
              <w:t>1.</w:t>
            </w:r>
            <w:r>
              <w:rPr>
                <w:rFonts w:hint="eastAsia" w:ascii="Times New Roman" w:hAnsi="Times New Roman"/>
                <w:b/>
                <w:bCs/>
                <w:color w:val="auto"/>
                <w:sz w:val="24"/>
                <w:szCs w:val="24"/>
                <w:highlight w:val="none"/>
                <w:shd w:val="clear" w:color="auto" w:fill="FFFFFF"/>
                <w:lang w:bidi="ar"/>
              </w:rPr>
              <w:t>本项目采用电子化、无纸化进行招标，开标当日，投标供应商无需到开标现场参加开标会议，投标供应商应当在投标截止时间前，登录三门峡市公共资源交易中心电子交易平台，</w:t>
            </w:r>
            <w:r>
              <w:rPr>
                <w:rFonts w:hint="eastAsia" w:ascii="Times New Roman" w:hAnsi="Times New Roman"/>
                <w:b/>
                <w:color w:val="auto"/>
                <w:sz w:val="24"/>
                <w:highlight w:val="none"/>
              </w:rPr>
              <w:t>点击【不见面开标大厅】按钮进入，在线准时参加开标活动并进行投标文件解密等。或者直接</w:t>
            </w:r>
            <w:r>
              <w:rPr>
                <w:rFonts w:hint="eastAsia" w:ascii="Times New Roman" w:hAnsi="Times New Roman"/>
                <w:b/>
                <w:bCs/>
                <w:color w:val="auto"/>
                <w:sz w:val="24"/>
                <w:szCs w:val="24"/>
                <w:highlight w:val="none"/>
                <w:shd w:val="clear" w:color="auto" w:fill="FFFFFF"/>
                <w:lang w:bidi="ar"/>
              </w:rPr>
              <w:t>登陆不见面开标大厅选择登陆三门峡市公共资源电子招投标系统进行登陆（网址为</w:t>
            </w:r>
            <w:r>
              <w:rPr>
                <w:rFonts w:ascii="Times New Roman" w:hAnsi="Times New Roman"/>
                <w:b/>
                <w:bCs/>
                <w:color w:val="auto"/>
                <w:sz w:val="24"/>
                <w:szCs w:val="24"/>
                <w:highlight w:val="none"/>
                <w:shd w:val="clear" w:color="auto" w:fill="FFFFFF"/>
                <w:lang w:bidi="ar"/>
              </w:rPr>
              <w:t>http</w:t>
            </w:r>
            <w:r>
              <w:rPr>
                <w:rFonts w:hint="eastAsia" w:ascii="Times New Roman" w:hAnsi="Times New Roman"/>
                <w:b/>
                <w:bCs/>
                <w:color w:val="auto"/>
                <w:sz w:val="24"/>
                <w:szCs w:val="24"/>
                <w:highlight w:val="none"/>
                <w:shd w:val="clear" w:color="auto" w:fill="FFFFFF"/>
                <w:lang w:bidi="ar"/>
              </w:rPr>
              <w:t>:</w:t>
            </w:r>
            <w:r>
              <w:rPr>
                <w:rFonts w:ascii="Times New Roman" w:hAnsi="Times New Roman"/>
                <w:b/>
                <w:bCs/>
                <w:color w:val="auto"/>
                <w:sz w:val="24"/>
                <w:szCs w:val="24"/>
                <w:highlight w:val="none"/>
                <w:shd w:val="clear" w:color="auto" w:fill="FFFFFF"/>
                <w:lang w:bidi="ar"/>
              </w:rPr>
              <w:t>//120.194.249.36</w:t>
            </w:r>
            <w:r>
              <w:rPr>
                <w:rFonts w:hint="eastAsia" w:ascii="Times New Roman" w:hAnsi="Times New Roman"/>
                <w:b/>
                <w:bCs/>
                <w:color w:val="auto"/>
                <w:sz w:val="24"/>
                <w:szCs w:val="24"/>
                <w:highlight w:val="none"/>
                <w:shd w:val="clear" w:color="auto" w:fill="FFFFFF"/>
                <w:lang w:bidi="ar"/>
              </w:rPr>
              <w:t>:</w:t>
            </w:r>
            <w:r>
              <w:rPr>
                <w:rFonts w:ascii="Times New Roman" w:hAnsi="Times New Roman"/>
                <w:b/>
                <w:bCs/>
                <w:color w:val="auto"/>
                <w:sz w:val="24"/>
                <w:szCs w:val="24"/>
                <w:highlight w:val="none"/>
                <w:shd w:val="clear" w:color="auto" w:fill="FFFFFF"/>
                <w:lang w:bidi="ar"/>
              </w:rPr>
              <w:t>10094/BidOpening/bidopeninghallaction/hall/login</w:t>
            </w:r>
            <w:r>
              <w:rPr>
                <w:rFonts w:hint="eastAsia" w:ascii="Times New Roman" w:hAnsi="Times New Roman"/>
                <w:b/>
                <w:bCs/>
                <w:color w:val="auto"/>
                <w:sz w:val="24"/>
                <w:szCs w:val="24"/>
                <w:highlight w:val="none"/>
                <w:shd w:val="clear" w:color="auto" w:fill="FFFFFF"/>
                <w:lang w:bidi="ar"/>
              </w:rPr>
              <w:t>）</w:t>
            </w:r>
            <w:r>
              <w:rPr>
                <w:rFonts w:ascii="Times New Roman" w:hAnsi="Times New Roman"/>
                <w:b/>
                <w:bCs/>
                <w:color w:val="auto"/>
                <w:sz w:val="24"/>
                <w:szCs w:val="24"/>
                <w:highlight w:val="none"/>
                <w:shd w:val="clear" w:color="auto" w:fill="FFFFFF"/>
                <w:lang w:bidi="ar"/>
              </w:rPr>
              <w:t>,</w:t>
            </w:r>
            <w:r>
              <w:rPr>
                <w:rFonts w:hint="eastAsia" w:ascii="Times New Roman" w:hAnsi="Times New Roman"/>
                <w:b/>
                <w:bCs/>
                <w:color w:val="auto"/>
                <w:sz w:val="24"/>
                <w:szCs w:val="24"/>
                <w:highlight w:val="none"/>
                <w:shd w:val="clear" w:color="auto" w:fill="FFFFFF"/>
                <w:lang w:bidi="ar"/>
              </w:rPr>
              <w:t>在线准时参加开标活动并进行投标文件解密等。</w:t>
            </w:r>
          </w:p>
          <w:p w14:paraId="75556480">
            <w:pPr>
              <w:spacing w:line="360" w:lineRule="auto"/>
              <w:rPr>
                <w:rFonts w:hint="eastAsia" w:ascii="宋体" w:hAnsi="宋体" w:eastAsia="宋体" w:cs="宋体"/>
                <w:color w:val="auto"/>
                <w:kern w:val="0"/>
                <w:sz w:val="24"/>
                <w:highlight w:val="none"/>
              </w:rPr>
            </w:pPr>
            <w:r>
              <w:rPr>
                <w:rFonts w:ascii="Times New Roman" w:hAnsi="Times New Roman"/>
                <w:b/>
                <w:bCs/>
                <w:color w:val="auto"/>
                <w:sz w:val="24"/>
                <w:szCs w:val="24"/>
                <w:highlight w:val="none"/>
                <w:shd w:val="clear" w:color="auto" w:fill="FFFFFF"/>
                <w:lang w:bidi="ar"/>
              </w:rPr>
              <w:t>2.</w:t>
            </w:r>
            <w:r>
              <w:rPr>
                <w:rFonts w:hint="eastAsia" w:ascii="Times New Roman" w:hAnsi="Times New Roman"/>
                <w:b/>
                <w:bCs/>
                <w:color w:val="auto"/>
                <w:sz w:val="24"/>
                <w:szCs w:val="24"/>
                <w:highlight w:val="none"/>
                <w:shd w:val="clear" w:color="auto" w:fill="FFFFFF"/>
                <w:lang w:bidi="ar"/>
              </w:rPr>
              <w:t>投标文件采用一次加密方式。开标时，由投标供应商使用</w:t>
            </w:r>
            <w:r>
              <w:rPr>
                <w:rFonts w:ascii="Times New Roman" w:hAnsi="Times New Roman"/>
                <w:b/>
                <w:bCs/>
                <w:color w:val="auto"/>
                <w:sz w:val="24"/>
                <w:szCs w:val="24"/>
                <w:highlight w:val="none"/>
                <w:shd w:val="clear" w:color="auto" w:fill="FFFFFF"/>
                <w:lang w:bidi="ar"/>
              </w:rPr>
              <w:t>CA</w:t>
            </w:r>
            <w:r>
              <w:rPr>
                <w:rFonts w:hint="eastAsia" w:ascii="Times New Roman" w:hAnsi="Times New Roman"/>
                <w:b/>
                <w:bCs/>
                <w:color w:val="auto"/>
                <w:sz w:val="24"/>
                <w:szCs w:val="24"/>
                <w:highlight w:val="none"/>
                <w:shd w:val="clear" w:color="auto" w:fill="FFFFFF"/>
                <w:lang w:bidi="ar"/>
              </w:rPr>
              <w:t>证书，在规定时间内对其电子化投标文件进行解密。每位投标供应商的解密时间为开标时间起</w:t>
            </w:r>
            <w:r>
              <w:rPr>
                <w:rFonts w:ascii="Times New Roman" w:hAnsi="Times New Roman"/>
                <w:b/>
                <w:bCs/>
                <w:color w:val="auto"/>
                <w:sz w:val="24"/>
                <w:szCs w:val="24"/>
                <w:highlight w:val="none"/>
                <w:shd w:val="clear" w:color="auto" w:fill="FFFFFF"/>
                <w:lang w:bidi="ar"/>
              </w:rPr>
              <w:t>30</w:t>
            </w:r>
            <w:r>
              <w:rPr>
                <w:rFonts w:hint="eastAsia" w:ascii="Times New Roman" w:hAnsi="Times New Roman"/>
                <w:b/>
                <w:bCs/>
                <w:color w:val="auto"/>
                <w:sz w:val="24"/>
                <w:szCs w:val="24"/>
                <w:highlight w:val="none"/>
                <w:shd w:val="clear" w:color="auto" w:fill="FFFFFF"/>
                <w:lang w:bidi="ar"/>
              </w:rPr>
              <w:t>分钟内，如在规定时间内未完成解密的，其投标文件不予开标、唱标。每位投标人的解密时间为开标时间起</w:t>
            </w:r>
            <w:r>
              <w:rPr>
                <w:rFonts w:ascii="Times New Roman" w:hAnsi="Times New Roman"/>
                <w:b/>
                <w:bCs/>
                <w:color w:val="auto"/>
                <w:sz w:val="24"/>
                <w:szCs w:val="24"/>
                <w:highlight w:val="none"/>
                <w:shd w:val="clear" w:color="auto" w:fill="FFFFFF"/>
                <w:lang w:bidi="ar"/>
              </w:rPr>
              <w:t>30</w:t>
            </w:r>
            <w:r>
              <w:rPr>
                <w:rFonts w:hint="eastAsia" w:ascii="Times New Roman" w:hAnsi="Times New Roman"/>
                <w:b/>
                <w:bCs/>
                <w:color w:val="auto"/>
                <w:sz w:val="24"/>
                <w:szCs w:val="24"/>
                <w:highlight w:val="none"/>
                <w:shd w:val="clear" w:color="auto" w:fill="FFFFFF"/>
                <w:lang w:bidi="ar"/>
              </w:rPr>
              <w:t>分钟内完成。</w:t>
            </w:r>
          </w:p>
        </w:tc>
      </w:tr>
      <w:tr w14:paraId="0AB7BB2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FE59534">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758BA60F">
            <w:pPr>
              <w:widowControl/>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aps w:val="0"/>
                <w:color w:val="auto"/>
                <w:spacing w:val="0"/>
                <w:sz w:val="24"/>
                <w:szCs w:val="24"/>
                <w:highlight w:val="none"/>
              </w:rPr>
              <w:t>响应人代表出席开标会</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6DB79D35">
            <w:pPr>
              <w:spacing w:line="360" w:lineRule="auto"/>
              <w:rPr>
                <w:rFonts w:hint="eastAsia" w:ascii="宋体" w:hAnsi="宋体" w:eastAsia="宋体" w:cs="宋体"/>
                <w:color w:val="auto"/>
                <w:kern w:val="0"/>
                <w:sz w:val="24"/>
                <w:highlight w:val="none"/>
              </w:rPr>
            </w:pPr>
            <w:r>
              <w:rPr>
                <w:rFonts w:hint="eastAsia" w:ascii="宋体" w:hAnsi="宋体" w:eastAsia="宋体" w:cs="宋体"/>
                <w:caps w:val="0"/>
                <w:color w:val="auto"/>
                <w:spacing w:val="0"/>
                <w:sz w:val="24"/>
                <w:szCs w:val="24"/>
                <w:highlight w:val="none"/>
                <w:lang w:eastAsia="zh-CN"/>
              </w:rPr>
              <w:t>所有投标响应人的法定代表人或其委托代理人无需到现场参加开标会议，仔细阅读磋商文件和三门峡市公共资源交易中心官网业务办理指南</w:t>
            </w:r>
          </w:p>
        </w:tc>
      </w:tr>
      <w:tr w14:paraId="59470C45">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D9FF4C9">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029AEA9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磋商小组</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44AD0DB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磋商小组构成：</w:t>
            </w:r>
          </w:p>
          <w:p w14:paraId="4200C8C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由招标人代表和有关技术、经济等方面的专家共3人组成。</w:t>
            </w:r>
          </w:p>
          <w:p w14:paraId="1592281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其中：技术、经济等方面的专家不能少于磋商小组成员的2/3。</w:t>
            </w:r>
          </w:p>
          <w:p w14:paraId="1271142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从河南省电子化政府采购系统评标专家库中随机抽取。</w:t>
            </w:r>
          </w:p>
          <w:p w14:paraId="6A10EE7E">
            <w:pPr>
              <w:pStyle w:val="5"/>
              <w:rPr>
                <w:rFonts w:hint="default" w:eastAsia="宋体"/>
                <w:lang w:val="en-US" w:eastAsia="zh-CN"/>
              </w:rPr>
            </w:pPr>
            <w:r>
              <w:rPr>
                <w:rFonts w:hint="eastAsia" w:ascii="宋体" w:hAnsi="宋体" w:cs="宋体"/>
                <w:color w:val="auto"/>
                <w:sz w:val="24"/>
                <w:highlight w:val="none"/>
                <w:lang w:val="en-US" w:eastAsia="zh-CN"/>
              </w:rPr>
              <w:t>业主评委无评审费用。</w:t>
            </w:r>
          </w:p>
        </w:tc>
      </w:tr>
      <w:tr w14:paraId="6AB6FEF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0DECCDE">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393A5C5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是否授权磋商小组确定成交供应商</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6E21923">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■否，推荐成交候选人数：3</w:t>
            </w:r>
            <w:r>
              <w:rPr>
                <w:rFonts w:hint="eastAsia" w:ascii="宋体" w:hAnsi="宋体" w:eastAsia="宋体" w:cs="宋体"/>
                <w:color w:val="auto"/>
                <w:sz w:val="24"/>
                <w:highlight w:val="none"/>
                <w:lang w:val="en-US" w:eastAsia="zh-CN"/>
              </w:rPr>
              <w:t>名</w:t>
            </w:r>
          </w:p>
          <w:p w14:paraId="7144513A">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磋商小组对满足招标文件全部实质性要求的投标文件，按照本章规定的评审标准进行评审，按评审因素的量化指标评审得分由高到低顺序推荐候选投标人排名。评审得分相同的，按照最后报价得分由高到低的顺序推荐；评审得分且最后报价得分相同的，按照投标人拟定的项目实施方案优劣顺序推荐；项目实施方案得分也相同的，由采购人确定。</w:t>
            </w:r>
          </w:p>
          <w:p w14:paraId="7C60709A">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lang w:val="en-US" w:eastAsia="zh-CN"/>
              </w:rPr>
              <w:t>磋商小组按照综合评审得分，每包由高到低的顺序排名中标候选人。所有投标供应商参与排序推荐。</w:t>
            </w:r>
          </w:p>
        </w:tc>
      </w:tr>
      <w:tr w14:paraId="4DC38700">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64114CEC">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1FB5FC0C">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结果公示</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B88F678">
            <w:pPr>
              <w:spacing w:line="360" w:lineRule="auto"/>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lang w:eastAsia="zh-CN"/>
              </w:rPr>
              <w:t>在成交通知书发出前，招标人将成交候选人的情况在本招标项目招标公告发布的同一媒介予以公示，接受社会监督。</w:t>
            </w:r>
          </w:p>
        </w:tc>
      </w:tr>
      <w:tr w14:paraId="301ECEF2">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40453B8">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1A2776F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履约担保</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64465AA6">
            <w:pPr>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中标后甲乙双方协商。</w:t>
            </w:r>
          </w:p>
        </w:tc>
      </w:tr>
      <w:tr w14:paraId="5A3AA462">
        <w:tblPrEx>
          <w:tblCellMar>
            <w:top w:w="0" w:type="dxa"/>
            <w:left w:w="108" w:type="dxa"/>
            <w:bottom w:w="0" w:type="dxa"/>
            <w:right w:w="108" w:type="dxa"/>
          </w:tblCellMar>
        </w:tblPrEx>
        <w:trPr>
          <w:trHeight w:val="625" w:hRule="atLeast"/>
          <w:jc w:val="center"/>
        </w:trPr>
        <w:tc>
          <w:tcPr>
            <w:tcW w:w="987" w:type="dxa"/>
            <w:vMerge w:val="restart"/>
            <w:tcBorders>
              <w:top w:val="single" w:color="auto" w:sz="4" w:space="0"/>
              <w:left w:val="single" w:color="auto" w:sz="4" w:space="0"/>
              <w:right w:val="single" w:color="auto" w:sz="4" w:space="0"/>
            </w:tcBorders>
            <w:noWrap w:val="0"/>
            <w:vAlign w:val="center"/>
          </w:tcPr>
          <w:p w14:paraId="4BAD34D1">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vMerge w:val="restart"/>
            <w:tcBorders>
              <w:top w:val="single" w:color="auto" w:sz="4" w:space="0"/>
              <w:left w:val="single" w:color="auto" w:sz="4" w:space="0"/>
              <w:right w:val="single" w:color="auto" w:sz="4" w:space="0"/>
            </w:tcBorders>
            <w:noWrap w:val="0"/>
            <w:vAlign w:val="center"/>
          </w:tcPr>
          <w:p w14:paraId="1A69D64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最高限价</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56220ACA">
            <w:pPr>
              <w:widowControl/>
              <w:spacing w:line="420" w:lineRule="exact"/>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45.85</w:t>
            </w:r>
            <w:r>
              <w:rPr>
                <w:rFonts w:hint="eastAsia" w:ascii="宋体" w:hAnsi="宋体" w:eastAsia="宋体" w:cs="宋体"/>
                <w:color w:val="auto"/>
                <w:sz w:val="24"/>
                <w:highlight w:val="none"/>
                <w:lang w:val="en-US" w:eastAsia="zh-CN"/>
              </w:rPr>
              <w:t>万元</w:t>
            </w:r>
            <w:r>
              <w:rPr>
                <w:rFonts w:hint="eastAsia" w:ascii="宋体" w:hAnsi="宋体" w:eastAsia="宋体" w:cs="宋体"/>
                <w:color w:val="auto"/>
                <w:sz w:val="24"/>
                <w:highlight w:val="none"/>
                <w:lang w:eastAsia="zh-CN"/>
              </w:rPr>
              <w:t>；</w:t>
            </w:r>
          </w:p>
          <w:p w14:paraId="6CBB5387">
            <w:pPr>
              <w:widowControl/>
              <w:spacing w:line="420" w:lineRule="exact"/>
              <w:jc w:val="left"/>
              <w:rPr>
                <w:rFonts w:hint="eastAsia" w:ascii="宋体" w:hAnsi="宋体" w:eastAsia="宋体" w:cs="宋体"/>
                <w:color w:val="auto"/>
                <w:highlight w:val="none"/>
              </w:rPr>
            </w:pPr>
            <w:r>
              <w:rPr>
                <w:rFonts w:hint="eastAsia" w:ascii="宋体" w:hAnsi="宋体" w:eastAsia="宋体" w:cs="宋体"/>
                <w:color w:val="auto"/>
                <w:sz w:val="24"/>
                <w:highlight w:val="none"/>
              </w:rPr>
              <w:t>供应商的总报价不得高于最高限价，否则其响应文件将于否决。</w:t>
            </w:r>
          </w:p>
        </w:tc>
      </w:tr>
      <w:tr w14:paraId="60B37C16">
        <w:tblPrEx>
          <w:tblCellMar>
            <w:top w:w="0" w:type="dxa"/>
            <w:left w:w="108" w:type="dxa"/>
            <w:bottom w:w="0" w:type="dxa"/>
            <w:right w:w="108" w:type="dxa"/>
          </w:tblCellMar>
        </w:tblPrEx>
        <w:trPr>
          <w:trHeight w:val="625" w:hRule="atLeast"/>
          <w:jc w:val="center"/>
        </w:trPr>
        <w:tc>
          <w:tcPr>
            <w:tcW w:w="987" w:type="dxa"/>
            <w:vMerge w:val="continue"/>
            <w:tcBorders>
              <w:left w:val="single" w:color="auto" w:sz="4" w:space="0"/>
              <w:bottom w:val="single" w:color="auto" w:sz="4" w:space="0"/>
              <w:right w:val="single" w:color="auto" w:sz="4" w:space="0"/>
            </w:tcBorders>
            <w:noWrap w:val="0"/>
            <w:vAlign w:val="center"/>
          </w:tcPr>
          <w:p w14:paraId="2E36F38A">
            <w:pPr>
              <w:widowControl/>
              <w:spacing w:line="420" w:lineRule="exact"/>
              <w:jc w:val="left"/>
            </w:pPr>
          </w:p>
        </w:tc>
        <w:tc>
          <w:tcPr>
            <w:tcW w:w="2657" w:type="dxa"/>
            <w:vMerge w:val="continue"/>
            <w:tcBorders>
              <w:left w:val="single" w:color="auto" w:sz="4" w:space="0"/>
              <w:bottom w:val="single" w:color="auto" w:sz="4" w:space="0"/>
              <w:right w:val="single" w:color="auto" w:sz="4" w:space="0"/>
            </w:tcBorders>
            <w:noWrap w:val="0"/>
            <w:vAlign w:val="center"/>
          </w:tcPr>
          <w:p w14:paraId="52D6CB22">
            <w:pPr>
              <w:widowControl/>
              <w:spacing w:line="420" w:lineRule="exact"/>
              <w:jc w:val="left"/>
            </w:pP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EED2C03">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评审中出现下列情形之一的，评标委员会可以启动异常低价投标（响应）审查程序：</w:t>
            </w:r>
          </w:p>
          <w:p w14:paraId="64A3C299">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1.投标（响应）报价低于全部通过符合性审查供应商投标（响应）报价平均值 50%的，即投标（响应）报价＜全部通过符合性审查供应商投标（响应）报价平均值×50%；</w:t>
            </w:r>
          </w:p>
          <w:p w14:paraId="1D015B9F">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2.投标（响应）报价低于通过符合性审查且报价次低供应商投标（响应）报价 50%的，即投标（响应）报价＜通过符合性审查且报价次低供应商投标（响应）报价×50%；</w:t>
            </w:r>
          </w:p>
          <w:p w14:paraId="4143428E">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3.投标（响应）报价低于采购项目最高限价 45%的，即投标（响应）报价＜采购项目最高限价×45%；</w:t>
            </w:r>
          </w:p>
          <w:p w14:paraId="42A654BE">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4.评审委员会基于专业判断，认为供应商报价过低，有可能影响产品质量或者不能诚信履约的其他情形。</w:t>
            </w:r>
          </w:p>
          <w:p w14:paraId="7F4E7615">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2EDC9C9">
            <w:pPr>
              <w:widowControl/>
              <w:spacing w:line="420" w:lineRule="exact"/>
              <w:jc w:val="left"/>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r>
      <w:tr w14:paraId="246297B9">
        <w:tblPrEx>
          <w:tblCellMar>
            <w:top w:w="0" w:type="dxa"/>
            <w:left w:w="108" w:type="dxa"/>
            <w:bottom w:w="0" w:type="dxa"/>
            <w:right w:w="108" w:type="dxa"/>
          </w:tblCellMar>
        </w:tblPrEx>
        <w:trPr>
          <w:trHeight w:val="545"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28630BE">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76FB3B6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付款方式</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85CDA1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中标后双方协商。</w:t>
            </w:r>
          </w:p>
        </w:tc>
      </w:tr>
      <w:tr w14:paraId="13332CD3">
        <w:tblPrEx>
          <w:tblCellMar>
            <w:top w:w="0" w:type="dxa"/>
            <w:left w:w="108" w:type="dxa"/>
            <w:bottom w:w="0" w:type="dxa"/>
            <w:right w:w="108" w:type="dxa"/>
          </w:tblCellMar>
        </w:tblPrEx>
        <w:trPr>
          <w:trHeight w:val="545"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0447BC8">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5CBF2621">
            <w:pPr>
              <w:keepLines/>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无效标条件</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2EE469C">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1、电子化投标文件附有采购人不能接受的条件的；</w:t>
            </w:r>
          </w:p>
          <w:p w14:paraId="0C6217E6">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2、以他人的名义投标、串通投标、以行贿手段谋取中标或者以其他弄虚作假方式投标的；</w:t>
            </w:r>
          </w:p>
          <w:p w14:paraId="29661818">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3、采取不正当手段谋取中标的；</w:t>
            </w:r>
          </w:p>
          <w:p w14:paraId="1E39D21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4、法律、法规规定的其他情况。</w:t>
            </w:r>
          </w:p>
        </w:tc>
      </w:tr>
      <w:tr w14:paraId="150AB22A">
        <w:tblPrEx>
          <w:tblCellMar>
            <w:top w:w="0" w:type="dxa"/>
            <w:left w:w="108" w:type="dxa"/>
            <w:bottom w:w="0" w:type="dxa"/>
            <w:right w:w="108" w:type="dxa"/>
          </w:tblCellMar>
        </w:tblPrEx>
        <w:trPr>
          <w:trHeight w:val="1615" w:hRule="atLeast"/>
          <w:jc w:val="center"/>
        </w:trPr>
        <w:tc>
          <w:tcPr>
            <w:tcW w:w="987" w:type="dxa"/>
            <w:vMerge w:val="restart"/>
            <w:tcBorders>
              <w:top w:val="single" w:color="auto" w:sz="4" w:space="0"/>
              <w:left w:val="single" w:color="auto" w:sz="4" w:space="0"/>
              <w:right w:val="single" w:color="auto" w:sz="4" w:space="0"/>
            </w:tcBorders>
            <w:noWrap w:val="0"/>
            <w:vAlign w:val="center"/>
          </w:tcPr>
          <w:p w14:paraId="32C631A6">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vMerge w:val="restart"/>
            <w:tcBorders>
              <w:top w:val="single" w:color="auto" w:sz="4" w:space="0"/>
              <w:left w:val="single" w:color="auto" w:sz="4" w:space="0"/>
              <w:right w:val="single" w:color="auto" w:sz="4" w:space="0"/>
            </w:tcBorders>
            <w:noWrap w:val="0"/>
            <w:vAlign w:val="center"/>
          </w:tcPr>
          <w:p w14:paraId="7214329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采购代理费</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70E040AA">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lang w:eastAsia="zh-CN"/>
              </w:rPr>
              <w:t>收费标准：</w:t>
            </w:r>
            <w:r>
              <w:rPr>
                <w:rFonts w:hint="eastAsia" w:ascii="宋体" w:hAnsi="宋体" w:eastAsia="宋体" w:cs="宋体"/>
                <w:color w:val="auto"/>
                <w:kern w:val="44"/>
                <w:sz w:val="24"/>
                <w:szCs w:val="24"/>
                <w:highlight w:val="none"/>
              </w:rPr>
              <w:t>按豫招协[2023]002号河南省招标投标协会关于印发《河南省招标代理服务收费指导意见》规定的收费标准</w:t>
            </w:r>
            <w:r>
              <w:rPr>
                <w:rFonts w:hint="eastAsia" w:ascii="宋体" w:hAnsi="宋体" w:cs="宋体"/>
                <w:color w:val="auto"/>
                <w:kern w:val="44"/>
                <w:sz w:val="24"/>
                <w:szCs w:val="24"/>
                <w:highlight w:val="none"/>
                <w:lang w:val="en-US" w:eastAsia="zh-CN"/>
              </w:rPr>
              <w:t>100%</w:t>
            </w:r>
            <w:r>
              <w:rPr>
                <w:rFonts w:hint="eastAsia" w:ascii="宋体" w:hAnsi="宋体" w:eastAsia="宋体" w:cs="宋体"/>
                <w:color w:val="auto"/>
                <w:kern w:val="44"/>
                <w:sz w:val="24"/>
                <w:szCs w:val="24"/>
                <w:highlight w:val="none"/>
              </w:rPr>
              <w:t>收取，</w:t>
            </w:r>
            <w:r>
              <w:rPr>
                <w:rFonts w:hint="eastAsia" w:ascii="宋体" w:hAnsi="宋体" w:eastAsia="宋体" w:cs="宋体"/>
                <w:color w:val="auto"/>
                <w:kern w:val="44"/>
                <w:sz w:val="24"/>
                <w:szCs w:val="24"/>
                <w:highlight w:val="none"/>
                <w:lang w:eastAsia="zh-CN"/>
              </w:rPr>
              <w:t>由</w:t>
            </w:r>
            <w:r>
              <w:rPr>
                <w:rFonts w:hint="eastAsia" w:ascii="宋体" w:hAnsi="宋体" w:eastAsia="宋体" w:cs="宋体"/>
                <w:color w:val="auto"/>
                <w:kern w:val="44"/>
                <w:sz w:val="24"/>
                <w:szCs w:val="24"/>
                <w:highlight w:val="none"/>
              </w:rPr>
              <w:t>成交人</w:t>
            </w:r>
            <w:r>
              <w:rPr>
                <w:rFonts w:hint="eastAsia" w:ascii="宋体" w:hAnsi="宋体" w:eastAsia="宋体" w:cs="宋体"/>
                <w:color w:val="auto"/>
                <w:kern w:val="44"/>
                <w:sz w:val="24"/>
                <w:szCs w:val="24"/>
                <w:highlight w:val="none"/>
                <w:lang w:eastAsia="zh-CN"/>
              </w:rPr>
              <w:t>在领取成交通知书时</w:t>
            </w:r>
            <w:r>
              <w:rPr>
                <w:rFonts w:hint="eastAsia" w:ascii="宋体" w:hAnsi="宋体" w:eastAsia="宋体" w:cs="宋体"/>
                <w:color w:val="auto"/>
                <w:kern w:val="44"/>
                <w:sz w:val="24"/>
                <w:szCs w:val="24"/>
                <w:highlight w:val="none"/>
              </w:rPr>
              <w:t>缴纳。</w:t>
            </w:r>
          </w:p>
          <w:p w14:paraId="1D9A3C8C">
            <w:pPr>
              <w:pStyle w:val="5"/>
              <w:rPr>
                <w:rFonts w:hint="default"/>
                <w:lang w:val="en-US" w:eastAsia="zh-CN"/>
              </w:rPr>
            </w:pPr>
            <w:r>
              <w:rPr>
                <w:rFonts w:hint="eastAsia" w:ascii="宋体" w:hAnsi="宋体" w:cs="宋体"/>
                <w:color w:val="auto"/>
                <w:kern w:val="44"/>
                <w:sz w:val="24"/>
                <w:szCs w:val="24"/>
                <w:highlight w:val="none"/>
                <w:lang w:val="en-US" w:eastAsia="zh-CN"/>
              </w:rPr>
              <w:t>支付方式：转账或现金</w:t>
            </w:r>
          </w:p>
          <w:p w14:paraId="702BD4AE">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单位名称:河南匠之心工程咨询有限公司</w:t>
            </w:r>
          </w:p>
          <w:p w14:paraId="5CF300E5">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开户行:上海浦东发展银行股份有限公司郑州东风支行</w:t>
            </w:r>
          </w:p>
          <w:p w14:paraId="4294C16A">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账号:76220078801600001125</w:t>
            </w:r>
          </w:p>
        </w:tc>
      </w:tr>
      <w:tr w14:paraId="491C5EEC">
        <w:tblPrEx>
          <w:tblCellMar>
            <w:top w:w="0" w:type="dxa"/>
            <w:left w:w="108" w:type="dxa"/>
            <w:bottom w:w="0" w:type="dxa"/>
            <w:right w:w="108" w:type="dxa"/>
          </w:tblCellMar>
        </w:tblPrEx>
        <w:trPr>
          <w:trHeight w:val="1615" w:hRule="atLeast"/>
          <w:jc w:val="center"/>
        </w:trPr>
        <w:tc>
          <w:tcPr>
            <w:tcW w:w="987" w:type="dxa"/>
            <w:vMerge w:val="continue"/>
            <w:tcBorders>
              <w:left w:val="single" w:color="auto" w:sz="4" w:space="0"/>
              <w:bottom w:val="single" w:color="auto" w:sz="4" w:space="0"/>
              <w:right w:val="single" w:color="auto" w:sz="4" w:space="0"/>
            </w:tcBorders>
            <w:noWrap w:val="0"/>
            <w:vAlign w:val="center"/>
          </w:tcPr>
          <w:p w14:paraId="635C22B8">
            <w:pPr>
              <w:widowControl/>
              <w:spacing w:line="360" w:lineRule="auto"/>
              <w:jc w:val="left"/>
            </w:pPr>
          </w:p>
        </w:tc>
        <w:tc>
          <w:tcPr>
            <w:tcW w:w="2657" w:type="dxa"/>
            <w:vMerge w:val="continue"/>
            <w:tcBorders>
              <w:left w:val="single" w:color="auto" w:sz="4" w:space="0"/>
              <w:bottom w:val="single" w:color="auto" w:sz="4" w:space="0"/>
              <w:right w:val="single" w:color="auto" w:sz="4" w:space="0"/>
            </w:tcBorders>
            <w:noWrap w:val="0"/>
            <w:vAlign w:val="center"/>
          </w:tcPr>
          <w:p w14:paraId="25ED750D">
            <w:pPr>
              <w:widowControl/>
              <w:spacing w:line="360" w:lineRule="auto"/>
              <w:jc w:val="left"/>
            </w:pP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79F538D">
            <w:pPr>
              <w:widowControl/>
              <w:spacing w:line="360" w:lineRule="auto"/>
              <w:jc w:val="left"/>
              <w:rPr>
                <w:rFonts w:hint="eastAsia" w:ascii="宋体" w:hAnsi="宋体" w:eastAsia="宋体" w:cs="宋体"/>
                <w:color w:val="auto"/>
                <w:kern w:val="44"/>
                <w:sz w:val="24"/>
                <w:szCs w:val="24"/>
                <w:highlight w:val="none"/>
              </w:rPr>
            </w:pPr>
            <w:r>
              <w:rPr>
                <w:color w:val="auto"/>
                <w:highlight w:val="none"/>
              </w:rPr>
              <w:drawing>
                <wp:inline distT="0" distB="0" distL="114300" distR="114300">
                  <wp:extent cx="3802380" cy="2095500"/>
                  <wp:effectExtent l="0" t="0" r="7620"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3802380" cy="2095500"/>
                          </a:xfrm>
                          <a:prstGeom prst="rect">
                            <a:avLst/>
                          </a:prstGeom>
                          <a:noFill/>
                          <a:ln>
                            <a:noFill/>
                          </a:ln>
                        </pic:spPr>
                      </pic:pic>
                    </a:graphicData>
                  </a:graphic>
                </wp:inline>
              </w:drawing>
            </w:r>
          </w:p>
          <w:p w14:paraId="431FF02F">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 1招标代理服务收费按差额定率累进法计算。</w:t>
            </w:r>
          </w:p>
          <w:p w14:paraId="7257F669">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例如: 某工程招标代理业务，项目</w:t>
            </w:r>
            <w:r>
              <w:rPr>
                <w:rFonts w:hint="eastAsia" w:ascii="宋体" w:hAnsi="宋体" w:eastAsia="宋体" w:cs="宋体"/>
                <w:bCs/>
                <w:color w:val="auto"/>
                <w:sz w:val="24"/>
                <w:szCs w:val="24"/>
                <w:highlight w:val="none"/>
                <w:lang w:eastAsia="zh-CN"/>
              </w:rPr>
              <w:t>中标金额</w:t>
            </w:r>
            <w:r>
              <w:rPr>
                <w:rFonts w:hint="eastAsia" w:ascii="宋体" w:hAnsi="宋体" w:eastAsia="宋体" w:cs="宋体"/>
                <w:bCs/>
                <w:color w:val="auto"/>
                <w:sz w:val="24"/>
                <w:szCs w:val="24"/>
                <w:highlight w:val="none"/>
              </w:rPr>
              <w:t>为10000 万元，招标代理服务收费计算如下:</w:t>
            </w:r>
          </w:p>
          <w:p w14:paraId="2F46B1F9">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100万元×1.2%=1.2万元</w:t>
            </w:r>
          </w:p>
          <w:p w14:paraId="6A948D06">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(500-100) 万元×1.0%=4万元</w:t>
            </w:r>
          </w:p>
          <w:p w14:paraId="455E86E9">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(1000-500) ×0.7%=3.5万元</w:t>
            </w:r>
          </w:p>
          <w:p w14:paraId="33CF2A4D">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(5000-1000) ×0.4%=16万元</w:t>
            </w:r>
          </w:p>
          <w:p w14:paraId="43229996">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(10000-5000) ×0.25%=12.5万元</w:t>
            </w:r>
          </w:p>
          <w:p w14:paraId="2CA1EF6D">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合计收费=1.2+4+3.5+16+12.5=37.2万元</w:t>
            </w:r>
          </w:p>
          <w:p w14:paraId="42AC48A8">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.收费标准的计算基数以项目、标段 (包) 的中标金额为计费基数。</w:t>
            </w:r>
          </w:p>
        </w:tc>
      </w:tr>
      <w:tr w14:paraId="0F5F7528">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5FF80F">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6243C7C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政府采购政策</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66845B62">
            <w:pPr>
              <w:keepNext w:val="0"/>
              <w:keepLines w:val="0"/>
              <w:pageBreakBefore w:val="0"/>
              <w:kinsoku/>
              <w:wordWrap/>
              <w:overflowPunct/>
              <w:topLinePunct w:val="0"/>
              <w:bidi w:val="0"/>
              <w:snapToGrid/>
              <w:spacing w:line="540" w:lineRule="exact"/>
              <w:ind w:firstLine="562" w:firstLineChars="200"/>
              <w:jc w:val="left"/>
              <w:textAlignment w:val="auto"/>
              <w:rPr>
                <w:rFonts w:hint="eastAsia" w:ascii="宋体" w:hAnsi="宋体" w:eastAsia="宋体" w:cs="宋体"/>
                <w:b/>
                <w:bCs/>
                <w:color w:val="auto"/>
                <w:kern w:val="44"/>
                <w:sz w:val="28"/>
                <w:szCs w:val="28"/>
                <w:highlight w:val="none"/>
                <w:lang w:val="en-US" w:eastAsia="zh-CN"/>
              </w:rPr>
            </w:pPr>
            <w:r>
              <w:rPr>
                <w:rFonts w:hint="eastAsia" w:ascii="宋体" w:hAnsi="宋体" w:eastAsia="宋体" w:cs="宋体"/>
                <w:b/>
                <w:bCs/>
                <w:color w:val="auto"/>
                <w:kern w:val="44"/>
                <w:sz w:val="28"/>
                <w:szCs w:val="28"/>
                <w:highlight w:val="none"/>
              </w:rPr>
              <w:t>本项目采购标的属于</w:t>
            </w:r>
            <w:r>
              <w:rPr>
                <w:rFonts w:hint="eastAsia" w:ascii="宋体" w:hAnsi="宋体" w:eastAsia="宋体" w:cs="宋体"/>
                <w:b/>
                <w:bCs/>
                <w:color w:val="auto"/>
                <w:kern w:val="44"/>
                <w:sz w:val="28"/>
                <w:szCs w:val="28"/>
                <w:highlight w:val="none"/>
                <w:lang w:eastAsia="zh-CN"/>
              </w:rPr>
              <w:t>其他未列明行业</w:t>
            </w:r>
            <w:r>
              <w:rPr>
                <w:rFonts w:hint="eastAsia" w:ascii="宋体" w:hAnsi="宋体" w:eastAsia="宋体" w:cs="宋体"/>
                <w:b/>
                <w:bCs/>
                <w:color w:val="auto"/>
                <w:kern w:val="44"/>
                <w:sz w:val="28"/>
                <w:szCs w:val="28"/>
                <w:highlight w:val="none"/>
              </w:rPr>
              <w:t>；</w:t>
            </w:r>
          </w:p>
          <w:p w14:paraId="729EC377">
            <w:pPr>
              <w:keepNext w:val="0"/>
              <w:keepLines w:val="0"/>
              <w:pageBreakBefore w:val="0"/>
              <w:kinsoku/>
              <w:wordWrap/>
              <w:overflowPunct/>
              <w:topLinePunct w:val="0"/>
              <w:bidi w:val="0"/>
              <w:snapToGrid/>
              <w:spacing w:line="540" w:lineRule="exact"/>
              <w:ind w:firstLine="480" w:firstLineChars="200"/>
              <w:jc w:val="left"/>
              <w:textAlignment w:val="auto"/>
              <w:rPr>
                <w:rFonts w:hint="eastAsia" w:ascii="宋体" w:hAnsi="宋体" w:eastAsia="宋体" w:cs="宋体"/>
                <w:color w:val="auto"/>
                <w:kern w:val="44"/>
                <w:sz w:val="24"/>
                <w:szCs w:val="24"/>
                <w:highlight w:val="none"/>
                <w:lang w:val="zh-CN" w:eastAsia="zh-CN"/>
              </w:rPr>
            </w:pPr>
            <w:r>
              <w:rPr>
                <w:rFonts w:hint="eastAsia" w:ascii="宋体" w:hAnsi="宋体" w:eastAsia="宋体" w:cs="宋体"/>
                <w:color w:val="auto"/>
                <w:kern w:val="44"/>
                <w:sz w:val="24"/>
                <w:szCs w:val="24"/>
                <w:highlight w:val="none"/>
                <w:lang w:val="en-US" w:eastAsia="zh-CN"/>
              </w:rPr>
              <w:t>1.</w:t>
            </w:r>
            <w:r>
              <w:rPr>
                <w:rFonts w:hint="eastAsia" w:ascii="宋体" w:hAnsi="宋体" w:eastAsia="宋体" w:cs="宋体"/>
                <w:color w:val="auto"/>
                <w:kern w:val="44"/>
                <w:sz w:val="24"/>
                <w:szCs w:val="24"/>
                <w:highlight w:val="none"/>
                <w:lang w:val="zh-CN" w:eastAsia="zh-CN"/>
              </w:rPr>
              <w:t>本项目专门面向中小企业、监狱企业及残疾人福利性单位采购项目，执行促进中小型企业发展政策（残疾人福利性企业、监狱企业视同小微企业）、优先采购节能环保产品等政府采购政策。</w:t>
            </w:r>
          </w:p>
          <w:p w14:paraId="52AC465A">
            <w:pPr>
              <w:keepNext w:val="0"/>
              <w:keepLines w:val="0"/>
              <w:pageBreakBefore w:val="0"/>
              <w:kinsoku/>
              <w:wordWrap/>
              <w:overflowPunct/>
              <w:topLinePunct w:val="0"/>
              <w:bidi w:val="0"/>
              <w:snapToGrid/>
              <w:spacing w:line="540" w:lineRule="exact"/>
              <w:ind w:firstLine="480" w:firstLineChars="2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2.划定标准为：《工业和信息化部、国家统计局、国家发展和改革委员会、财政部关于印发&lt;中小企业划型标准规定的通知&gt;（工信部联企业〔2011〕300号）规定的划分标准为依据。</w:t>
            </w:r>
          </w:p>
          <w:p w14:paraId="170A553E">
            <w:pPr>
              <w:keepNext w:val="0"/>
              <w:keepLines w:val="0"/>
              <w:pageBreakBefore w:val="0"/>
              <w:kinsoku/>
              <w:wordWrap/>
              <w:overflowPunct/>
              <w:topLinePunct w:val="0"/>
              <w:bidi w:val="0"/>
              <w:snapToGrid/>
              <w:spacing w:line="540" w:lineRule="exact"/>
              <w:ind w:firstLine="480" w:firstLineChars="2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3.小微企业的认定标准详见《关于印发《政府采购促进中小企业发展管理办法》的通知》（财库〔2020〕46号）。</w:t>
            </w:r>
          </w:p>
          <w:p w14:paraId="7461D380">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（1）小微企业认定标准：出具《中小企业声明函》。</w:t>
            </w:r>
          </w:p>
          <w:p w14:paraId="66641FAC">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（2）残疾人福利性单位认定标准：出具《残疾人福利性单位声明函》。</w:t>
            </w:r>
          </w:p>
          <w:p w14:paraId="6B8D4BEB">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（3）监狱企业的认定标准：省级以上监狱管理局、戒毒管理局（含新疆生产建设兵团）出具的属于监狱企业的证明文件。</w:t>
            </w:r>
          </w:p>
          <w:p w14:paraId="18FD7475">
            <w:pPr>
              <w:keepNext w:val="0"/>
              <w:keepLines w:val="0"/>
              <w:pageBreakBefore w:val="0"/>
              <w:kinsoku/>
              <w:wordWrap/>
              <w:overflowPunct/>
              <w:topLinePunct w:val="0"/>
              <w:bidi w:val="0"/>
              <w:snapToGrid/>
              <w:spacing w:line="540" w:lineRule="exact"/>
              <w:ind w:firstLine="480" w:firstLineChars="200"/>
              <w:jc w:val="left"/>
              <w:textAlignment w:val="auto"/>
              <w:rPr>
                <w:rFonts w:hint="eastAsia" w:ascii="宋体" w:hAnsi="宋体" w:eastAsia="宋体" w:cs="宋体"/>
                <w:color w:val="auto"/>
                <w:kern w:val="44"/>
                <w:sz w:val="24"/>
                <w:szCs w:val="24"/>
                <w:highlight w:val="none"/>
                <w:lang w:val="en-US" w:eastAsia="zh-CN" w:bidi="ar-SA"/>
              </w:rPr>
            </w:pPr>
            <w:r>
              <w:rPr>
                <w:rFonts w:hint="eastAsia" w:ascii="宋体" w:hAnsi="宋体" w:eastAsia="宋体" w:cs="宋体"/>
                <w:color w:val="auto"/>
                <w:kern w:val="44"/>
                <w:sz w:val="24"/>
                <w:szCs w:val="24"/>
                <w:highlight w:val="none"/>
              </w:rPr>
              <w:t>相关风险：提供虚假证明材料后果：</w:t>
            </w:r>
            <w:r>
              <w:rPr>
                <w:rFonts w:hint="eastAsia" w:ascii="宋体" w:hAnsi="宋体" w:eastAsia="宋体" w:cs="宋体"/>
                <w:color w:val="auto"/>
                <w:kern w:val="44"/>
                <w:sz w:val="24"/>
                <w:szCs w:val="24"/>
                <w:highlight w:val="none"/>
                <w:lang w:eastAsia="zh-CN"/>
              </w:rPr>
              <w:t>供应商</w:t>
            </w:r>
            <w:r>
              <w:rPr>
                <w:rFonts w:hint="eastAsia" w:ascii="宋体" w:hAnsi="宋体" w:eastAsia="宋体" w:cs="宋体"/>
                <w:color w:val="auto"/>
                <w:kern w:val="44"/>
                <w:sz w:val="24"/>
                <w:szCs w:val="24"/>
                <w:highlight w:val="none"/>
              </w:rPr>
              <w:t>为取得上述身份而提供虚假证明材料，在评审过程中发现的，按无效标处理；已取得中标资格的，无论该行为是否影响中标，均取消其中标资格；该</w:t>
            </w:r>
            <w:r>
              <w:rPr>
                <w:rFonts w:hint="eastAsia" w:ascii="宋体" w:hAnsi="宋体" w:eastAsia="宋体" w:cs="宋体"/>
                <w:color w:val="auto"/>
                <w:kern w:val="44"/>
                <w:sz w:val="24"/>
                <w:szCs w:val="24"/>
                <w:highlight w:val="none"/>
                <w:lang w:eastAsia="zh-CN"/>
              </w:rPr>
              <w:t>供应商</w:t>
            </w:r>
            <w:r>
              <w:rPr>
                <w:rFonts w:hint="eastAsia" w:ascii="宋体" w:hAnsi="宋体" w:eastAsia="宋体" w:cs="宋体"/>
                <w:color w:val="auto"/>
                <w:kern w:val="44"/>
                <w:sz w:val="24"/>
                <w:szCs w:val="24"/>
                <w:highlight w:val="none"/>
              </w:rPr>
              <w:t>还应承担由此引起的其他经济、法律责任。出现此种情形时，</w:t>
            </w:r>
            <w:r>
              <w:rPr>
                <w:rFonts w:hint="eastAsia" w:ascii="宋体" w:hAnsi="宋体" w:cs="宋体"/>
                <w:color w:val="auto"/>
                <w:kern w:val="44"/>
                <w:sz w:val="24"/>
                <w:szCs w:val="24"/>
                <w:highlight w:val="none"/>
                <w:lang w:eastAsia="zh-CN"/>
              </w:rPr>
              <w:t>采购人</w:t>
            </w:r>
            <w:r>
              <w:rPr>
                <w:rFonts w:hint="eastAsia" w:ascii="宋体" w:hAnsi="宋体" w:eastAsia="宋体" w:cs="宋体"/>
                <w:color w:val="auto"/>
                <w:kern w:val="44"/>
                <w:sz w:val="24"/>
                <w:szCs w:val="24"/>
                <w:highlight w:val="none"/>
              </w:rPr>
              <w:t>、</w:t>
            </w:r>
            <w:r>
              <w:rPr>
                <w:rFonts w:hint="eastAsia" w:ascii="宋体" w:hAnsi="宋体" w:cs="宋体"/>
                <w:color w:val="auto"/>
                <w:kern w:val="44"/>
                <w:sz w:val="24"/>
                <w:szCs w:val="24"/>
                <w:highlight w:val="none"/>
                <w:lang w:eastAsia="zh-CN"/>
              </w:rPr>
              <w:t>采购代理机构</w:t>
            </w:r>
            <w:r>
              <w:rPr>
                <w:rFonts w:hint="eastAsia" w:ascii="宋体" w:hAnsi="宋体" w:eastAsia="宋体" w:cs="宋体"/>
                <w:color w:val="auto"/>
                <w:kern w:val="44"/>
                <w:sz w:val="24"/>
                <w:szCs w:val="24"/>
                <w:highlight w:val="none"/>
              </w:rPr>
              <w:t>将有关情况上报政府采购监管部门，由监管部门按有关规定对其进行相应处罚。</w:t>
            </w:r>
          </w:p>
        </w:tc>
      </w:tr>
      <w:tr w14:paraId="2F402A54">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862C287">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134A6865">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知识产权</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C7B23C5">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构成本竞争性磋商文件各个组成部分的文件，未经招标人书面同意，投标人不得擅自复印和用于非本招标项目所需的其他目的。招标人全部或者部分使用未成交人投标文件中的技术成果或技术方案时，需征得其书面同意，并不得擅自复印或提供给第三人</w:t>
            </w:r>
          </w:p>
        </w:tc>
      </w:tr>
      <w:tr w14:paraId="58EB8569">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B49C672">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5B553175">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监督</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31D664D">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本项目的招标投标活动及其相关当事人应当接受有管辖权的建设工程招标投标行政监督部门依法实施的监督</w:t>
            </w:r>
          </w:p>
        </w:tc>
      </w:tr>
      <w:tr w14:paraId="30EC9859">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77ECAD2">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4102E803">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解释权</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3CAF83B6">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构成本竞争性磋商文件的各个组成部分应互为解释，互为说明，如有不明确或不一致，构成合同文件组成内容，以合同文件约定内容为准，且以专用合同草案约定的合同文件优先顺序解释；除竞争性磋商文件中有特别规定外，仅适用于招标投标阶段的规定，按招标公告（投标邀请书）、评标办法、投标文件格式的先后顺序解释；同一组成文件中就同一事项的规定或约定不一致的，以编排顺序在后者为准；同一组成文件不同版本之间有不一致的，已形成时间在后者为准。按本款前述规定仍不能形成结论的，由招标人或委托代理机构负责解释。</w:t>
            </w:r>
          </w:p>
        </w:tc>
      </w:tr>
      <w:tr w14:paraId="5DE7B536">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8799E71">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0F487464">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同义词语</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14071A87">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 xml:space="preserve">  构成竞争性磋商文件组成部分的“通用合同条款”、“专用合同条款”、“技术标准和要求”等章节中出现的措辞“发包人”和“承包人”，在招标投标阶段应当分别按“招标人”和“投标人”进行理解。</w:t>
            </w:r>
          </w:p>
        </w:tc>
      </w:tr>
      <w:tr w14:paraId="1CA1A9A3">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DF1B202">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2657" w:type="dxa"/>
            <w:tcBorders>
              <w:top w:val="single" w:color="auto" w:sz="4" w:space="0"/>
              <w:left w:val="single" w:color="auto" w:sz="4" w:space="0"/>
              <w:bottom w:val="single" w:color="auto" w:sz="4" w:space="0"/>
              <w:right w:val="single" w:color="auto" w:sz="4" w:space="0"/>
            </w:tcBorders>
            <w:noWrap w:val="0"/>
            <w:vAlign w:val="center"/>
          </w:tcPr>
          <w:p w14:paraId="4F97C351">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具体要求</w:t>
            </w:r>
          </w:p>
        </w:tc>
        <w:tc>
          <w:tcPr>
            <w:tcW w:w="6291" w:type="dxa"/>
            <w:tcBorders>
              <w:top w:val="single" w:color="auto" w:sz="4" w:space="0"/>
              <w:left w:val="single" w:color="auto" w:sz="4" w:space="0"/>
              <w:bottom w:val="single" w:color="auto" w:sz="4" w:space="0"/>
              <w:right w:val="single" w:color="auto" w:sz="4" w:space="0"/>
            </w:tcBorders>
            <w:noWrap w:val="0"/>
            <w:vAlign w:val="center"/>
          </w:tcPr>
          <w:p w14:paraId="053AA43B">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本项目为电子化、无纸化交易项目，投标文件是投标人、响应人（以下简称“投标人”）通过中心投标文件制作系统制作，并经过签章和加密后生成的电子版投标文件。</w:t>
            </w:r>
          </w:p>
          <w:p w14:paraId="197B981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电子化投标文件具体制作文件请点击https://download.bqpoint.com/download/downloaddetail.html?SourceFrom=Ztb&amp;ZtbSoftXiaQuCode=1506&amp;ZtbSoftType=tballinclusive进行下载。</w:t>
            </w:r>
          </w:p>
          <w:p w14:paraId="00012498">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温馨提示：本项目为电子化、无纸化交易项目，为保证您能投标成功，请需仔细阅读以下条款。</w:t>
            </w:r>
          </w:p>
          <w:p w14:paraId="4740F0F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一、电子化投标</w:t>
            </w:r>
          </w:p>
          <w:p w14:paraId="0AD8A58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（一）电子化投标文件的签章</w:t>
            </w:r>
          </w:p>
          <w:p w14:paraId="475D39BC">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1、投标人在生成电子化投标文件后，应对电子化投标文件进行签章，未进行签章的视为无效投标。</w:t>
            </w:r>
          </w:p>
          <w:p w14:paraId="71F6F4E8">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w:t>
            </w:r>
            <w:r>
              <w:rPr>
                <w:rFonts w:hint="eastAsia" w:ascii="宋体" w:hAnsi="宋体" w:cs="宋体"/>
                <w:caps w:val="0"/>
                <w:color w:val="auto"/>
                <w:spacing w:val="0"/>
                <w:sz w:val="24"/>
                <w:szCs w:val="24"/>
                <w:highlight w:val="none"/>
                <w:lang w:eastAsia="zh-CN"/>
              </w:rPr>
              <w:t>文件中要求盖单位章的位置投标人应使用CA数字证书签盖投标人的单位电子印章；要求法定代表人签字或盖章的地方，投标人应使用CA数字证书签盖法定代表人的个人电子印章为准。要求委托代理人签字或盖章的以委托代理人签字或盖章为准；</w:t>
            </w:r>
          </w:p>
          <w:p w14:paraId="1ADF15F9">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（二）电子化投标文件的格式及上传投标</w:t>
            </w:r>
          </w:p>
          <w:p w14:paraId="25511249">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投标人所上传的电子化投标文件，应是通过中心投标文件制作系统制作的（投标文件制作工具下载地址：https://download.bqpoint.com/download/downloaddetail.html?SourceFrom=Ztb&amp;ZtbSoftXiaQuCode=1506&amp;ZtbSoftType=tballinclusive），经过签章和加密后生成的电子版投标文件。其中包含用于投标文件上传的主文件（后缀为.smxtf）和用于应急补救的投标文件备份文件（后缀为.nsmxtf）。备份文件主要用于电子化开标出现技术问题后的补救，请投标人随身携带。</w:t>
            </w:r>
          </w:p>
          <w:p w14:paraId="2A31A7AF">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2、电子化投标文件应在投标截止时间前成功上传至三门峡市公共资源电子化交易系统。至投标截止时间止，仍未上传成功的电子化投标文件将不予接收。</w:t>
            </w:r>
          </w:p>
          <w:p w14:paraId="1092E9C7">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47AAD38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技术联系电话：0398-3117871</w:t>
            </w:r>
          </w:p>
          <w:p w14:paraId="1E543C24">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（三）电子化项目开标、解密、唱标、评标</w:t>
            </w:r>
          </w:p>
          <w:p w14:paraId="42AEF336">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本项目采用电子化、无纸化进行招标，开标当日，投标人无需到开标现场参加开标会议，投标人应当在投标截止时间前，登陆不见面开标大厅选择登陆三门峡市公共资源电子招投标系统进行登陆（网址为http://120.194.249.36:10094/BidOpening/bidopeninghallaction/hall/login）,在线准时参加开标活动并进行投标文件解密等</w:t>
            </w:r>
          </w:p>
          <w:p w14:paraId="4A503CD1">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2、电子化投标文件采用一次加密方式。开标时，由投标人使用CA 证书，在规定时间内对其电子化投标文件进行解密。每位投标人的解密时间为开标时间起30 分钟内，如在规定时间内未完成解密的，其投标文件不予开标、唱标。</w:t>
            </w:r>
          </w:p>
          <w:p w14:paraId="3CECC0B6">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3、电子化投标文件解密异常的处理</w:t>
            </w:r>
          </w:p>
          <w:p w14:paraId="6A377148">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如出现投标人的电子投标文件无法解密等异常情况，投标人应及时致电中介服务机构说明。投标文件异常，按以下步骤进行处理：</w:t>
            </w:r>
          </w:p>
          <w:p w14:paraId="2CAE1366">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（1）首先由技术人员进行问题排查。</w:t>
            </w:r>
          </w:p>
          <w:p w14:paraId="50105AB3">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（2）经技术人员排查后，是投标人文件自身问题导致投标文件无法解密的，该投标文件将不予接收、解密和唱标。开标会议继续进行。</w:t>
            </w:r>
          </w:p>
          <w:p w14:paraId="48BCFA3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48A70C2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4、待所有投标人投标文件解密完成后，由中介服务机构操作，对所有已解密投标文件进行唱标。</w:t>
            </w:r>
          </w:p>
          <w:p w14:paraId="689F47A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投标人应保证在开标期间电话、电脑、网络能够正常工作，投标人因停电、电脑病毒、网络堵塞等原因，未在规定的解密时间内对投标文件进行解密的，其投标文件不予接收、唱标。</w:t>
            </w:r>
          </w:p>
          <w:p w14:paraId="1588C6A4">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5、开标时投标人可登录到交易系统中在开标解密栏中点击报价一览表查看自己的投标报价。如对自己的唱标内容有异议的，应在投标人解密成功后10分钟内向中介服务机构电话质疑。中介服务机构应在监督人员的监督下进行免提通话接受投标人的质疑并做好书面记录。投标人未在规定时间内提出质疑的，视为认可唱标内容。</w:t>
            </w:r>
          </w:p>
          <w:p w14:paraId="32F82490">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6、评标时，</w:t>
            </w:r>
            <w:r>
              <w:rPr>
                <w:rFonts w:hint="eastAsia" w:ascii="宋体" w:hAnsi="宋体" w:cs="宋体"/>
                <w:caps w:val="0"/>
                <w:color w:val="auto"/>
                <w:spacing w:val="0"/>
                <w:sz w:val="24"/>
                <w:szCs w:val="24"/>
                <w:highlight w:val="none"/>
                <w:lang w:eastAsia="zh-CN"/>
              </w:rPr>
              <w:t>磋商小组</w:t>
            </w:r>
            <w:r>
              <w:rPr>
                <w:rFonts w:hint="eastAsia" w:ascii="宋体" w:hAnsi="宋体" w:eastAsia="宋体" w:cs="宋体"/>
                <w:caps w:val="0"/>
                <w:color w:val="auto"/>
                <w:spacing w:val="0"/>
                <w:sz w:val="24"/>
                <w:szCs w:val="24"/>
                <w:highlight w:val="none"/>
                <w:lang w:eastAsia="zh-CN"/>
              </w:rPr>
              <w:t>对电子化投标文件有质疑的，将通过电子化交易系统对投标人发起质疑，并在监督人员的监督下，用免提模式致电需要答复的投标人对质疑进行回复。投标人的回复文件必须以经过投标人和其法定代表人签章的PDF格式文件为准，并通过电子化交易系统提交至</w:t>
            </w:r>
            <w:r>
              <w:rPr>
                <w:rFonts w:hint="eastAsia" w:ascii="宋体" w:hAnsi="宋体" w:cs="宋体"/>
                <w:caps w:val="0"/>
                <w:color w:val="auto"/>
                <w:spacing w:val="0"/>
                <w:sz w:val="24"/>
                <w:szCs w:val="24"/>
                <w:highlight w:val="none"/>
                <w:lang w:eastAsia="zh-CN"/>
              </w:rPr>
              <w:t>磋商小组</w:t>
            </w:r>
            <w:r>
              <w:rPr>
                <w:rFonts w:hint="eastAsia" w:ascii="宋体" w:hAnsi="宋体" w:eastAsia="宋体" w:cs="宋体"/>
                <w:caps w:val="0"/>
                <w:color w:val="auto"/>
                <w:spacing w:val="0"/>
                <w:sz w:val="24"/>
                <w:szCs w:val="24"/>
                <w:highlight w:val="none"/>
                <w:lang w:eastAsia="zh-CN"/>
              </w:rPr>
              <w:t>。</w:t>
            </w:r>
          </w:p>
          <w:p w14:paraId="60D0E7F4">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7、如</w:t>
            </w:r>
            <w:r>
              <w:rPr>
                <w:rFonts w:hint="eastAsia" w:ascii="宋体" w:hAnsi="宋体" w:cs="宋体"/>
                <w:caps w:val="0"/>
                <w:color w:val="auto"/>
                <w:spacing w:val="0"/>
                <w:sz w:val="24"/>
                <w:szCs w:val="24"/>
                <w:highlight w:val="none"/>
                <w:lang w:eastAsia="zh-CN"/>
              </w:rPr>
              <w:t>磋商小组</w:t>
            </w:r>
            <w:r>
              <w:rPr>
                <w:rFonts w:hint="eastAsia" w:ascii="宋体" w:hAnsi="宋体" w:eastAsia="宋体" w:cs="宋体"/>
                <w:caps w:val="0"/>
                <w:color w:val="auto"/>
                <w:spacing w:val="0"/>
                <w:sz w:val="24"/>
                <w:szCs w:val="24"/>
                <w:highlight w:val="none"/>
                <w:lang w:eastAsia="zh-CN"/>
              </w:rPr>
              <w:t>对需要回复的投标人连续三次致电未接通的，视为投标人放弃回复，</w:t>
            </w:r>
            <w:r>
              <w:rPr>
                <w:rFonts w:hint="eastAsia" w:ascii="宋体" w:hAnsi="宋体" w:cs="宋体"/>
                <w:caps w:val="0"/>
                <w:color w:val="auto"/>
                <w:spacing w:val="0"/>
                <w:sz w:val="24"/>
                <w:szCs w:val="24"/>
                <w:highlight w:val="none"/>
                <w:lang w:eastAsia="zh-CN"/>
              </w:rPr>
              <w:t>磋商小组</w:t>
            </w:r>
            <w:r>
              <w:rPr>
                <w:rFonts w:hint="eastAsia" w:ascii="宋体" w:hAnsi="宋体" w:eastAsia="宋体" w:cs="宋体"/>
                <w:caps w:val="0"/>
                <w:color w:val="auto"/>
                <w:spacing w:val="0"/>
                <w:sz w:val="24"/>
                <w:szCs w:val="24"/>
                <w:highlight w:val="none"/>
                <w:lang w:eastAsia="zh-CN"/>
              </w:rPr>
              <w:t>将自行对需要回复的内容进行认定。</w:t>
            </w:r>
          </w:p>
          <w:p w14:paraId="748EEFA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二、投标文件的提交</w:t>
            </w:r>
          </w:p>
          <w:p w14:paraId="6E55DF89">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本项目实行后审，审查内容以投标截止时间前在三门峡市公共资源交易系统上传的投标文件的信息为准。其上传资料真实性由投标人自行承担</w:t>
            </w:r>
            <w:r>
              <w:rPr>
                <w:rFonts w:hint="eastAsia" w:ascii="宋体" w:hAnsi="宋体" w:cs="宋体"/>
                <w:caps w:val="0"/>
                <w:color w:val="auto"/>
                <w:spacing w:val="0"/>
                <w:sz w:val="24"/>
                <w:szCs w:val="24"/>
                <w:highlight w:val="none"/>
                <w:lang w:eastAsia="zh-CN"/>
              </w:rPr>
              <w:t>。</w:t>
            </w:r>
          </w:p>
          <w:p w14:paraId="0ECFABE4">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提示：本项目为电子化、无纸化交易项目，为保证您能投标成功，请需仔细阅读以上条款。</w:t>
            </w:r>
          </w:p>
        </w:tc>
      </w:tr>
    </w:tbl>
    <w:p w14:paraId="64A170F7">
      <w:pPr>
        <w:spacing w:line="480" w:lineRule="exact"/>
        <w:ind w:firstLine="482" w:firstLineChars="200"/>
        <w:outlineLvl w:val="9"/>
        <w:rPr>
          <w:rFonts w:hint="eastAsia" w:ascii="宋体" w:hAnsi="宋体" w:eastAsia="宋体" w:cs="宋体"/>
          <w:b/>
          <w:bCs/>
          <w:color w:val="auto"/>
          <w:sz w:val="24"/>
          <w:highlight w:val="none"/>
        </w:rPr>
      </w:pPr>
      <w:bookmarkStart w:id="17" w:name="_Toc29773"/>
      <w:bookmarkStart w:id="18" w:name="_Toc127797694"/>
      <w:bookmarkStart w:id="19" w:name="_Toc152045557"/>
      <w:bookmarkStart w:id="20" w:name="_Toc247085715"/>
      <w:bookmarkStart w:id="21" w:name="_Toc144974525"/>
      <w:bookmarkStart w:id="22" w:name="_Toc179632575"/>
      <w:bookmarkStart w:id="23" w:name="_Toc296602445"/>
      <w:bookmarkStart w:id="24" w:name="_Toc246996944"/>
      <w:bookmarkStart w:id="25" w:name="_Toc152042333"/>
      <w:bookmarkStart w:id="26" w:name="_Toc246996201"/>
      <w:r>
        <w:rPr>
          <w:rFonts w:hint="eastAsia" w:ascii="宋体" w:hAnsi="宋体" w:eastAsia="宋体" w:cs="宋体"/>
          <w:b/>
          <w:bCs/>
          <w:color w:val="auto"/>
          <w:sz w:val="24"/>
          <w:highlight w:val="none"/>
        </w:rPr>
        <w:t>1、适用范围</w:t>
      </w:r>
      <w:bookmarkEnd w:id="17"/>
      <w:bookmarkEnd w:id="18"/>
    </w:p>
    <w:p w14:paraId="3ED29326">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本竞争性磋商文件仅适用于本次竞争性磋商文件中的所叙述的内容。</w:t>
      </w:r>
    </w:p>
    <w:p w14:paraId="50E8BB36">
      <w:pPr>
        <w:spacing w:line="480" w:lineRule="exact"/>
        <w:ind w:firstLine="482" w:firstLineChars="200"/>
        <w:outlineLvl w:val="9"/>
        <w:rPr>
          <w:rFonts w:hint="eastAsia" w:ascii="宋体" w:hAnsi="宋体" w:eastAsia="宋体" w:cs="宋体"/>
          <w:b/>
          <w:bCs/>
          <w:color w:val="auto"/>
          <w:sz w:val="24"/>
          <w:highlight w:val="none"/>
        </w:rPr>
      </w:pPr>
      <w:bookmarkStart w:id="27" w:name="_Toc18686"/>
      <w:bookmarkStart w:id="28" w:name="_Toc127797695"/>
      <w:r>
        <w:rPr>
          <w:rFonts w:hint="eastAsia" w:ascii="宋体" w:hAnsi="宋体" w:eastAsia="宋体" w:cs="宋体"/>
          <w:b/>
          <w:bCs/>
          <w:color w:val="auto"/>
          <w:sz w:val="24"/>
          <w:highlight w:val="none"/>
        </w:rPr>
        <w:t>2、合格的供应商</w:t>
      </w:r>
      <w:bookmarkEnd w:id="27"/>
      <w:bookmarkEnd w:id="28"/>
    </w:p>
    <w:p w14:paraId="1B31CE13">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符合供应商须知前附表要求。</w:t>
      </w:r>
    </w:p>
    <w:p w14:paraId="08DB2B4B">
      <w:pPr>
        <w:spacing w:line="480" w:lineRule="exact"/>
        <w:ind w:firstLine="482" w:firstLineChars="200"/>
        <w:outlineLvl w:val="9"/>
        <w:rPr>
          <w:rFonts w:hint="eastAsia" w:ascii="宋体" w:hAnsi="宋体" w:eastAsia="宋体" w:cs="宋体"/>
          <w:b/>
          <w:bCs/>
          <w:color w:val="auto"/>
          <w:sz w:val="24"/>
          <w:highlight w:val="none"/>
        </w:rPr>
      </w:pPr>
      <w:bookmarkStart w:id="29" w:name="_Toc23800"/>
      <w:bookmarkStart w:id="30" w:name="_Toc127797696"/>
      <w:r>
        <w:rPr>
          <w:rFonts w:hint="eastAsia" w:ascii="宋体" w:hAnsi="宋体" w:eastAsia="宋体" w:cs="宋体"/>
          <w:b/>
          <w:bCs/>
          <w:color w:val="auto"/>
          <w:sz w:val="24"/>
          <w:highlight w:val="none"/>
        </w:rPr>
        <w:t>3. 其他</w:t>
      </w:r>
      <w:bookmarkEnd w:id="29"/>
      <w:bookmarkEnd w:id="30"/>
    </w:p>
    <w:p w14:paraId="1B856E32">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3.1 无论磋商中的做法和结果如何，供应商均应自行承担所有与参与磋商活动有关的全部费用。</w:t>
      </w:r>
    </w:p>
    <w:p w14:paraId="4BAEBC51">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3.2 无论磋商结果如何，采购人均无向供应商解释其成交或未成交原因的义务。</w:t>
      </w:r>
    </w:p>
    <w:p w14:paraId="51435ECC">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3.3 无论成交与否，已购买竞争性磋商文件的供应商对竞争性磋商文件负保密责任。</w:t>
      </w:r>
    </w:p>
    <w:p w14:paraId="22C65A8E">
      <w:pPr>
        <w:spacing w:line="480" w:lineRule="exact"/>
        <w:ind w:firstLine="482" w:firstLineChars="200"/>
        <w:outlineLvl w:val="9"/>
        <w:rPr>
          <w:rFonts w:hint="eastAsia" w:ascii="宋体" w:hAnsi="宋体" w:eastAsia="宋体" w:cs="宋体"/>
          <w:b/>
          <w:bCs/>
          <w:color w:val="auto"/>
          <w:sz w:val="24"/>
          <w:highlight w:val="none"/>
        </w:rPr>
      </w:pPr>
      <w:bookmarkStart w:id="31" w:name="_Toc10903"/>
      <w:bookmarkStart w:id="32" w:name="_Toc127797697"/>
      <w:r>
        <w:rPr>
          <w:rFonts w:hint="eastAsia" w:ascii="宋体" w:hAnsi="宋体" w:eastAsia="宋体" w:cs="宋体"/>
          <w:b/>
          <w:bCs/>
          <w:color w:val="auto"/>
          <w:sz w:val="24"/>
          <w:highlight w:val="none"/>
        </w:rPr>
        <w:t>4、竞争性磋商文件的组成</w:t>
      </w:r>
      <w:bookmarkEnd w:id="31"/>
      <w:bookmarkEnd w:id="32"/>
    </w:p>
    <w:p w14:paraId="04425227">
      <w:pPr>
        <w:spacing w:line="480" w:lineRule="exact"/>
        <w:ind w:firstLine="480" w:firstLineChars="200"/>
        <w:outlineLvl w:val="9"/>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4.1 竞争性磋商文件用于阐明采购项目的服务范围、磋商程序、磋商内容、合同草签和条款以及评定成交的标准。具体包括以下内容：</w:t>
      </w:r>
    </w:p>
    <w:p w14:paraId="07AC4BF6">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（1）竞争性磋商公告</w:t>
      </w:r>
    </w:p>
    <w:p w14:paraId="67B92752">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（2）供应商须知</w:t>
      </w:r>
    </w:p>
    <w:p w14:paraId="2948CBF4">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eastAsia="zh-CN"/>
        </w:rPr>
        <w:t>服务内容</w:t>
      </w:r>
      <w:r>
        <w:rPr>
          <w:rFonts w:hint="eastAsia" w:ascii="宋体" w:hAnsi="宋体" w:eastAsia="宋体" w:cs="宋体"/>
          <w:color w:val="auto"/>
          <w:sz w:val="24"/>
          <w:highlight w:val="none"/>
        </w:rPr>
        <w:t>及要求</w:t>
      </w:r>
    </w:p>
    <w:p w14:paraId="6A5B14ED">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（4）评审办法</w:t>
      </w:r>
    </w:p>
    <w:p w14:paraId="758D0376">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（5）合同协议书（样本）</w:t>
      </w:r>
    </w:p>
    <w:p w14:paraId="1BDAFB89">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（6）响应文件部分格式</w:t>
      </w:r>
    </w:p>
    <w:p w14:paraId="5401137F">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4.2 竞争性磋商文件以中文编印，且以中文为准。</w:t>
      </w:r>
    </w:p>
    <w:p w14:paraId="1D7265C7">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4.3 除非有特殊要求，竞争性磋商文件不单独提供项目所在地的自然环境、气候条件、公用设施等情况，供应商被视为熟悉上述与履行合同有关的一切情况。</w:t>
      </w:r>
    </w:p>
    <w:p w14:paraId="434D5A46">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 竞争性磋商文件的澄清和修改</w:t>
      </w:r>
    </w:p>
    <w:p w14:paraId="0ABFC235">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4.4.1供应商对竞争性磋商文件如有需要澄清或疑问，应当在系统内提出。代理机构将视情况在响应性文件递交截止时间五日前以公告形式予以答复。</w:t>
      </w:r>
    </w:p>
    <w:p w14:paraId="74E86D85">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4.4.2在磋商文件中所述的响应性文件递交截止时间五日前，采购代理机构可主动地或在解答供应商提出的澄清问题时对竞争性磋商文件进行修改。</w:t>
      </w:r>
    </w:p>
    <w:p w14:paraId="4F31613C">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4.4.3竞争性磋商文件的修改将以公告形式予以修改，并构成竞争性磋商文件的一部分，对所有供应商均具有约束力。</w:t>
      </w:r>
    </w:p>
    <w:p w14:paraId="5205916E">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4.4.4如果修改竞争性磋商文件，会在三门峡市公共资源交易中心网发布变更公告，不再发纸质的变更信息。提醒供应商随时注意网上发布的信息。如因供应商自身原因未看到信息，因此造成的一切后果由供应商自行承担。</w:t>
      </w:r>
    </w:p>
    <w:p w14:paraId="2EDBFFA1">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4.4.5为使供应商有充分的时间对竞争性磋商文件的修改部分进行研究，采购代理机构可适当延长响应性文件递交截止时间。</w:t>
      </w:r>
    </w:p>
    <w:p w14:paraId="320F178A">
      <w:pPr>
        <w:spacing w:line="480" w:lineRule="exact"/>
        <w:ind w:firstLine="482" w:firstLineChars="200"/>
        <w:outlineLvl w:val="9"/>
        <w:rPr>
          <w:rFonts w:hint="eastAsia" w:ascii="宋体" w:hAnsi="宋体" w:eastAsia="宋体" w:cs="宋体"/>
          <w:b/>
          <w:bCs/>
          <w:color w:val="auto"/>
          <w:sz w:val="24"/>
          <w:highlight w:val="none"/>
        </w:rPr>
      </w:pPr>
      <w:bookmarkStart w:id="33" w:name="_Toc127797698"/>
      <w:bookmarkStart w:id="34" w:name="_Toc9736"/>
      <w:r>
        <w:rPr>
          <w:rFonts w:hint="eastAsia" w:ascii="宋体" w:hAnsi="宋体" w:eastAsia="宋体" w:cs="宋体"/>
          <w:b/>
          <w:bCs/>
          <w:color w:val="auto"/>
          <w:sz w:val="24"/>
          <w:highlight w:val="none"/>
        </w:rPr>
        <w:t>5、响应性文件的组成</w:t>
      </w:r>
      <w:bookmarkEnd w:id="33"/>
      <w:bookmarkEnd w:id="34"/>
    </w:p>
    <w:p w14:paraId="3E271296">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color w:val="auto"/>
          <w:sz w:val="24"/>
          <w:highlight w:val="none"/>
        </w:rPr>
      </w:pPr>
      <w:bookmarkStart w:id="35" w:name="_Toc127797700"/>
      <w:bookmarkStart w:id="36" w:name="_Toc17403"/>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 xml:space="preserve">报价函 </w:t>
      </w:r>
    </w:p>
    <w:p w14:paraId="3B70B700">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rPr>
      </w:pPr>
      <w:r>
        <w:rPr>
          <w:rFonts w:hint="eastAsia" w:ascii="宋体" w:hAnsi="宋体" w:eastAsia="宋体" w:cs="宋体"/>
          <w:bCs/>
          <w:color w:val="auto"/>
          <w:kern w:val="10"/>
          <w:sz w:val="24"/>
          <w:highlight w:val="none"/>
          <w:lang w:eastAsia="zh-CN"/>
        </w:rPr>
        <w:t>（</w:t>
      </w:r>
      <w:r>
        <w:rPr>
          <w:rFonts w:hint="eastAsia" w:ascii="宋体" w:hAnsi="宋体" w:eastAsia="宋体" w:cs="宋体"/>
          <w:bCs/>
          <w:color w:val="auto"/>
          <w:kern w:val="10"/>
          <w:sz w:val="24"/>
          <w:highlight w:val="none"/>
          <w:lang w:val="en-US" w:eastAsia="zh-CN"/>
        </w:rPr>
        <w:t>2</w:t>
      </w:r>
      <w:r>
        <w:rPr>
          <w:rFonts w:hint="eastAsia" w:ascii="宋体" w:hAnsi="宋体" w:eastAsia="宋体" w:cs="宋体"/>
          <w:bCs/>
          <w:color w:val="auto"/>
          <w:kern w:val="10"/>
          <w:sz w:val="24"/>
          <w:highlight w:val="none"/>
          <w:lang w:eastAsia="zh-CN"/>
        </w:rPr>
        <w:t>）</w:t>
      </w:r>
      <w:r>
        <w:rPr>
          <w:rFonts w:hint="eastAsia" w:ascii="宋体" w:hAnsi="宋体" w:eastAsia="宋体" w:cs="宋体"/>
          <w:bCs/>
          <w:color w:val="auto"/>
          <w:kern w:val="10"/>
          <w:sz w:val="24"/>
          <w:highlight w:val="none"/>
        </w:rPr>
        <w:t>法定代表人身份证明</w:t>
      </w:r>
    </w:p>
    <w:p w14:paraId="128F4DFC">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rPr>
      </w:pPr>
      <w:r>
        <w:rPr>
          <w:rFonts w:hint="eastAsia" w:ascii="宋体" w:hAnsi="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3</w:t>
      </w:r>
      <w:r>
        <w:rPr>
          <w:rFonts w:hint="eastAsia" w:ascii="宋体" w:hAnsi="宋体" w:cs="宋体"/>
          <w:bCs/>
          <w:color w:val="auto"/>
          <w:kern w:val="10"/>
          <w:sz w:val="24"/>
          <w:highlight w:val="none"/>
          <w:lang w:eastAsia="zh-CN"/>
        </w:rPr>
        <w:t>）</w:t>
      </w:r>
      <w:r>
        <w:rPr>
          <w:rFonts w:hint="eastAsia" w:ascii="宋体" w:hAnsi="宋体" w:eastAsia="宋体" w:cs="宋体"/>
          <w:bCs/>
          <w:color w:val="auto"/>
          <w:kern w:val="10"/>
          <w:sz w:val="24"/>
          <w:highlight w:val="none"/>
        </w:rPr>
        <w:t>授权委托书</w:t>
      </w:r>
    </w:p>
    <w:p w14:paraId="7F842A6F">
      <w:pPr>
        <w:shd w:val="clear" w:color="auto" w:fill="FFFFFF"/>
        <w:tabs>
          <w:tab w:val="right" w:pos="6077"/>
        </w:tabs>
        <w:autoSpaceDE w:val="0"/>
        <w:autoSpaceDN w:val="0"/>
        <w:spacing w:line="480" w:lineRule="auto"/>
        <w:ind w:firstLine="480" w:firstLineChars="200"/>
        <w:outlineLvl w:val="9"/>
        <w:rPr>
          <w:rFonts w:hint="default"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4</w:t>
      </w:r>
      <w:r>
        <w:rPr>
          <w:rFonts w:hint="eastAsia" w:ascii="宋体" w:hAnsi="宋体" w:eastAsia="宋体" w:cs="宋体"/>
          <w:bCs/>
          <w:color w:val="auto"/>
          <w:kern w:val="10"/>
          <w:sz w:val="24"/>
          <w:highlight w:val="none"/>
          <w:lang w:eastAsia="zh-CN"/>
        </w:rPr>
        <w:t>）投标承诺函</w:t>
      </w:r>
    </w:p>
    <w:p w14:paraId="141E882C">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rPr>
      </w:pPr>
      <w:r>
        <w:rPr>
          <w:rFonts w:hint="eastAsia" w:ascii="宋体" w:hAnsi="宋体" w:eastAsia="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5</w:t>
      </w:r>
      <w:r>
        <w:rPr>
          <w:rFonts w:hint="eastAsia" w:ascii="宋体" w:hAnsi="宋体" w:eastAsia="宋体" w:cs="宋体"/>
          <w:bCs/>
          <w:color w:val="auto"/>
          <w:kern w:val="10"/>
          <w:sz w:val="24"/>
          <w:highlight w:val="none"/>
          <w:lang w:eastAsia="zh-CN"/>
        </w:rPr>
        <w:t>）供应商资格审查</w:t>
      </w:r>
    </w:p>
    <w:p w14:paraId="4B7E4E08">
      <w:pPr>
        <w:shd w:val="clear" w:color="auto" w:fill="FFFFFF"/>
        <w:tabs>
          <w:tab w:val="right" w:pos="6077"/>
        </w:tabs>
        <w:autoSpaceDE w:val="0"/>
        <w:autoSpaceDN w:val="0"/>
        <w:spacing w:line="480" w:lineRule="auto"/>
        <w:ind w:firstLine="480" w:firstLineChars="200"/>
        <w:outlineLvl w:val="9"/>
        <w:rPr>
          <w:rFonts w:hint="default"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6</w:t>
      </w:r>
      <w:r>
        <w:rPr>
          <w:rFonts w:hint="eastAsia" w:ascii="宋体" w:hAnsi="宋体" w:eastAsia="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技</w:t>
      </w:r>
      <w:r>
        <w:rPr>
          <w:rFonts w:hint="eastAsia" w:ascii="宋体" w:hAnsi="宋体" w:eastAsia="宋体" w:cs="宋体"/>
          <w:bCs/>
          <w:color w:val="auto"/>
          <w:kern w:val="10"/>
          <w:sz w:val="24"/>
          <w:highlight w:val="none"/>
          <w:lang w:eastAsia="zh-CN"/>
        </w:rPr>
        <w:t>术部分资料</w:t>
      </w:r>
    </w:p>
    <w:p w14:paraId="06F8FD78">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val="en-US" w:eastAsia="zh-CN"/>
        </w:rPr>
        <w:t>（7）商务部分资料</w:t>
      </w:r>
    </w:p>
    <w:p w14:paraId="710AA88F">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val="en-US" w:eastAsia="zh-CN"/>
        </w:rPr>
        <w:t>（8）拟投入本项目的人员情况</w:t>
      </w:r>
    </w:p>
    <w:p w14:paraId="1707692B">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val="zh-CN" w:eastAsia="zh-CN"/>
        </w:rPr>
        <w:t>（</w:t>
      </w:r>
      <w:r>
        <w:rPr>
          <w:rFonts w:hint="eastAsia" w:ascii="宋体" w:hAnsi="宋体" w:eastAsia="宋体" w:cs="宋体"/>
          <w:bCs/>
          <w:color w:val="auto"/>
          <w:kern w:val="10"/>
          <w:sz w:val="24"/>
          <w:highlight w:val="none"/>
          <w:lang w:val="en-US" w:eastAsia="zh-CN"/>
        </w:rPr>
        <w:t>9</w:t>
      </w:r>
      <w:r>
        <w:rPr>
          <w:rFonts w:hint="eastAsia" w:ascii="宋体" w:hAnsi="宋体" w:eastAsia="宋体" w:cs="宋体"/>
          <w:bCs/>
          <w:color w:val="auto"/>
          <w:kern w:val="10"/>
          <w:sz w:val="24"/>
          <w:highlight w:val="none"/>
          <w:lang w:val="zh-CN" w:eastAsia="zh-CN"/>
        </w:rPr>
        <w:t>）供应商认为需要提供的其他资料</w:t>
      </w:r>
    </w:p>
    <w:p w14:paraId="2AD7C69F">
      <w:pPr>
        <w:shd w:val="clear" w:color="auto" w:fill="FFFFFF"/>
        <w:tabs>
          <w:tab w:val="right" w:pos="6077"/>
        </w:tabs>
        <w:autoSpaceDE w:val="0"/>
        <w:autoSpaceDN w:val="0"/>
        <w:spacing w:line="480" w:lineRule="auto"/>
        <w:ind w:firstLine="482" w:firstLineChars="200"/>
        <w:outlineLvl w:val="9"/>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6、</w:t>
      </w:r>
      <w:r>
        <w:rPr>
          <w:rFonts w:hint="eastAsia" w:ascii="宋体" w:hAnsi="宋体" w:eastAsia="宋体" w:cs="宋体"/>
          <w:b/>
          <w:color w:val="auto"/>
          <w:sz w:val="24"/>
          <w:highlight w:val="none"/>
        </w:rPr>
        <w:t>响应性文件的编制</w:t>
      </w:r>
      <w:bookmarkEnd w:id="35"/>
      <w:bookmarkEnd w:id="36"/>
    </w:p>
    <w:p w14:paraId="43B9E211">
      <w:pPr>
        <w:shd w:val="clear" w:color="auto" w:fill="FFFFFF"/>
        <w:tabs>
          <w:tab w:val="right" w:pos="6077"/>
        </w:tabs>
        <w:autoSpaceDE w:val="0"/>
        <w:autoSpaceDN w:val="0"/>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6.1、响应性文件应按 “响应性文件格式”进行编写，如有必要，可以增加附页，作为响应性文件的组成部分。其中，报价一览表在满足竞争性磋商文件实质性要求的基础上，可以提出比竞争性磋商文件要求更有利于采购人的承诺。</w:t>
      </w:r>
    </w:p>
    <w:p w14:paraId="479CEFFF">
      <w:pPr>
        <w:shd w:val="clear" w:color="auto" w:fill="FFFFFF"/>
        <w:tabs>
          <w:tab w:val="right" w:pos="6077"/>
        </w:tabs>
        <w:autoSpaceDE w:val="0"/>
        <w:autoSpaceDN w:val="0"/>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6.2、响应文件应当对磋商文件有关</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期</w:t>
      </w:r>
      <w:r>
        <w:rPr>
          <w:rFonts w:hint="eastAsia" w:ascii="宋体" w:hAnsi="宋体" w:eastAsia="宋体" w:cs="宋体"/>
          <w:color w:val="auto"/>
          <w:sz w:val="24"/>
          <w:highlight w:val="none"/>
          <w:lang w:eastAsia="zh-CN"/>
        </w:rPr>
        <w:t>限</w:t>
      </w:r>
      <w:r>
        <w:rPr>
          <w:rFonts w:hint="eastAsia" w:ascii="宋体" w:hAnsi="宋体" w:eastAsia="宋体" w:cs="宋体"/>
          <w:color w:val="auto"/>
          <w:sz w:val="24"/>
          <w:highlight w:val="none"/>
        </w:rPr>
        <w:t>、磋商有效期、质量要求、</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内容等实质性内容作出响应。</w:t>
      </w:r>
    </w:p>
    <w:p w14:paraId="1D36095C">
      <w:pPr>
        <w:shd w:val="clear" w:color="auto" w:fill="FFFFFF"/>
        <w:tabs>
          <w:tab w:val="right" w:pos="6077"/>
        </w:tabs>
        <w:autoSpaceDE w:val="0"/>
        <w:autoSpaceDN w:val="0"/>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6.3、供应商在生成电子化响应文件后，应对电子化响应文件进行签章，未进行签章的视为无效响应。</w:t>
      </w:r>
    </w:p>
    <w:p w14:paraId="0C9C5F26">
      <w:pPr>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6.4、磋商文件中要求签章的，供应商在进行电子化响应文件签章时，以单位和法定代表人电子签章为准。</w:t>
      </w:r>
    </w:p>
    <w:p w14:paraId="28250DAA">
      <w:pPr>
        <w:spacing w:line="500" w:lineRule="exact"/>
        <w:ind w:firstLine="482" w:firstLineChars="200"/>
        <w:jc w:val="left"/>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电子化投标文件具体制作教材请供应商点击以下链接学习</w:t>
      </w:r>
      <w:r>
        <w:rPr>
          <w:rFonts w:hint="eastAsia" w:ascii="宋体" w:hAnsi="宋体" w:eastAsia="宋体" w:cs="宋体"/>
          <w:color w:val="auto"/>
          <w:sz w:val="24"/>
          <w:highlight w:val="none"/>
        </w:rPr>
        <w:t>http://gzjy.smx.gov.cn/bzzx/008001/20200325/4a2f9fa3-b923-4ddd-bd6f-138a0b63f7d1.html</w:t>
      </w:r>
    </w:p>
    <w:p w14:paraId="2E217BEE">
      <w:pPr>
        <w:spacing w:line="480" w:lineRule="exact"/>
        <w:ind w:firstLine="482" w:firstLineChars="200"/>
        <w:contextualSpacing/>
        <w:outlineLvl w:val="9"/>
        <w:rPr>
          <w:rFonts w:hint="eastAsia" w:ascii="宋体" w:hAnsi="宋体" w:eastAsia="宋体" w:cs="宋体"/>
          <w:b/>
          <w:color w:val="auto"/>
          <w:kern w:val="1"/>
          <w:sz w:val="24"/>
          <w:highlight w:val="none"/>
        </w:rPr>
      </w:pPr>
      <w:bookmarkStart w:id="37" w:name="_Toc16827"/>
      <w:bookmarkStart w:id="38" w:name="_Toc127797701"/>
      <w:r>
        <w:rPr>
          <w:rFonts w:hint="eastAsia" w:ascii="宋体" w:hAnsi="宋体" w:eastAsia="宋体" w:cs="宋体"/>
          <w:b/>
          <w:bCs/>
          <w:color w:val="auto"/>
          <w:sz w:val="24"/>
          <w:highlight w:val="none"/>
        </w:rPr>
        <w:t xml:space="preserve">7. </w:t>
      </w:r>
      <w:r>
        <w:rPr>
          <w:rFonts w:hint="eastAsia" w:ascii="宋体" w:hAnsi="宋体" w:eastAsia="宋体" w:cs="宋体"/>
          <w:b/>
          <w:color w:val="auto"/>
          <w:kern w:val="1"/>
          <w:sz w:val="24"/>
          <w:highlight w:val="none"/>
        </w:rPr>
        <w:t>响应性文件的递交</w:t>
      </w:r>
      <w:bookmarkEnd w:id="37"/>
      <w:bookmarkEnd w:id="38"/>
    </w:p>
    <w:p w14:paraId="053386AE">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7.1、供应商所上传的电子化响应文件，应是通过中心投标文件制作系统制作的，经过签章和加密后生成的电子版响应文件。生成的电子版响应文件包含用于响应文件上传的主文件和用于应急补救的响应文件备份文件，备份文件主要用于电子化开标出现技术问题后的补救。</w:t>
      </w:r>
    </w:p>
    <w:p w14:paraId="5F6BDDEB">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注：供应商投报多个标段的，每个标段均要生成独立的电子响应文件。</w:t>
      </w:r>
    </w:p>
    <w:p w14:paraId="5FE897D9">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7.2、电子化响应文件应在投标截止时间前成功上传至三门峡市公共资源电子化交易系统。至投标截止时间止，仍未上传成功的电子化响应文件将不予接收。</w:t>
      </w:r>
    </w:p>
    <w:p w14:paraId="5A3C1A2B">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注：如按照电子化投标操作教材制作完成的电子化响应文件无法上传的，供应商应在投标截止时间前尽早的联系中心技术人员，以便有充分的时间进行处理。供应商应充分考虑到处理技术问题和上传数据等工作所需的时间问题，响应文件未在投标截止时间前成功上传的，其响应文件不予接收。</w:t>
      </w:r>
    </w:p>
    <w:p w14:paraId="09CB9F36">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技术联系电话：0398-3117871</w:t>
      </w:r>
    </w:p>
    <w:p w14:paraId="0BD71765">
      <w:pPr>
        <w:spacing w:line="480" w:lineRule="exact"/>
        <w:ind w:firstLine="482" w:firstLineChars="200"/>
        <w:outlineLvl w:val="9"/>
        <w:rPr>
          <w:rFonts w:hint="eastAsia" w:ascii="宋体" w:hAnsi="宋体" w:eastAsia="宋体" w:cs="宋体"/>
          <w:b/>
          <w:color w:val="auto"/>
          <w:kern w:val="1"/>
          <w:sz w:val="24"/>
          <w:highlight w:val="none"/>
        </w:rPr>
      </w:pPr>
      <w:bookmarkStart w:id="39" w:name="_Toc26718"/>
      <w:bookmarkStart w:id="40" w:name="_Toc127797702"/>
      <w:r>
        <w:rPr>
          <w:rFonts w:hint="eastAsia" w:ascii="宋体" w:hAnsi="宋体" w:eastAsia="宋体" w:cs="宋体"/>
          <w:b/>
          <w:bCs/>
          <w:color w:val="auto"/>
          <w:kern w:val="1"/>
          <w:sz w:val="24"/>
          <w:highlight w:val="none"/>
        </w:rPr>
        <w:t>8、</w:t>
      </w:r>
      <w:bookmarkStart w:id="41" w:name="_Toc511897549"/>
      <w:bookmarkEnd w:id="41"/>
      <w:bookmarkStart w:id="42" w:name="_Toc511663232"/>
      <w:bookmarkEnd w:id="42"/>
      <w:bookmarkStart w:id="43" w:name="_Toc530663936"/>
      <w:bookmarkEnd w:id="43"/>
      <w:bookmarkStart w:id="44" w:name="_Toc531936128"/>
      <w:bookmarkEnd w:id="44"/>
      <w:bookmarkStart w:id="45" w:name="_Toc530665439"/>
      <w:bookmarkEnd w:id="45"/>
      <w:bookmarkStart w:id="46" w:name="_Toc530664092"/>
      <w:bookmarkEnd w:id="46"/>
      <w:r>
        <w:rPr>
          <w:rFonts w:hint="eastAsia" w:ascii="宋体" w:hAnsi="宋体" w:eastAsia="宋体" w:cs="宋体"/>
          <w:b/>
          <w:color w:val="auto"/>
          <w:kern w:val="1"/>
          <w:sz w:val="24"/>
          <w:highlight w:val="none"/>
        </w:rPr>
        <w:t>电子化项目开标、解密、唱标、评标</w:t>
      </w:r>
      <w:bookmarkEnd w:id="39"/>
      <w:bookmarkEnd w:id="40"/>
    </w:p>
    <w:p w14:paraId="26058E3B">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8.1、本项目采用电子化、无纸化进行招标，供应商应当在投标截止时间前，登陆不见面开标大厅选择登陆三门峡市公共资源电子招投标系统进行登陆（网址http://120.194.249.36:10094/BidOpening/bidopeninghallaction/hall/login）,在线准时参加开标活动并进行响应文件解密等。每位供应商的解密时间为开标时间起30分钟内完成。因供应商原因未能解密、解密失败或解密超时的将被拒绝。</w:t>
      </w:r>
    </w:p>
    <w:p w14:paraId="0ED40255">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8.2、电子化响应文件采用一次加密方式。开标时，由供应商使用CA 证书，在规定时间内对其电子化响应文件进行解密。每位供应商的解密时间为开标时间起30分钟内，如在规定时间内未完成解密的，其响应文件不予开标、唱标。</w:t>
      </w:r>
    </w:p>
    <w:p w14:paraId="5E71BB75">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8.3、电子化响应文件异常情况的处理</w:t>
      </w:r>
    </w:p>
    <w:p w14:paraId="548AD434">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如出现供应商的电子响应文件无法解密等异常情况，供应商应及时致电中介服务机构说明。响应文件异常，按以下步骤进行处理：</w:t>
      </w:r>
    </w:p>
    <w:p w14:paraId="3747C2E6">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（1）首先由技术人员进行问题排查。</w:t>
      </w:r>
    </w:p>
    <w:p w14:paraId="39F67B08">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（2）经技术人员排查后，是供应商文件自身问题导致投标文件无法解密的，该响应文件将不予接收、解密和唱标。开标会议继续进行。</w:t>
      </w:r>
    </w:p>
    <w:p w14:paraId="1DA8F14F">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3）经技术人员排查后，如果是电子化交易系统问题造成响应文件无法解密的，将由技术人员对问题进行处理。如短时间内问题无法解决的，将由中介服务机构向监督部门申请，经监督部门同意后，暂停开标会议，待问题解决后继续开标。</w:t>
      </w:r>
    </w:p>
    <w:p w14:paraId="5A0CDEB9">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8.4、待所有供应商响应文件解密完成后，由中介服务机构操作，对所有已解密响应文件进行唱标。供应商应保证在开标期间电话、电脑、网络能够正常工作，供应商因停电、电脑病毒、网络堵塞等原因，未在规定的解密时间内对响应文件进行解密的，其响应文件不予接收、唱标。</w:t>
      </w:r>
    </w:p>
    <w:p w14:paraId="39AF16ED">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8.5、开标时供应商可登录到交易系统中在开标大厅中点击开标一览表查看自己的投标报价。如对自己的唱标内容有异议的，应在唱标内容显示后10分钟内向中介服务机构电话质疑。中介服务机构应在监督人员的监督下进行免提通话接受供应商的质疑并做好书面记录。供应商未在规定时间内提出质疑的，视为认可唱标内容。</w:t>
      </w:r>
    </w:p>
    <w:p w14:paraId="766524AF">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8.6、评标时，磋商小组对电子化响应文件有质疑的，将通过电子化交易系统对供应商发起质疑，并在监督人员的监督下，用免提模式致电需要答复的供应商进行详细质询。质疑回复内容确认后，供应商的回复文件必须以经过供应商和其法定代表人签章的PDF格式文件为准，并通过电子化交易系统提交至</w:t>
      </w:r>
      <w:r>
        <w:rPr>
          <w:rFonts w:hint="eastAsia" w:ascii="宋体" w:hAnsi="宋体" w:cs="宋体"/>
          <w:color w:val="auto"/>
          <w:spacing w:val="5"/>
          <w:sz w:val="24"/>
          <w:highlight w:val="none"/>
          <w:lang w:eastAsia="zh-CN"/>
        </w:rPr>
        <w:t>磋商小组</w:t>
      </w:r>
      <w:r>
        <w:rPr>
          <w:rFonts w:hint="eastAsia" w:ascii="宋体" w:hAnsi="宋体" w:eastAsia="宋体" w:cs="宋体"/>
          <w:color w:val="auto"/>
          <w:spacing w:val="5"/>
          <w:sz w:val="24"/>
          <w:highlight w:val="none"/>
        </w:rPr>
        <w:t>。</w:t>
      </w:r>
    </w:p>
    <w:p w14:paraId="370EA6D9">
      <w:pPr>
        <w:spacing w:line="480" w:lineRule="exact"/>
        <w:ind w:firstLine="500" w:firstLineChars="200"/>
        <w:contextualSpacing/>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8.7、如磋商小组对需要回复的供应商连续三次致电未接通的，视为供应商放弃回复，磋商小组将自行对需要回复的内容进行认定。</w:t>
      </w:r>
    </w:p>
    <w:p w14:paraId="37C44B3D">
      <w:pPr>
        <w:spacing w:line="480" w:lineRule="exact"/>
        <w:ind w:firstLine="480" w:firstLineChars="200"/>
        <w:contextualSpacing/>
        <w:outlineLvl w:val="9"/>
        <w:rPr>
          <w:rFonts w:hint="eastAsia" w:ascii="宋体" w:hAnsi="宋体" w:eastAsia="宋体" w:cs="宋体"/>
          <w:color w:val="auto"/>
          <w:kern w:val="1"/>
          <w:sz w:val="24"/>
          <w:highlight w:val="none"/>
        </w:rPr>
      </w:pPr>
      <w:bookmarkStart w:id="47" w:name="_Toc127797703"/>
      <w:bookmarkStart w:id="48" w:name="_Toc24766"/>
      <w:r>
        <w:rPr>
          <w:rFonts w:hint="eastAsia" w:ascii="宋体" w:hAnsi="宋体" w:eastAsia="宋体" w:cs="宋体"/>
          <w:color w:val="auto"/>
          <w:kern w:val="1"/>
          <w:sz w:val="24"/>
          <w:highlight w:val="none"/>
        </w:rPr>
        <w:t>9、</w:t>
      </w:r>
      <w:r>
        <w:rPr>
          <w:rFonts w:hint="eastAsia" w:ascii="宋体" w:hAnsi="宋体" w:eastAsia="宋体" w:cs="宋体"/>
          <w:b/>
          <w:color w:val="auto"/>
          <w:kern w:val="1"/>
          <w:sz w:val="24"/>
          <w:highlight w:val="none"/>
        </w:rPr>
        <w:t>磋商过程的保密性</w:t>
      </w:r>
      <w:bookmarkEnd w:id="47"/>
      <w:bookmarkEnd w:id="48"/>
    </w:p>
    <w:p w14:paraId="24C69656">
      <w:pPr>
        <w:spacing w:line="480" w:lineRule="exact"/>
        <w:ind w:firstLine="480" w:firstLineChars="200"/>
        <w:contextualSpacing/>
        <w:outlineLvl w:val="9"/>
        <w:rPr>
          <w:rFonts w:hint="eastAsia" w:ascii="宋体" w:hAnsi="宋体" w:eastAsia="宋体" w:cs="宋体"/>
          <w:color w:val="auto"/>
          <w:kern w:val="1"/>
          <w:sz w:val="24"/>
          <w:highlight w:val="none"/>
        </w:rPr>
      </w:pPr>
      <w:r>
        <w:rPr>
          <w:rFonts w:hint="eastAsia" w:ascii="宋体" w:hAnsi="宋体" w:eastAsia="宋体" w:cs="宋体"/>
          <w:color w:val="auto"/>
          <w:kern w:val="1"/>
          <w:sz w:val="24"/>
          <w:highlight w:val="none"/>
        </w:rPr>
        <w:t>9.1、磋商期间，直到授予成交人合同止，凡是与响应文件审查、澄清、评价、比较以及推荐成交人等方面的情况，均不得向供应商或其他无关的人员透露。</w:t>
      </w:r>
    </w:p>
    <w:p w14:paraId="3F9C5621">
      <w:pPr>
        <w:spacing w:line="480" w:lineRule="exact"/>
        <w:ind w:firstLine="480" w:firstLineChars="200"/>
        <w:contextualSpacing/>
        <w:outlineLvl w:val="9"/>
        <w:rPr>
          <w:rFonts w:hint="eastAsia" w:ascii="宋体" w:hAnsi="宋体" w:eastAsia="宋体" w:cs="宋体"/>
          <w:color w:val="auto"/>
          <w:kern w:val="1"/>
          <w:sz w:val="24"/>
          <w:highlight w:val="none"/>
        </w:rPr>
      </w:pPr>
      <w:r>
        <w:rPr>
          <w:rFonts w:hint="eastAsia" w:ascii="宋体" w:hAnsi="宋体" w:eastAsia="宋体" w:cs="宋体"/>
          <w:color w:val="auto"/>
          <w:kern w:val="1"/>
          <w:sz w:val="24"/>
          <w:highlight w:val="none"/>
        </w:rPr>
        <w:t>9.1.2在磋商过程中，供应商如向磋商小组成员施加任何影响，都将会导致其磋商被拒绝，政府招标监管部门将记录其不良行为。</w:t>
      </w:r>
    </w:p>
    <w:p w14:paraId="1B893E90">
      <w:pPr>
        <w:spacing w:line="480" w:lineRule="exact"/>
        <w:ind w:firstLine="480" w:firstLineChars="200"/>
        <w:outlineLvl w:val="9"/>
        <w:rPr>
          <w:rFonts w:hint="eastAsia" w:ascii="宋体" w:hAnsi="宋体" w:eastAsia="宋体" w:cs="宋体"/>
          <w:bCs/>
          <w:color w:val="auto"/>
          <w:sz w:val="24"/>
          <w:highlight w:val="none"/>
        </w:rPr>
      </w:pPr>
      <w:bookmarkStart w:id="49" w:name="_Toc3826"/>
      <w:bookmarkStart w:id="50" w:name="_Toc127797704"/>
      <w:r>
        <w:rPr>
          <w:rFonts w:hint="eastAsia" w:ascii="宋体" w:hAnsi="宋体" w:eastAsia="宋体" w:cs="宋体"/>
          <w:bCs/>
          <w:color w:val="auto"/>
          <w:sz w:val="24"/>
          <w:highlight w:val="none"/>
        </w:rPr>
        <w:t>10、</w:t>
      </w:r>
      <w:r>
        <w:rPr>
          <w:rFonts w:hint="eastAsia" w:ascii="宋体" w:hAnsi="宋体" w:eastAsia="宋体" w:cs="宋体"/>
          <w:b/>
          <w:bCs/>
          <w:color w:val="auto"/>
          <w:sz w:val="24"/>
          <w:highlight w:val="none"/>
        </w:rPr>
        <w:t>竞争性磋商</w:t>
      </w:r>
      <w:bookmarkEnd w:id="49"/>
      <w:bookmarkEnd w:id="50"/>
    </w:p>
    <w:p w14:paraId="7BAF9C51">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10.1、采购单位据本项目的特点组成磋商小组，其成员</w:t>
      </w:r>
      <w:r>
        <w:rPr>
          <w:rFonts w:hint="eastAsia" w:ascii="宋体" w:hAnsi="宋体" w:eastAsia="宋体" w:cs="宋体"/>
          <w:color w:val="auto"/>
          <w:sz w:val="24"/>
          <w:highlight w:val="none"/>
        </w:rPr>
        <w:t>由采购人代表及有关技术、经济等方面的专家组成</w:t>
      </w:r>
      <w:r>
        <w:rPr>
          <w:rFonts w:hint="eastAsia" w:ascii="宋体" w:hAnsi="宋体" w:eastAsia="宋体" w:cs="宋体"/>
          <w:bCs/>
          <w:color w:val="auto"/>
          <w:sz w:val="24"/>
          <w:highlight w:val="none"/>
        </w:rPr>
        <w:t>等3人组成</w:t>
      </w:r>
      <w:r>
        <w:rPr>
          <w:rFonts w:hint="eastAsia" w:ascii="宋体" w:hAnsi="宋体" w:eastAsia="宋体" w:cs="宋体"/>
          <w:color w:val="auto"/>
          <w:sz w:val="24"/>
          <w:highlight w:val="none"/>
        </w:rPr>
        <w:t>，其中：采购人代表1人，技术和经济方面专家各1人（技术和经济方面专家从专家库抽取），</w:t>
      </w:r>
      <w:r>
        <w:rPr>
          <w:rFonts w:hint="eastAsia" w:ascii="宋体" w:hAnsi="宋体" w:eastAsia="宋体" w:cs="宋体"/>
          <w:bCs/>
          <w:color w:val="auto"/>
          <w:sz w:val="24"/>
          <w:highlight w:val="none"/>
        </w:rPr>
        <w:t>磋商小组负责对磋商响应文件进行综合评审，推荐1-3名成交候选人。</w:t>
      </w:r>
    </w:p>
    <w:p w14:paraId="5DD959AF">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10.2、磋商小组制定磋商文件或确认磋商文件符合政府招标政策规定，整个磋商过程将严格按照 “公开、公平、公正”的原则进行。</w:t>
      </w:r>
    </w:p>
    <w:p w14:paraId="53EE72D5">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10.3、磋商小组推荐1-3名成交候选人。</w:t>
      </w:r>
    </w:p>
    <w:p w14:paraId="370DF755">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10.4、磋商小组首先要对各供应商的资格性、递交的响应文件的响应性进行审阅，以判定各供应商资格、响应文件的有效性，审阅结束后，要确定进入最终报价磋商阶段的供应商名单；</w:t>
      </w:r>
    </w:p>
    <w:p w14:paraId="271384C1">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10.4.1在初审阶段，属于下列情况的响应文件将不得进入磋商阶段：</w:t>
      </w:r>
    </w:p>
    <w:p w14:paraId="6A98B134">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（1）供应商在生成电子化响应文件后，应对电子化响应文件进行签章，未进行签章的视为无效投标。</w:t>
      </w:r>
    </w:p>
    <w:p w14:paraId="2B5BCC8E">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（2）响应文件中有采购人不能接受的其它条件；</w:t>
      </w:r>
    </w:p>
    <w:p w14:paraId="62AD45DD">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（3）资格不合格的供应商。</w:t>
      </w:r>
    </w:p>
    <w:p w14:paraId="23117A5D">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10.4.2在初审阶段,响应文件出现以下情况之一者，属于重大偏差，为未能对磋商文件作出实质性响应，作废标处理：</w:t>
      </w:r>
    </w:p>
    <w:p w14:paraId="7C3B1DAA">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（1）响应文件未按规定的格式填写、内容不全的；</w:t>
      </w:r>
    </w:p>
    <w:p w14:paraId="08548793">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（2）响应文件中无报价、无服务周期、无质量等达不到磋商文件要求的；</w:t>
      </w:r>
    </w:p>
    <w:p w14:paraId="68D61FD6">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（3）响应文件有保留或合同条款有采购人不可接受条件；</w:t>
      </w:r>
    </w:p>
    <w:p w14:paraId="43852DC5">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（4）资格证明文件不全，或不满足磋商文件规定的供应商资质要求的；</w:t>
      </w:r>
    </w:p>
    <w:p w14:paraId="2510DE4A">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10.4.3详细磋商：</w:t>
      </w:r>
    </w:p>
    <w:p w14:paraId="5B602832">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（1）磋商小组首先要对各供应商的资格性、递交的响应文件的符合性进行审阅，以判定各供应商资格、响应文件的有效性，审阅结束后，要确定进入最终报价磋商阶段的供应商名单；</w:t>
      </w:r>
    </w:p>
    <w:p w14:paraId="20E9B42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磋商小组集中与单一供应商分别进行磋商。在磋商中，磋商双方可以就磋商项目所涉及的价格、技术、服务等进行实质性磋商，但磋商的任何一方不得透露与磋商有关的其他供应商的商业秘密、技术资料、价格和其他信息，不得变动磋商文件中的其他内容。</w:t>
      </w:r>
    </w:p>
    <w:p w14:paraId="3D8C8C44">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磋商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D62B874">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（4）磋商小组要求供应商澄清、说明或者更正响应文件应当在系统内作出。</w:t>
      </w:r>
    </w:p>
    <w:p w14:paraId="0972F628">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在磋商过程中，磋商小组可以根据磋商文件和磋商情况实质性变动磋商需求中的技术、服务要求以及合同草案条款，但不得变动磋商文件中的其他内容。实质性变动的内容，须经采购人代表确认。对磋商文件作出的实质性变动是磋商文件的有效组成部分，磋商小组应当在系统内通知所有参加磋商的供应商。</w:t>
      </w:r>
    </w:p>
    <w:p w14:paraId="31A6A794">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6）磋商文件不能详细列明招标标的的技术、服务要求，需经磋商由供应商提供最终设计方案或解决方案的，磋商结束后，磋商小组应当按照少数服从多数的原则投票推荐2家或以上供应商的设计方案或者解决方案，并要求其在规定时间内提交最后报价。</w:t>
      </w:r>
    </w:p>
    <w:p w14:paraId="0E0A4C4C">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（7）磋商文件能够详细列明招标标的的技术、服务要求的，磋商结束后，磋商小组应当要求所有继续参加磋商的供应商在规定的时间内提交最后报价。</w:t>
      </w:r>
    </w:p>
    <w:p w14:paraId="7A3E55FB">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10.4.4磋商报价</w:t>
      </w:r>
    </w:p>
    <w:p w14:paraId="42DBBF85">
      <w:pPr>
        <w:spacing w:line="480" w:lineRule="exact"/>
        <w:ind w:firstLine="482" w:firstLineChars="200"/>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（1）磋商报价采用人民币报价。</w:t>
      </w:r>
    </w:p>
    <w:p w14:paraId="68F1CBDF">
      <w:pPr>
        <w:spacing w:line="480" w:lineRule="exact"/>
        <w:ind w:firstLine="482" w:firstLineChars="200"/>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（2）本次竞争性磋商分为两轮报价。供应商响应性文件中的报价作为第一次报价，不得高于项目预算金额且不公开；第二轮报价不得高于第一轮报价。</w:t>
      </w:r>
    </w:p>
    <w:p w14:paraId="7F5FF64C">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（3）磋商报价计量采用中华人民共和国法定的基本计量单位。供应商根据采购人提供的本项目采购清单、答疑纪要、磋商文件及补充答疑文件进行磋商报价。</w:t>
      </w:r>
    </w:p>
    <w:p w14:paraId="1B1735F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（4）磋商报价为供应商在响应性文件中提出的各项支付金额的总和，报价应是目的地交货价，含</w:t>
      </w:r>
      <w:r>
        <w:rPr>
          <w:rFonts w:hint="eastAsia" w:ascii="宋体" w:hAnsi="宋体" w:eastAsia="宋体" w:cs="宋体"/>
          <w:color w:val="auto"/>
          <w:sz w:val="24"/>
          <w:highlight w:val="none"/>
        </w:rPr>
        <w:t>报价、服务、税费、售后服务等综合费用及交付使用过程中涉及到的一切费用</w:t>
      </w:r>
      <w:r>
        <w:rPr>
          <w:rFonts w:hint="eastAsia" w:ascii="宋体" w:hAnsi="宋体" w:eastAsia="宋体" w:cs="宋体"/>
          <w:bCs/>
          <w:color w:val="auto"/>
          <w:sz w:val="24"/>
          <w:highlight w:val="none"/>
        </w:rPr>
        <w:t>，成交后不予调整。</w:t>
      </w:r>
    </w:p>
    <w:p w14:paraId="1106A82D">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（5）经磋商小组确定最终采购需求和提交最终报价的供应商后，由磋商小组采用综合评分法对提交最终报价的供应商的响应文件和最终报价进行综合评分。</w:t>
      </w:r>
    </w:p>
    <w:p w14:paraId="6020F4EF">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10.4.5成交原则</w:t>
      </w:r>
    </w:p>
    <w:p w14:paraId="3E4C88DE">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磋商小组根据综合评分情况，按照评审得分由高到低顺序推荐1-3名供应商，并编写评审报告并在报告上签字。评审得分相同的，按照最后报价由低到高的顺序推荐。评审得分且最后报价相同的，按照技术指标优劣顺序推荐。</w:t>
      </w:r>
    </w:p>
    <w:p w14:paraId="68BEFC0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10.4.6评审报告</w:t>
      </w:r>
    </w:p>
    <w:p w14:paraId="0B81A17F">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磋商小组应当根据评审记录和评审结果编写评审报告，其主要内容包括：</w:t>
      </w:r>
    </w:p>
    <w:p w14:paraId="76D29FA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（1）招标活动的具体方式和相关情况，以及参加招标活动的投标人名单；</w:t>
      </w:r>
    </w:p>
    <w:p w14:paraId="1D2BD573">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（2）评审日期和地点，磋商小组成员名单；</w:t>
      </w:r>
    </w:p>
    <w:p w14:paraId="3A26E18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（3）评审情况记录和说明，包括对供应商的资格审查情况、响应文件评审情况、磋商情况、报价情况等；</w:t>
      </w:r>
    </w:p>
    <w:p w14:paraId="3C21EF7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（4）提出的成交候选人的名单及理由。</w:t>
      </w:r>
    </w:p>
    <w:p w14:paraId="18955CCD">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bCs/>
          <w:color w:val="auto"/>
          <w:sz w:val="24"/>
          <w:highlight w:val="none"/>
        </w:rPr>
        <w:t>评审报告应当由磋商小组全体人员签字认可。磋商小组成员对评审报告有异议的，磋商小组按照少数服从多数的原则推荐成交候选人，招标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644087D">
      <w:pPr>
        <w:spacing w:line="480" w:lineRule="exact"/>
        <w:ind w:firstLine="482" w:firstLineChars="200"/>
        <w:outlineLvl w:val="9"/>
        <w:rPr>
          <w:rFonts w:hint="eastAsia" w:ascii="宋体" w:hAnsi="宋体" w:eastAsia="宋体" w:cs="宋体"/>
          <w:b/>
          <w:bCs/>
          <w:color w:val="auto"/>
          <w:sz w:val="24"/>
          <w:highlight w:val="none"/>
        </w:rPr>
      </w:pPr>
      <w:bookmarkStart w:id="51" w:name="_Toc27083"/>
      <w:bookmarkStart w:id="52" w:name="_Toc127797705"/>
      <w:r>
        <w:rPr>
          <w:rFonts w:hint="eastAsia" w:ascii="宋体" w:hAnsi="宋体" w:eastAsia="宋体" w:cs="宋体"/>
          <w:b/>
          <w:bCs/>
          <w:color w:val="auto"/>
          <w:sz w:val="24"/>
          <w:highlight w:val="none"/>
        </w:rPr>
        <w:t>11、响应性文件的提交</w:t>
      </w:r>
      <w:bookmarkEnd w:id="51"/>
      <w:bookmarkEnd w:id="52"/>
    </w:p>
    <w:p w14:paraId="23DE751A">
      <w:pPr>
        <w:spacing w:line="480" w:lineRule="exact"/>
        <w:ind w:firstLine="456" w:firstLineChars="200"/>
        <w:outlineLvl w:val="9"/>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响应性文件递交截止时间见供应商须知前附表。</w:t>
      </w:r>
    </w:p>
    <w:p w14:paraId="0EB66E07">
      <w:pPr>
        <w:spacing w:line="480" w:lineRule="exact"/>
        <w:ind w:firstLine="482" w:firstLineChars="200"/>
        <w:outlineLvl w:val="9"/>
        <w:rPr>
          <w:rFonts w:hint="eastAsia" w:ascii="宋体" w:hAnsi="宋体" w:eastAsia="宋体" w:cs="宋体"/>
          <w:color w:val="auto"/>
          <w:sz w:val="24"/>
          <w:highlight w:val="none"/>
        </w:rPr>
      </w:pPr>
      <w:bookmarkStart w:id="53" w:name="_Toc26261"/>
      <w:bookmarkStart w:id="54" w:name="_Toc127797706"/>
      <w:r>
        <w:rPr>
          <w:rFonts w:hint="eastAsia" w:ascii="宋体" w:hAnsi="宋体" w:eastAsia="宋体" w:cs="宋体"/>
          <w:b/>
          <w:bCs/>
          <w:color w:val="auto"/>
          <w:sz w:val="24"/>
          <w:highlight w:val="none"/>
        </w:rPr>
        <w:t>12、</w:t>
      </w:r>
      <w:r>
        <w:rPr>
          <w:rFonts w:hint="eastAsia" w:ascii="宋体" w:hAnsi="宋体" w:eastAsia="宋体" w:cs="宋体"/>
          <w:b/>
          <w:color w:val="auto"/>
          <w:sz w:val="24"/>
          <w:highlight w:val="none"/>
        </w:rPr>
        <w:t>终止竞争性磋商采购活动</w:t>
      </w:r>
      <w:bookmarkEnd w:id="53"/>
      <w:bookmarkEnd w:id="54"/>
    </w:p>
    <w:p w14:paraId="54A38502">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出现下列情形之一的，采购人或者招标代理机构应当终止竞争性磋商采购活动，发布项目终止公告并说明原因，重新开展采购活动：</w:t>
      </w:r>
    </w:p>
    <w:p w14:paraId="56E02CD1">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（1）因情况变化，不再符合规定的竞争性磋商采购方式适用情形的；</w:t>
      </w:r>
    </w:p>
    <w:p w14:paraId="40579287">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（2）出现影响采购公正的违法、违规行为的；</w:t>
      </w:r>
    </w:p>
    <w:p w14:paraId="30D3D165">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（3）在磋商过程中符合竞争要求的供应商或者报价未超过招标预算的供应商不足2家的，但货物和服务项目技术复杂或者性质特殊，不能确定详细规格或者具体要求的情形除外。</w:t>
      </w:r>
    </w:p>
    <w:p w14:paraId="390D784C">
      <w:pPr>
        <w:spacing w:line="480" w:lineRule="exact"/>
        <w:ind w:firstLine="482" w:firstLineChars="200"/>
        <w:outlineLvl w:val="9"/>
        <w:rPr>
          <w:rFonts w:hint="eastAsia" w:ascii="宋体" w:hAnsi="宋体" w:eastAsia="宋体" w:cs="宋体"/>
          <w:b/>
          <w:color w:val="auto"/>
          <w:sz w:val="24"/>
          <w:highlight w:val="none"/>
        </w:rPr>
      </w:pPr>
      <w:bookmarkStart w:id="55" w:name="_Toc127797707"/>
      <w:bookmarkStart w:id="56" w:name="_Toc20264"/>
      <w:r>
        <w:rPr>
          <w:rFonts w:hint="eastAsia" w:ascii="宋体" w:hAnsi="宋体" w:eastAsia="宋体" w:cs="宋体"/>
          <w:b/>
          <w:color w:val="auto"/>
          <w:sz w:val="24"/>
          <w:highlight w:val="none"/>
        </w:rPr>
        <w:t>13、确定成交人</w:t>
      </w:r>
      <w:bookmarkEnd w:id="55"/>
      <w:bookmarkEnd w:id="56"/>
    </w:p>
    <w:p w14:paraId="7583BECF">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13.1、招标代理机构应当在磋商结束后2个工作日内将评审报告送采购人。采购人应当在收到评审报告后5个工作日内，按照磋商评审报告中推荐的成交候选人顺序确定成交人，并将结果发布网上。</w:t>
      </w:r>
    </w:p>
    <w:p w14:paraId="0EE912B1">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color w:val="auto"/>
          <w:sz w:val="24"/>
          <w:highlight w:val="none"/>
        </w:rPr>
        <w:t>13.2、采购人也可以授权磋商小组直接确定成交供应商。磋商小组直接确定成交供应商的应在磋商文件中写明。</w:t>
      </w:r>
    </w:p>
    <w:p w14:paraId="2FD5E55A">
      <w:pPr>
        <w:spacing w:line="480" w:lineRule="exact"/>
        <w:ind w:firstLine="482" w:firstLineChars="200"/>
        <w:contextualSpacing/>
        <w:outlineLvl w:val="9"/>
        <w:rPr>
          <w:rFonts w:hint="eastAsia" w:ascii="宋体" w:hAnsi="宋体" w:eastAsia="宋体" w:cs="宋体"/>
          <w:color w:val="auto"/>
          <w:kern w:val="1"/>
          <w:sz w:val="24"/>
          <w:highlight w:val="none"/>
        </w:rPr>
      </w:pPr>
      <w:bookmarkStart w:id="57" w:name="_Toc127797708"/>
      <w:bookmarkStart w:id="58" w:name="_Toc9164"/>
      <w:r>
        <w:rPr>
          <w:rFonts w:hint="eastAsia" w:ascii="宋体" w:hAnsi="宋体" w:eastAsia="宋体" w:cs="宋体"/>
          <w:b/>
          <w:color w:val="auto"/>
          <w:sz w:val="24"/>
          <w:highlight w:val="none"/>
        </w:rPr>
        <w:t>14、</w:t>
      </w:r>
      <w:r>
        <w:rPr>
          <w:rFonts w:hint="eastAsia" w:ascii="宋体" w:hAnsi="宋体" w:eastAsia="宋体" w:cs="宋体"/>
          <w:b/>
          <w:color w:val="auto"/>
          <w:kern w:val="1"/>
          <w:sz w:val="24"/>
          <w:highlight w:val="none"/>
        </w:rPr>
        <w:t>成交结果公告</w:t>
      </w:r>
      <w:bookmarkEnd w:id="57"/>
      <w:bookmarkEnd w:id="58"/>
    </w:p>
    <w:p w14:paraId="13831FB8">
      <w:pPr>
        <w:spacing w:line="480" w:lineRule="exact"/>
        <w:ind w:firstLine="480" w:firstLineChars="200"/>
        <w:contextualSpacing/>
        <w:outlineLvl w:val="9"/>
        <w:rPr>
          <w:rFonts w:hint="eastAsia" w:ascii="宋体" w:hAnsi="宋体" w:eastAsia="宋体" w:cs="宋体"/>
          <w:color w:val="auto"/>
          <w:kern w:val="1"/>
          <w:sz w:val="24"/>
          <w:highlight w:val="none"/>
        </w:rPr>
      </w:pPr>
      <w:r>
        <w:rPr>
          <w:rFonts w:hint="eastAsia" w:ascii="宋体" w:hAnsi="宋体" w:eastAsia="宋体" w:cs="宋体"/>
          <w:color w:val="auto"/>
          <w:kern w:val="1"/>
          <w:sz w:val="24"/>
          <w:highlight w:val="none"/>
        </w:rPr>
        <w:t>14.1、采购人应当在成交人确定后2个工作日内，在公告发布的同一媒介上发布成交结果，同时向成交供应商发出成交通知书，并将磋商文件随成交结果同时公告，公告期限1个工作日。</w:t>
      </w:r>
    </w:p>
    <w:p w14:paraId="55929448">
      <w:pPr>
        <w:spacing w:line="480" w:lineRule="exact"/>
        <w:ind w:firstLine="480" w:firstLineChars="200"/>
        <w:outlineLvl w:val="9"/>
        <w:rPr>
          <w:rFonts w:hint="eastAsia" w:ascii="宋体" w:hAnsi="宋体" w:eastAsia="宋体" w:cs="宋体"/>
          <w:color w:val="auto"/>
          <w:sz w:val="24"/>
          <w:highlight w:val="none"/>
        </w:rPr>
      </w:pPr>
      <w:bookmarkStart w:id="59" w:name="_Toc454788042"/>
      <w:bookmarkEnd w:id="59"/>
      <w:r>
        <w:rPr>
          <w:rFonts w:hint="eastAsia" w:ascii="宋体" w:hAnsi="宋体" w:eastAsia="宋体" w:cs="宋体"/>
          <w:color w:val="auto"/>
          <w:kern w:val="1"/>
          <w:sz w:val="24"/>
          <w:highlight w:val="none"/>
        </w:rPr>
        <w:t>14.2、成交结果公告内容应当包括采购人和招标代理机构的名称、地址、联系方式，项目名称和项目编号，成交人名称、地址和成交金额，主要成交标的的名称、规格型号、数量、单价、服务要求或标的的基本概况以及磋商小组名单。</w:t>
      </w:r>
    </w:p>
    <w:p w14:paraId="6398DC1B">
      <w:pPr>
        <w:spacing w:line="480" w:lineRule="exact"/>
        <w:ind w:firstLine="482" w:firstLineChars="200"/>
        <w:contextualSpacing/>
        <w:outlineLvl w:val="9"/>
        <w:rPr>
          <w:rFonts w:hint="eastAsia" w:ascii="宋体" w:hAnsi="宋体" w:eastAsia="宋体" w:cs="宋体"/>
          <w:color w:val="auto"/>
          <w:kern w:val="1"/>
          <w:sz w:val="24"/>
          <w:highlight w:val="none"/>
        </w:rPr>
      </w:pPr>
      <w:bookmarkStart w:id="60" w:name="_Toc14649"/>
      <w:bookmarkStart w:id="61" w:name="_Toc127797709"/>
      <w:r>
        <w:rPr>
          <w:rFonts w:hint="eastAsia" w:ascii="宋体" w:hAnsi="宋体" w:eastAsia="宋体" w:cs="宋体"/>
          <w:b/>
          <w:color w:val="auto"/>
          <w:sz w:val="24"/>
          <w:highlight w:val="none"/>
        </w:rPr>
        <w:t>15、</w:t>
      </w:r>
      <w:r>
        <w:rPr>
          <w:rFonts w:hint="eastAsia" w:ascii="宋体" w:hAnsi="宋体" w:eastAsia="宋体" w:cs="宋体"/>
          <w:b/>
          <w:color w:val="auto"/>
          <w:kern w:val="1"/>
          <w:sz w:val="24"/>
          <w:highlight w:val="none"/>
        </w:rPr>
        <w:t>合同授予</w:t>
      </w:r>
      <w:bookmarkEnd w:id="60"/>
      <w:bookmarkEnd w:id="61"/>
    </w:p>
    <w:p w14:paraId="7813D403">
      <w:pPr>
        <w:spacing w:line="480" w:lineRule="exact"/>
        <w:ind w:firstLine="480" w:firstLineChars="200"/>
        <w:contextualSpacing/>
        <w:outlineLvl w:val="9"/>
        <w:rPr>
          <w:rFonts w:hint="eastAsia" w:ascii="宋体" w:hAnsi="宋体" w:eastAsia="宋体" w:cs="宋体"/>
          <w:color w:val="auto"/>
          <w:kern w:val="1"/>
          <w:sz w:val="24"/>
          <w:highlight w:val="none"/>
        </w:rPr>
      </w:pPr>
      <w:r>
        <w:rPr>
          <w:rFonts w:hint="eastAsia" w:ascii="宋体" w:hAnsi="宋体" w:eastAsia="宋体" w:cs="宋体"/>
          <w:color w:val="auto"/>
          <w:kern w:val="1"/>
          <w:sz w:val="24"/>
          <w:highlight w:val="none"/>
        </w:rPr>
        <w:t>15.1、成交结果公示的同时，采购人以书面形式向成交人发出成交通知书。</w:t>
      </w:r>
    </w:p>
    <w:p w14:paraId="5AED72A2">
      <w:pPr>
        <w:spacing w:line="480" w:lineRule="exact"/>
        <w:ind w:firstLine="480" w:firstLineChars="200"/>
        <w:contextualSpacing/>
        <w:outlineLvl w:val="9"/>
        <w:rPr>
          <w:rFonts w:hint="eastAsia" w:ascii="宋体" w:hAnsi="宋体" w:eastAsia="宋体" w:cs="宋体"/>
          <w:color w:val="auto"/>
          <w:kern w:val="1"/>
          <w:sz w:val="24"/>
          <w:highlight w:val="none"/>
        </w:rPr>
      </w:pPr>
      <w:bookmarkStart w:id="62" w:name="_Toc463011501"/>
      <w:bookmarkEnd w:id="62"/>
      <w:bookmarkStart w:id="63" w:name="_Toc530665447"/>
      <w:bookmarkEnd w:id="63"/>
      <w:bookmarkStart w:id="64" w:name="_Toc531936136"/>
      <w:bookmarkEnd w:id="64"/>
      <w:bookmarkStart w:id="65" w:name="_Toc530664100"/>
      <w:bookmarkEnd w:id="65"/>
      <w:bookmarkStart w:id="66" w:name="_Toc455678262"/>
      <w:bookmarkEnd w:id="66"/>
      <w:bookmarkStart w:id="67" w:name="_Toc511663240"/>
      <w:bookmarkEnd w:id="67"/>
      <w:bookmarkStart w:id="68" w:name="_Toc530663944"/>
      <w:bookmarkEnd w:id="68"/>
      <w:bookmarkStart w:id="69" w:name="_Toc269470335"/>
      <w:bookmarkEnd w:id="69"/>
      <w:bookmarkStart w:id="70" w:name="_Toc511897557"/>
      <w:bookmarkEnd w:id="70"/>
      <w:r>
        <w:rPr>
          <w:rFonts w:hint="eastAsia" w:ascii="宋体" w:hAnsi="宋体" w:eastAsia="宋体" w:cs="宋体"/>
          <w:color w:val="auto"/>
          <w:kern w:val="1"/>
          <w:sz w:val="24"/>
          <w:highlight w:val="none"/>
        </w:rPr>
        <w:t>15.2、 供应商的最后一轮报价为成交价，成交价即为合同价。</w:t>
      </w:r>
    </w:p>
    <w:p w14:paraId="513E60BC">
      <w:pPr>
        <w:spacing w:line="480" w:lineRule="exact"/>
        <w:ind w:firstLine="480" w:firstLineChars="200"/>
        <w:contextualSpacing/>
        <w:outlineLvl w:val="9"/>
        <w:rPr>
          <w:rFonts w:hint="eastAsia" w:ascii="宋体" w:hAnsi="宋体" w:eastAsia="宋体" w:cs="宋体"/>
          <w:color w:val="auto"/>
          <w:kern w:val="1"/>
          <w:sz w:val="24"/>
          <w:highlight w:val="none"/>
        </w:rPr>
      </w:pPr>
      <w:bookmarkStart w:id="71" w:name="_Toc530663945"/>
      <w:bookmarkEnd w:id="71"/>
      <w:bookmarkStart w:id="72" w:name="_Toc455678263"/>
      <w:bookmarkEnd w:id="72"/>
      <w:bookmarkStart w:id="73" w:name="_Toc530664101"/>
      <w:bookmarkEnd w:id="73"/>
      <w:bookmarkStart w:id="74" w:name="_Toc511897558"/>
      <w:bookmarkEnd w:id="74"/>
      <w:bookmarkStart w:id="75" w:name="_Toc463011502"/>
      <w:bookmarkEnd w:id="75"/>
      <w:bookmarkStart w:id="76" w:name="_Toc531936137"/>
      <w:bookmarkEnd w:id="76"/>
      <w:bookmarkStart w:id="77" w:name="_Toc511663241"/>
      <w:bookmarkEnd w:id="77"/>
      <w:bookmarkStart w:id="78" w:name="_Toc530665448"/>
      <w:bookmarkEnd w:id="78"/>
      <w:r>
        <w:rPr>
          <w:rFonts w:hint="eastAsia" w:ascii="宋体" w:hAnsi="宋体" w:eastAsia="宋体" w:cs="宋体"/>
          <w:color w:val="auto"/>
          <w:kern w:val="1"/>
          <w:sz w:val="24"/>
          <w:highlight w:val="none"/>
        </w:rPr>
        <w:t>15.3 、采购人和成交人应当自成交通知书发出之日起15天内，根据竞争性磋商文件、供应商的响应性文件及在磋商过程中对响应性文件作出的澄清、解释订立书面合同。供应商无正当理由拒签合同的，采购人取消其成交资格，并追究其违约责任。在此情况下，采购人可将合同授予排名次髙的供应商。</w:t>
      </w:r>
    </w:p>
    <w:p w14:paraId="35D3C56C">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kern w:val="1"/>
          <w:sz w:val="24"/>
          <w:highlight w:val="none"/>
        </w:rPr>
        <w:t>15.4、在签订合同过程中，如发现成交供应商以他人名义磋商或者以其他方式弄虚作假，骗取成交的，采购人有权取消其成交资格。</w:t>
      </w:r>
    </w:p>
    <w:p w14:paraId="3F5CC4C6">
      <w:pPr>
        <w:spacing w:line="480" w:lineRule="exact"/>
        <w:ind w:firstLine="482" w:firstLineChars="200"/>
        <w:contextualSpacing/>
        <w:outlineLvl w:val="9"/>
        <w:rPr>
          <w:rFonts w:hint="eastAsia" w:ascii="宋体" w:hAnsi="宋体" w:eastAsia="宋体" w:cs="宋体"/>
          <w:color w:val="auto"/>
          <w:kern w:val="1"/>
          <w:sz w:val="24"/>
          <w:highlight w:val="none"/>
        </w:rPr>
      </w:pPr>
      <w:bookmarkStart w:id="79" w:name="_Toc127797710"/>
      <w:bookmarkStart w:id="80" w:name="_Toc17303"/>
      <w:r>
        <w:rPr>
          <w:rFonts w:hint="eastAsia" w:ascii="宋体" w:hAnsi="宋体" w:eastAsia="宋体" w:cs="宋体"/>
          <w:b/>
          <w:bCs/>
          <w:color w:val="auto"/>
          <w:sz w:val="24"/>
          <w:highlight w:val="none"/>
        </w:rPr>
        <w:t>16、</w:t>
      </w:r>
      <w:r>
        <w:rPr>
          <w:rFonts w:hint="eastAsia" w:ascii="宋体" w:hAnsi="宋体" w:eastAsia="宋体" w:cs="宋体"/>
          <w:b/>
          <w:color w:val="auto"/>
          <w:kern w:val="1"/>
          <w:sz w:val="24"/>
          <w:highlight w:val="none"/>
        </w:rPr>
        <w:t>履约保证金</w:t>
      </w:r>
      <w:bookmarkEnd w:id="79"/>
      <w:bookmarkEnd w:id="80"/>
    </w:p>
    <w:p w14:paraId="4509DD16">
      <w:pPr>
        <w:spacing w:line="480" w:lineRule="exact"/>
        <w:ind w:firstLine="480" w:firstLineChars="200"/>
        <w:outlineLvl w:val="9"/>
        <w:rPr>
          <w:rFonts w:hint="eastAsia" w:ascii="宋体" w:hAnsi="宋体" w:eastAsia="宋体" w:cs="宋体"/>
          <w:color w:val="auto"/>
          <w:kern w:val="1"/>
          <w:sz w:val="24"/>
          <w:highlight w:val="none"/>
        </w:rPr>
      </w:pPr>
      <w:bookmarkStart w:id="81" w:name="_Toc463011504"/>
      <w:bookmarkEnd w:id="81"/>
      <w:bookmarkStart w:id="82" w:name="_Toc455678265"/>
      <w:bookmarkEnd w:id="82"/>
      <w:r>
        <w:rPr>
          <w:rFonts w:hint="eastAsia" w:ascii="宋体" w:hAnsi="宋体" w:eastAsia="宋体" w:cs="宋体"/>
          <w:color w:val="auto"/>
          <w:kern w:val="1"/>
          <w:sz w:val="24"/>
          <w:highlight w:val="none"/>
        </w:rPr>
        <w:t>本项目不收取履约保证金。</w:t>
      </w:r>
    </w:p>
    <w:p w14:paraId="2F8A7547">
      <w:pPr>
        <w:spacing w:line="480" w:lineRule="exact"/>
        <w:ind w:firstLine="482" w:firstLineChars="200"/>
        <w:outlineLvl w:val="9"/>
        <w:rPr>
          <w:rFonts w:hint="eastAsia" w:ascii="宋体" w:hAnsi="宋体" w:eastAsia="宋体" w:cs="宋体"/>
          <w:b/>
          <w:bCs/>
          <w:color w:val="auto"/>
          <w:sz w:val="24"/>
          <w:highlight w:val="none"/>
        </w:rPr>
      </w:pPr>
      <w:bookmarkStart w:id="83" w:name="_Toc30337"/>
      <w:bookmarkStart w:id="84" w:name="_Toc127797711"/>
      <w:r>
        <w:rPr>
          <w:rFonts w:hint="eastAsia" w:ascii="宋体" w:hAnsi="宋体" w:eastAsia="宋体" w:cs="宋体"/>
          <w:b/>
          <w:bCs/>
          <w:color w:val="auto"/>
          <w:sz w:val="24"/>
          <w:highlight w:val="none"/>
        </w:rPr>
        <w:t>17、合同授予</w:t>
      </w:r>
      <w:bookmarkEnd w:id="83"/>
      <w:bookmarkEnd w:id="84"/>
    </w:p>
    <w:p w14:paraId="1A0E2C3B">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17.1 、成交供应商在收到成交通知书后应与采购人签订承包合同。竞争性磋商文件成交供应商的响应性文件及其相关澄清、补遗文件等，均为签订合同的依据。</w:t>
      </w:r>
    </w:p>
    <w:p w14:paraId="00F7D6F7">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17.2、成交供应商如未能按竞争性磋商文件要求，在规定限期内与采购人签订合同，无论何种原因招标方将取消其成交资格、撤销其成交通知书，并没收其磋商保证金。在此情况下，采购人可将合同授予排名次髙的供应商。</w:t>
      </w:r>
    </w:p>
    <w:p w14:paraId="15E01BCE">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17.3、在签订合同过程中，如发现成交供应商以他人名义磋商或者以其他方式弄虚作假，骗取成交的，采购人有权取消其成交资格。</w:t>
      </w:r>
    </w:p>
    <w:p w14:paraId="269DAE83">
      <w:pPr>
        <w:spacing w:line="480" w:lineRule="exact"/>
        <w:ind w:firstLine="482" w:firstLineChars="200"/>
        <w:contextualSpacing/>
        <w:outlineLvl w:val="9"/>
        <w:rPr>
          <w:rFonts w:hint="eastAsia" w:ascii="宋体" w:hAnsi="宋体" w:eastAsia="宋体" w:cs="宋体"/>
          <w:color w:val="auto"/>
          <w:kern w:val="1"/>
          <w:sz w:val="24"/>
          <w:highlight w:val="none"/>
        </w:rPr>
      </w:pPr>
      <w:bookmarkStart w:id="85" w:name="_Toc4580"/>
      <w:bookmarkStart w:id="86" w:name="_Toc127797712"/>
      <w:r>
        <w:rPr>
          <w:rFonts w:hint="eastAsia" w:ascii="宋体" w:hAnsi="宋体" w:eastAsia="宋体" w:cs="宋体"/>
          <w:b/>
          <w:bCs/>
          <w:color w:val="auto"/>
          <w:sz w:val="24"/>
          <w:highlight w:val="none"/>
        </w:rPr>
        <w:t>18、</w:t>
      </w:r>
      <w:r>
        <w:rPr>
          <w:rFonts w:hint="eastAsia" w:ascii="宋体" w:hAnsi="宋体" w:eastAsia="宋体" w:cs="宋体"/>
          <w:b/>
          <w:color w:val="auto"/>
          <w:kern w:val="1"/>
          <w:sz w:val="24"/>
          <w:highlight w:val="none"/>
        </w:rPr>
        <w:t>纪律和监督</w:t>
      </w:r>
      <w:bookmarkEnd w:id="85"/>
      <w:bookmarkEnd w:id="86"/>
      <w:bookmarkStart w:id="87" w:name="_Toc277149399"/>
      <w:bookmarkEnd w:id="87"/>
      <w:bookmarkStart w:id="88" w:name="_Toc455678274"/>
      <w:bookmarkEnd w:id="88"/>
      <w:bookmarkStart w:id="89" w:name="_Toc530664107"/>
      <w:bookmarkEnd w:id="89"/>
      <w:bookmarkStart w:id="90" w:name="_Toc454788293"/>
      <w:bookmarkEnd w:id="90"/>
      <w:bookmarkStart w:id="91" w:name="_Toc531936143"/>
      <w:bookmarkEnd w:id="91"/>
      <w:bookmarkStart w:id="92" w:name="_Toc530663951"/>
      <w:bookmarkEnd w:id="92"/>
      <w:bookmarkStart w:id="93" w:name="_Toc270604611"/>
      <w:bookmarkEnd w:id="93"/>
      <w:bookmarkStart w:id="94" w:name="_Toc511663247"/>
      <w:bookmarkEnd w:id="94"/>
      <w:bookmarkStart w:id="95" w:name="_Toc511897564"/>
      <w:bookmarkEnd w:id="95"/>
      <w:bookmarkStart w:id="96" w:name="_Toc269470339"/>
      <w:bookmarkEnd w:id="96"/>
      <w:bookmarkStart w:id="97" w:name="_Toc428276606"/>
      <w:bookmarkEnd w:id="97"/>
      <w:bookmarkStart w:id="98" w:name="_Toc530665454"/>
      <w:bookmarkEnd w:id="98"/>
      <w:bookmarkStart w:id="99" w:name="_Toc463011513"/>
      <w:bookmarkEnd w:id="99"/>
      <w:bookmarkStart w:id="100" w:name="_Toc270604838"/>
      <w:bookmarkEnd w:id="100"/>
    </w:p>
    <w:p w14:paraId="7E6D3368">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sz w:val="24"/>
          <w:highlight w:val="none"/>
        </w:rPr>
      </w:pPr>
      <w:bookmarkStart w:id="101" w:name="_Toc521488919"/>
      <w:bookmarkStart w:id="102" w:name="_Toc521488759"/>
      <w:bookmarkStart w:id="103" w:name="_Toc514402140"/>
      <w:bookmarkStart w:id="104" w:name="_Toc515378707"/>
      <w:bookmarkStart w:id="105" w:name="_Toc50397855"/>
      <w:bookmarkStart w:id="106" w:name="_Toc528250057"/>
      <w:bookmarkStart w:id="107" w:name="_Toc4248302"/>
      <w:bookmarkStart w:id="108" w:name="_Toc13802"/>
      <w:bookmarkStart w:id="109" w:name="_Toc22486"/>
      <w:bookmarkStart w:id="110" w:name="_Toc127797713"/>
      <w:bookmarkStart w:id="111" w:name="_Toc22717750"/>
      <w:bookmarkStart w:id="112" w:name="_Toc526682544"/>
      <w:bookmarkStart w:id="113" w:name="_Toc25797"/>
      <w:bookmarkStart w:id="114" w:name="_Toc23882"/>
      <w:bookmarkStart w:id="115" w:name="_Toc21437473"/>
      <w:bookmarkStart w:id="116" w:name="_Toc530142110"/>
      <w:bookmarkStart w:id="117" w:name="_Toc17415"/>
      <w:bookmarkStart w:id="118" w:name="_Toc3206130"/>
      <w:bookmarkStart w:id="119" w:name="_Toc19521"/>
      <w:bookmarkStart w:id="120" w:name="_Toc27652"/>
      <w:bookmarkStart w:id="121" w:name="_Toc521488519"/>
      <w:bookmarkStart w:id="122" w:name="_Toc50397315"/>
      <w:bookmarkStart w:id="123" w:name="_Toc521486763"/>
      <w:r>
        <w:rPr>
          <w:rFonts w:hint="eastAsia" w:ascii="宋体" w:hAnsi="宋体" w:eastAsia="宋体" w:cs="宋体"/>
          <w:color w:val="auto"/>
          <w:sz w:val="24"/>
          <w:highlight w:val="none"/>
        </w:rPr>
        <w:t>18.1、对采购人的纪律要求</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4B1EB51E">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kern w:val="0"/>
          <w:sz w:val="24"/>
          <w:highlight w:val="none"/>
        </w:rPr>
      </w:pPr>
      <w:bookmarkStart w:id="124" w:name="_Toc21437474"/>
      <w:bookmarkStart w:id="125" w:name="_Toc127797714"/>
      <w:bookmarkStart w:id="126" w:name="_Toc22717751"/>
      <w:bookmarkStart w:id="127" w:name="_Toc27053"/>
      <w:bookmarkStart w:id="128" w:name="_Toc3206131"/>
      <w:bookmarkStart w:id="129" w:name="_Toc4248303"/>
      <w:bookmarkStart w:id="130" w:name="_Toc50397856"/>
      <w:bookmarkStart w:id="131" w:name="_Toc50397316"/>
      <w:bookmarkStart w:id="132" w:name="_Toc30898"/>
      <w:bookmarkStart w:id="133" w:name="_Toc530142111"/>
      <w:r>
        <w:rPr>
          <w:rFonts w:hint="eastAsia" w:ascii="宋体" w:hAnsi="宋体" w:eastAsia="宋体" w:cs="宋体"/>
          <w:color w:val="auto"/>
          <w:sz w:val="24"/>
          <w:highlight w:val="none"/>
        </w:rPr>
        <w:t>采购人不得泄漏竞争性</w:t>
      </w:r>
      <w:r>
        <w:rPr>
          <w:rFonts w:hint="eastAsia" w:ascii="宋体" w:hAnsi="宋体" w:eastAsia="宋体" w:cs="宋体"/>
          <w:color w:val="auto"/>
          <w:kern w:val="0"/>
          <w:sz w:val="24"/>
          <w:highlight w:val="none"/>
        </w:rPr>
        <w:t>磋商中应当保密的情况和资料，不得与供应商串通损害国家利益、社会公共利益或者他人合法权益。</w:t>
      </w:r>
      <w:bookmarkEnd w:id="124"/>
      <w:bookmarkEnd w:id="125"/>
      <w:bookmarkEnd w:id="126"/>
      <w:bookmarkEnd w:id="127"/>
      <w:bookmarkEnd w:id="128"/>
      <w:bookmarkEnd w:id="129"/>
      <w:bookmarkEnd w:id="130"/>
      <w:bookmarkEnd w:id="131"/>
      <w:bookmarkEnd w:id="132"/>
      <w:bookmarkEnd w:id="133"/>
    </w:p>
    <w:p w14:paraId="057516CB">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kern w:val="0"/>
          <w:sz w:val="24"/>
          <w:highlight w:val="none"/>
        </w:rPr>
      </w:pPr>
      <w:bookmarkStart w:id="134" w:name="_Toc515378708"/>
      <w:bookmarkStart w:id="135" w:name="_Toc3096"/>
      <w:bookmarkStart w:id="136" w:name="_Toc511897565"/>
      <w:bookmarkStart w:id="137" w:name="_Toc23986"/>
      <w:bookmarkStart w:id="138" w:name="_Toc50397317"/>
      <w:bookmarkStart w:id="139" w:name="_Toc270604839"/>
      <w:bookmarkStart w:id="140" w:name="_Toc530142112"/>
      <w:bookmarkStart w:id="141" w:name="_Toc488"/>
      <w:bookmarkStart w:id="142" w:name="_Toc521488920"/>
      <w:bookmarkStart w:id="143" w:name="_Toc269470340"/>
      <w:bookmarkStart w:id="144" w:name="_Toc455678275"/>
      <w:bookmarkStart w:id="145" w:name="_Toc21437475"/>
      <w:bookmarkStart w:id="146" w:name="_Toc270604612"/>
      <w:bookmarkStart w:id="147" w:name="_Toc4248304"/>
      <w:bookmarkStart w:id="148" w:name="_Toc521488760"/>
      <w:bookmarkStart w:id="149" w:name="_Toc277149400"/>
      <w:bookmarkStart w:id="150" w:name="_Toc2963"/>
      <w:bookmarkStart w:id="151" w:name="_Toc5793"/>
      <w:bookmarkStart w:id="152" w:name="_Toc22717752"/>
      <w:bookmarkStart w:id="153" w:name="_Toc528250058"/>
      <w:bookmarkStart w:id="154" w:name="_Toc514402141"/>
      <w:bookmarkStart w:id="155" w:name="_Toc31355"/>
      <w:bookmarkStart w:id="156" w:name="_Toc3206132"/>
      <w:bookmarkStart w:id="157" w:name="_Toc428276607"/>
      <w:bookmarkStart w:id="158" w:name="_Toc526682545"/>
      <w:bookmarkStart w:id="159" w:name="_Toc454788294"/>
      <w:bookmarkStart w:id="160" w:name="_Toc521488520"/>
      <w:bookmarkStart w:id="161" w:name="_Toc25647"/>
      <w:bookmarkStart w:id="162" w:name="_Toc521486764"/>
      <w:bookmarkStart w:id="163" w:name="_Toc50397857"/>
      <w:bookmarkStart w:id="164" w:name="_Toc463011514"/>
      <w:bookmarkStart w:id="165" w:name="_Toc511663248"/>
      <w:bookmarkStart w:id="166" w:name="_Toc127797715"/>
      <w:r>
        <w:rPr>
          <w:rFonts w:hint="eastAsia" w:ascii="宋体" w:hAnsi="宋体" w:eastAsia="宋体" w:cs="宋体"/>
          <w:color w:val="auto"/>
          <w:kern w:val="0"/>
          <w:sz w:val="24"/>
          <w:highlight w:val="none"/>
        </w:rPr>
        <w:t>18.2、对供应商的纪律要求</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07487628">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供应商不得相互串通或者与采购人串通，不得向采购人或者磋商小组成员行贿谋取</w:t>
      </w:r>
      <w:r>
        <w:rPr>
          <w:rFonts w:hint="eastAsia" w:ascii="宋体" w:hAnsi="宋体" w:eastAsia="宋体" w:cs="宋体"/>
          <w:color w:val="auto"/>
          <w:sz w:val="24"/>
          <w:highlight w:val="none"/>
        </w:rPr>
        <w:t>成交</w:t>
      </w:r>
      <w:r>
        <w:rPr>
          <w:rFonts w:hint="eastAsia" w:ascii="宋体" w:hAnsi="宋体" w:eastAsia="宋体" w:cs="宋体"/>
          <w:color w:val="auto"/>
          <w:kern w:val="0"/>
          <w:sz w:val="24"/>
          <w:highlight w:val="none"/>
        </w:rPr>
        <w:t>，不得以他人名义磋商或者以其他方式弄虚作假骗取</w:t>
      </w:r>
      <w:r>
        <w:rPr>
          <w:rFonts w:hint="eastAsia" w:ascii="宋体" w:hAnsi="宋体" w:eastAsia="宋体" w:cs="宋体"/>
          <w:color w:val="auto"/>
          <w:sz w:val="24"/>
          <w:highlight w:val="none"/>
        </w:rPr>
        <w:t>成交</w:t>
      </w:r>
      <w:r>
        <w:rPr>
          <w:rFonts w:hint="eastAsia" w:ascii="宋体" w:hAnsi="宋体" w:eastAsia="宋体" w:cs="宋体"/>
          <w:color w:val="auto"/>
          <w:kern w:val="0"/>
          <w:sz w:val="24"/>
          <w:highlight w:val="none"/>
        </w:rPr>
        <w:t>；供应商不得以任何方式干扰、影响磋商工作。</w:t>
      </w:r>
    </w:p>
    <w:p w14:paraId="601699BA">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kern w:val="0"/>
          <w:sz w:val="24"/>
          <w:highlight w:val="none"/>
        </w:rPr>
      </w:pPr>
      <w:bookmarkStart w:id="167" w:name="_Toc270604840"/>
      <w:bookmarkStart w:id="168" w:name="_Toc127797716"/>
      <w:bookmarkStart w:id="169" w:name="_Toc428276608"/>
      <w:bookmarkStart w:id="170" w:name="_Toc1306"/>
      <w:bookmarkStart w:id="171" w:name="_Toc455678276"/>
      <w:bookmarkStart w:id="172" w:name="_Toc530142113"/>
      <w:bookmarkStart w:id="173" w:name="_Toc32745"/>
      <w:bookmarkStart w:id="174" w:name="_Toc8673"/>
      <w:bookmarkStart w:id="175" w:name="_Toc12854"/>
      <w:bookmarkStart w:id="176" w:name="_Toc50397858"/>
      <w:bookmarkStart w:id="177" w:name="_Toc269470341"/>
      <w:bookmarkStart w:id="178" w:name="_Toc270604613"/>
      <w:bookmarkStart w:id="179" w:name="_Toc23023"/>
      <w:bookmarkStart w:id="180" w:name="_Toc454788295"/>
      <w:bookmarkStart w:id="181" w:name="_Toc521488761"/>
      <w:bookmarkStart w:id="182" w:name="_Toc515378709"/>
      <w:bookmarkStart w:id="183" w:name="_Toc528250059"/>
      <w:bookmarkStart w:id="184" w:name="_Toc526682546"/>
      <w:bookmarkStart w:id="185" w:name="_Toc21437476"/>
      <w:bookmarkStart w:id="186" w:name="_Toc12234"/>
      <w:bookmarkStart w:id="187" w:name="_Toc514402142"/>
      <w:bookmarkStart w:id="188" w:name="_Toc3206133"/>
      <w:bookmarkStart w:id="189" w:name="_Toc511897566"/>
      <w:bookmarkStart w:id="190" w:name="_Toc521488521"/>
      <w:bookmarkStart w:id="191" w:name="_Toc22717753"/>
      <w:bookmarkStart w:id="192" w:name="_Toc511663249"/>
      <w:bookmarkStart w:id="193" w:name="_Toc521488921"/>
      <w:bookmarkStart w:id="194" w:name="_Toc521486765"/>
      <w:bookmarkStart w:id="195" w:name="_Toc9361"/>
      <w:bookmarkStart w:id="196" w:name="_Toc4248305"/>
      <w:bookmarkStart w:id="197" w:name="_Toc463011515"/>
      <w:bookmarkStart w:id="198" w:name="_Toc277149401"/>
      <w:bookmarkStart w:id="199" w:name="_Toc50397318"/>
      <w:r>
        <w:rPr>
          <w:rFonts w:hint="eastAsia" w:ascii="宋体" w:hAnsi="宋体" w:eastAsia="宋体" w:cs="宋体"/>
          <w:color w:val="auto"/>
          <w:kern w:val="0"/>
          <w:sz w:val="24"/>
          <w:highlight w:val="none"/>
        </w:rPr>
        <w:t>18.3、对磋商小组成员的纪律要求</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1D9353F9">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磋商小组成员不得收受他人的财物或者其他好处，不得向他人透漏对响应文件的评审和比较、</w:t>
      </w:r>
      <w:r>
        <w:rPr>
          <w:rFonts w:hint="eastAsia" w:ascii="宋体" w:hAnsi="宋体" w:eastAsia="宋体" w:cs="宋体"/>
          <w:color w:val="auto"/>
          <w:sz w:val="24"/>
          <w:highlight w:val="none"/>
        </w:rPr>
        <w:t>成交</w:t>
      </w:r>
      <w:r>
        <w:rPr>
          <w:rFonts w:hint="eastAsia" w:ascii="宋体" w:hAnsi="宋体" w:eastAsia="宋体" w:cs="宋体"/>
          <w:color w:val="auto"/>
          <w:kern w:val="0"/>
          <w:sz w:val="24"/>
          <w:highlight w:val="none"/>
        </w:rPr>
        <w:t>候选人的推荐情况以及与磋商有关的其他情况。在磋商活动中，磋商小组成员不得擅离职守，影响磋商程序正常进行。</w:t>
      </w:r>
    </w:p>
    <w:p w14:paraId="0A007808">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kern w:val="0"/>
          <w:sz w:val="24"/>
          <w:highlight w:val="none"/>
        </w:rPr>
      </w:pPr>
      <w:bookmarkStart w:id="200" w:name="_Toc8785"/>
      <w:bookmarkStart w:id="201" w:name="_Toc530142114"/>
      <w:bookmarkStart w:id="202" w:name="_Toc270604841"/>
      <w:bookmarkStart w:id="203" w:name="_Toc521486766"/>
      <w:bookmarkStart w:id="204" w:name="_Toc521488922"/>
      <w:bookmarkStart w:id="205" w:name="_Toc428276609"/>
      <w:bookmarkStart w:id="206" w:name="_Toc454788296"/>
      <w:bookmarkStart w:id="207" w:name="_Toc463011516"/>
      <w:bookmarkStart w:id="208" w:name="_Toc3206134"/>
      <w:bookmarkStart w:id="209" w:name="_Toc455678277"/>
      <w:bookmarkStart w:id="210" w:name="_Toc21437477"/>
      <w:bookmarkStart w:id="211" w:name="_Toc11428"/>
      <w:bookmarkStart w:id="212" w:name="_Toc14108"/>
      <w:bookmarkStart w:id="213" w:name="_Toc23391"/>
      <w:bookmarkStart w:id="214" w:name="_Toc50397859"/>
      <w:bookmarkStart w:id="215" w:name="_Toc50397319"/>
      <w:bookmarkStart w:id="216" w:name="_Toc521488522"/>
      <w:bookmarkStart w:id="217" w:name="_Toc514402143"/>
      <w:bookmarkStart w:id="218" w:name="_Toc269470342"/>
      <w:bookmarkStart w:id="219" w:name="_Toc13268"/>
      <w:bookmarkStart w:id="220" w:name="_Toc26852"/>
      <w:bookmarkStart w:id="221" w:name="_Toc4248306"/>
      <w:bookmarkStart w:id="222" w:name="_Toc511897567"/>
      <w:bookmarkStart w:id="223" w:name="_Toc5597"/>
      <w:bookmarkStart w:id="224" w:name="_Toc528250060"/>
      <w:bookmarkStart w:id="225" w:name="_Toc127797717"/>
      <w:bookmarkStart w:id="226" w:name="_Toc22717754"/>
      <w:bookmarkStart w:id="227" w:name="_Toc270604614"/>
      <w:bookmarkStart w:id="228" w:name="_Toc511663250"/>
      <w:bookmarkStart w:id="229" w:name="_Toc521488762"/>
      <w:bookmarkStart w:id="230" w:name="_Toc277149402"/>
      <w:bookmarkStart w:id="231" w:name="_Toc526682547"/>
      <w:bookmarkStart w:id="232" w:name="_Toc515378710"/>
      <w:r>
        <w:rPr>
          <w:rFonts w:hint="eastAsia" w:ascii="宋体" w:hAnsi="宋体" w:eastAsia="宋体" w:cs="宋体"/>
          <w:color w:val="auto"/>
          <w:kern w:val="0"/>
          <w:sz w:val="24"/>
          <w:highlight w:val="none"/>
        </w:rPr>
        <w:t>18.4、对与磋商活动有关的工作人员的纪律要求</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704DBFE0">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与磋商活动有关的工作人员不得收受他人的财物或者其他好处，不得向他人透漏对响应文件的评审和比较、</w:t>
      </w:r>
      <w:r>
        <w:rPr>
          <w:rFonts w:hint="eastAsia" w:ascii="宋体" w:hAnsi="宋体" w:eastAsia="宋体" w:cs="宋体"/>
          <w:color w:val="auto"/>
          <w:sz w:val="24"/>
          <w:highlight w:val="none"/>
        </w:rPr>
        <w:t>成交</w:t>
      </w:r>
      <w:r>
        <w:rPr>
          <w:rFonts w:hint="eastAsia" w:ascii="宋体" w:hAnsi="宋体" w:eastAsia="宋体" w:cs="宋体"/>
          <w:color w:val="auto"/>
          <w:kern w:val="0"/>
          <w:sz w:val="24"/>
          <w:highlight w:val="none"/>
        </w:rPr>
        <w:t>候选人的推荐情况以及与磋商有关的其他情况。在磋商活动中，与磋商活动有关的工作人员不得擅离职守，影响磋商程序正常进行。</w:t>
      </w:r>
    </w:p>
    <w:p w14:paraId="7D34214D">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bookmarkStart w:id="233" w:name="_Toc29575"/>
      <w:bookmarkStart w:id="234" w:name="_Toc511897568"/>
      <w:bookmarkStart w:id="235" w:name="_Toc270604842"/>
      <w:bookmarkStart w:id="236" w:name="_Toc521488763"/>
      <w:bookmarkStart w:id="237" w:name="_Toc511663251"/>
      <w:bookmarkStart w:id="238" w:name="_Toc428276610"/>
      <w:bookmarkStart w:id="239" w:name="_Toc528250061"/>
      <w:bookmarkStart w:id="240" w:name="_Toc12322"/>
      <w:bookmarkStart w:id="241" w:name="_Toc2654"/>
      <w:bookmarkStart w:id="242" w:name="_Toc521486767"/>
      <w:bookmarkStart w:id="243" w:name="_Toc521488923"/>
      <w:bookmarkStart w:id="244" w:name="_Toc514402144"/>
      <w:bookmarkStart w:id="245" w:name="_Toc25427"/>
      <w:bookmarkStart w:id="246" w:name="_Toc269470343"/>
      <w:bookmarkStart w:id="247" w:name="_Toc455678278"/>
      <w:bookmarkStart w:id="248" w:name="_Toc454788297"/>
      <w:bookmarkStart w:id="249" w:name="_Toc463011517"/>
      <w:bookmarkStart w:id="250" w:name="_Toc526682548"/>
      <w:bookmarkStart w:id="251" w:name="_Toc20395"/>
      <w:bookmarkStart w:id="252" w:name="_Toc515378711"/>
      <w:bookmarkStart w:id="253" w:name="_Toc270604615"/>
      <w:bookmarkStart w:id="254" w:name="_Toc277149403"/>
      <w:bookmarkStart w:id="255" w:name="_Toc521488523"/>
      <w:r>
        <w:rPr>
          <w:rFonts w:hint="eastAsia" w:ascii="宋体" w:hAnsi="宋体" w:eastAsia="宋体" w:cs="宋体"/>
          <w:color w:val="auto"/>
          <w:kern w:val="0"/>
          <w:sz w:val="24"/>
          <w:highlight w:val="none"/>
        </w:rPr>
        <w:t>18.5、投诉</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268F06D8">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sz w:val="24"/>
          <w:highlight w:val="none"/>
        </w:rPr>
      </w:pPr>
      <w:bookmarkStart w:id="256" w:name="_Toc628"/>
      <w:bookmarkStart w:id="257" w:name="_Toc3206135"/>
      <w:bookmarkStart w:id="258" w:name="_Toc21437478"/>
      <w:bookmarkStart w:id="259" w:name="_Toc127797718"/>
      <w:bookmarkStart w:id="260" w:name="_Toc4248307"/>
      <w:bookmarkStart w:id="261" w:name="_Toc50397860"/>
      <w:bookmarkStart w:id="262" w:name="_Toc14811"/>
      <w:bookmarkStart w:id="263" w:name="_Toc22717755"/>
      <w:bookmarkStart w:id="264" w:name="_Toc50397320"/>
      <w:r>
        <w:rPr>
          <w:rFonts w:hint="eastAsia" w:ascii="宋体" w:hAnsi="宋体" w:eastAsia="宋体" w:cs="宋体"/>
          <w:color w:val="auto"/>
          <w:sz w:val="24"/>
          <w:highlight w:val="none"/>
        </w:rPr>
        <w:t>供应商和其他利害关系人认为本次竞争性磋商违反法律、法规和规章规定的，有权向有关行政监督部门投诉。</w:t>
      </w:r>
      <w:bookmarkEnd w:id="256"/>
      <w:bookmarkEnd w:id="257"/>
      <w:bookmarkEnd w:id="258"/>
      <w:bookmarkEnd w:id="259"/>
      <w:bookmarkEnd w:id="260"/>
      <w:bookmarkEnd w:id="261"/>
      <w:bookmarkEnd w:id="262"/>
      <w:bookmarkEnd w:id="263"/>
      <w:bookmarkEnd w:id="264"/>
    </w:p>
    <w:p w14:paraId="099AB719">
      <w:pPr>
        <w:autoSpaceDE w:val="0"/>
        <w:autoSpaceDN w:val="0"/>
        <w:adjustRightInd w:val="0"/>
        <w:spacing w:line="480" w:lineRule="exact"/>
        <w:ind w:firstLine="482" w:firstLineChars="200"/>
        <w:jc w:val="left"/>
        <w:outlineLvl w:val="9"/>
        <w:rPr>
          <w:rFonts w:hint="eastAsia" w:ascii="宋体" w:hAnsi="宋体" w:eastAsia="宋体" w:cs="宋体"/>
          <w:b/>
          <w:color w:val="auto"/>
          <w:sz w:val="24"/>
          <w:highlight w:val="none"/>
        </w:rPr>
      </w:pPr>
      <w:bookmarkStart w:id="265" w:name="_Toc530142115"/>
      <w:bookmarkStart w:id="266" w:name="_Toc32469"/>
      <w:bookmarkStart w:id="267" w:name="_Toc22717756"/>
      <w:bookmarkStart w:id="268" w:name="_Toc428351670"/>
      <w:bookmarkStart w:id="269" w:name="_Toc521486768"/>
      <w:bookmarkStart w:id="270" w:name="_Toc528250062"/>
      <w:bookmarkStart w:id="271" w:name="_Toc521488764"/>
      <w:bookmarkStart w:id="272" w:name="_Toc18997_WPSOffice_Level2"/>
      <w:bookmarkStart w:id="273" w:name="_Toc15944_WPSOffice_Level2"/>
      <w:bookmarkStart w:id="274" w:name="_Toc454788050"/>
      <w:bookmarkStart w:id="275" w:name="_Toc28235"/>
      <w:bookmarkStart w:id="276" w:name="_Toc521488924"/>
      <w:bookmarkStart w:id="277" w:name="_Toc521488524"/>
      <w:bookmarkStart w:id="278" w:name="_Toc24230"/>
      <w:bookmarkStart w:id="279" w:name="_Toc127797719"/>
      <w:r>
        <w:rPr>
          <w:rFonts w:hint="eastAsia" w:ascii="宋体" w:hAnsi="宋体" w:eastAsia="宋体" w:cs="宋体"/>
          <w:b/>
          <w:color w:val="auto"/>
          <w:sz w:val="24"/>
          <w:highlight w:val="none"/>
        </w:rPr>
        <w:t>19、</w:t>
      </w:r>
      <w:bookmarkEnd w:id="265"/>
      <w:bookmarkEnd w:id="266"/>
      <w:bookmarkEnd w:id="267"/>
      <w:bookmarkEnd w:id="268"/>
      <w:bookmarkEnd w:id="269"/>
      <w:bookmarkEnd w:id="270"/>
      <w:bookmarkEnd w:id="271"/>
      <w:bookmarkEnd w:id="272"/>
      <w:bookmarkEnd w:id="273"/>
      <w:bookmarkEnd w:id="274"/>
      <w:bookmarkEnd w:id="275"/>
      <w:bookmarkEnd w:id="276"/>
      <w:bookmarkEnd w:id="277"/>
      <w:bookmarkStart w:id="280" w:name="_Toc530142122"/>
      <w:bookmarkStart w:id="281" w:name="_Toc521488532"/>
      <w:bookmarkStart w:id="282" w:name="_Toc30905_WPSOffice_Level2"/>
      <w:bookmarkStart w:id="283" w:name="_Toc16552_WPSOffice_Level2"/>
      <w:bookmarkStart w:id="284" w:name="_Toc528250070"/>
      <w:bookmarkStart w:id="285" w:name="_Toc521488772"/>
      <w:bookmarkStart w:id="286" w:name="_Toc521488932"/>
      <w:bookmarkStart w:id="287" w:name="_Toc521486776"/>
      <w:bookmarkStart w:id="288" w:name="_Toc4098"/>
      <w:bookmarkStart w:id="289" w:name="_Toc22717764"/>
      <w:bookmarkStart w:id="290" w:name="_Toc3774"/>
      <w:r>
        <w:rPr>
          <w:rFonts w:hint="eastAsia" w:ascii="宋体" w:hAnsi="宋体" w:eastAsia="宋体" w:cs="宋体"/>
          <w:b/>
          <w:color w:val="auto"/>
          <w:sz w:val="24"/>
          <w:highlight w:val="none"/>
        </w:rPr>
        <w:t>质疑程序及处理</w:t>
      </w:r>
      <w:bookmarkEnd w:id="278"/>
      <w:bookmarkEnd w:id="279"/>
    </w:p>
    <w:p w14:paraId="2DC846B6">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sz w:val="24"/>
          <w:highlight w:val="none"/>
        </w:rPr>
      </w:pPr>
      <w:bookmarkStart w:id="291" w:name="_Toc127797720"/>
      <w:bookmarkStart w:id="292" w:name="_Toc50397861"/>
      <w:bookmarkStart w:id="293" w:name="_Toc8571"/>
      <w:bookmarkStart w:id="294" w:name="_Toc50397321"/>
      <w:bookmarkStart w:id="295" w:name="_Toc17187"/>
      <w:r>
        <w:rPr>
          <w:rFonts w:hint="eastAsia" w:ascii="宋体" w:hAnsi="宋体" w:eastAsia="宋体" w:cs="宋体"/>
          <w:color w:val="auto"/>
          <w:sz w:val="24"/>
          <w:highlight w:val="none"/>
        </w:rPr>
        <w:t>19.1、 若供应商认为其磋商未获公平评审或磋商文件、采购过程和成交结果使自己的合法权益受到损害，可以在知道或者应知其权益受到损害之日起7个工作日内，将质疑书原件送达采购人或采购代理机构。提出质疑期限的计算，依照下列规定办理：</w:t>
      </w:r>
      <w:bookmarkEnd w:id="291"/>
      <w:bookmarkEnd w:id="292"/>
      <w:bookmarkEnd w:id="293"/>
      <w:bookmarkEnd w:id="294"/>
      <w:bookmarkEnd w:id="295"/>
    </w:p>
    <w:p w14:paraId="69880998">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（一）对可以质疑的磋商文件提出质疑的，为收到磋商文件之日或者磋商文件公告期限届满之日；</w:t>
      </w:r>
    </w:p>
    <w:p w14:paraId="51DEBFC9">
      <w:pPr>
        <w:autoSpaceDE w:val="0"/>
        <w:autoSpaceDN w:val="0"/>
        <w:adjustRightInd w:val="0"/>
        <w:spacing w:line="480" w:lineRule="exact"/>
        <w:ind w:firstLine="480" w:firstLineChars="20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（二）对采购过程提出质疑的，为各采购程序环节结束之日； </w:t>
      </w:r>
    </w:p>
    <w:p w14:paraId="2CA0F665">
      <w:pPr>
        <w:autoSpaceDE w:val="0"/>
        <w:autoSpaceDN w:val="0"/>
        <w:adjustRightInd w:val="0"/>
        <w:spacing w:line="480" w:lineRule="exact"/>
        <w:ind w:firstLine="480" w:firstLineChars="20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（三）对成交结果提出质疑的，为成交结果公告期限届满之日。 </w:t>
      </w:r>
    </w:p>
    <w:p w14:paraId="4CC5A89F">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19.2、 质疑书应当包括下列主要内容，并按照“谁主张、谁举证”的原则，附上相关证明材料。否则，采购人不予受理： </w:t>
      </w:r>
    </w:p>
    <w:p w14:paraId="6DF7ABE0">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（一）质疑供应商全称、地址、法定代表人、联系人及联系电话、邮政编码等； </w:t>
      </w:r>
    </w:p>
    <w:p w14:paraId="5D00D374">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（二）被质疑采购项目的名称、编号； </w:t>
      </w:r>
    </w:p>
    <w:p w14:paraId="19765749">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（三）质疑的具体事项、明确的请求和主张；</w:t>
      </w:r>
    </w:p>
    <w:p w14:paraId="2CC7AD45">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（四）质疑所依据的法律依据（具体条款）、具体事实和具体理由。质疑书依据理由部分只有主观陈述、推理、猜测等，而没有提供客观事实依据、法律依据的； </w:t>
      </w:r>
    </w:p>
    <w:p w14:paraId="15DF9471">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五）质疑事项按照有关法律、法规和规章规定及竞争性磋商文件要求属于保密或者处于保密阶段的事项，磋商响应供应商必须提供正常的信息来源或有效证据，磋商响应供应商不能提供或者拒绝提供合法的信息来源或有效证据的； </w:t>
      </w:r>
    </w:p>
    <w:p w14:paraId="473AFD63">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（六）充足有效的相关证明材料；如果涉及到产品功能或技术指标的，应出具相关制造商的证明文件； </w:t>
      </w:r>
    </w:p>
    <w:p w14:paraId="4AA95D63">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（七）质疑材料中有外文资料的，应一并附上中文译本，并以中文译本为准。 </w:t>
      </w:r>
    </w:p>
    <w:p w14:paraId="7E2F704D">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（八）提起质疑的日期</w:t>
      </w:r>
    </w:p>
    <w:p w14:paraId="2D4D28BB">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19.3、供应商质疑实行实名制并须在质疑书上署名。供应商不得进行虚假、恶意质疑，不得以质疑为手段获取不当得利、实现非法目的。供应商为自然人的，应当由本人签字；供应商为法人的，应当由法定代表人签字或盖章并加盖公章；供应商为其他组织的，应当由主要负责人签字或盖章并加盖公章。供应商其他工作人员或代理人员在质疑书上的署名不具有法律效力。 </w:t>
      </w:r>
    </w:p>
    <w:p w14:paraId="6E97035D">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19.4、供应商委托代理人办理质疑事宜，应当提交授权委托书，并载明委托代理的具体权限和事项。授权委托书应当由委托人签字并加盖单位公章。 </w:t>
      </w:r>
    </w:p>
    <w:p w14:paraId="49D01BA0">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19.5、 提交质疑书时，供应商应同时提交本人身份证，委托他人代理质疑事宜的，还应提交被委托人的身份证。供应商是法人的，应一并提交法人营业执照和法定代表人身份证；供应商是其他组织的，应一并提交其他组织经营许可证和主要负责人身份证。供应商应当提供上述证明材料的原件及复印件，原件经采购人核对无误后返还。</w:t>
      </w:r>
    </w:p>
    <w:p w14:paraId="4CC292E8">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19.6 、质疑书提交方式。供应商或者其委托代理人应当当面提交质疑书及相关证明材料。供应商以电子邮件、传真等其他方式提交质疑书及相关证明材料的，或者不是供应商或者其委托代理人提交质疑书及相关证明材料的，采购人或采购机构可以拒收。 </w:t>
      </w:r>
    </w:p>
    <w:p w14:paraId="11BD5566">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19.7、供应商不得虚假质疑和恶意质疑，并对质疑内容的真实性承担责任。供应商或者其他利害关系人通过捏造事实、伪造证明材料等方式提出异议或投诉，阻碍磋商活动正常进行的，属于严重不良行为，采购人将提请财政部门将其列入不良行为记录名单，并依法予以处罚。</w:t>
      </w:r>
    </w:p>
    <w:p w14:paraId="14B6B861">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19.8 、采购人将在收到符合上述条件的书面质疑后 7 个工作日内审查质疑事项，作出答复或相关处理决定，并以书面形式通知质疑供应商和其他有关供应商，但答复的内容不涉及商业秘密。若质疑涉及磋商制度或程序，将被转交政府采购的管理部门审查。采购人遵循“谁过错谁负担”的原则，有过错的一方承担调查论证费用。</w:t>
      </w:r>
    </w:p>
    <w:p w14:paraId="4DF090AB">
      <w:pPr>
        <w:autoSpaceDE w:val="0"/>
        <w:autoSpaceDN w:val="0"/>
        <w:adjustRightInd w:val="0"/>
        <w:spacing w:line="46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19.9、 质疑供应商对采购人的答复不满意以及采购人未在规定的时间内做出答复的，可以在答复期满后15个工作日内向财政部门投诉。</w:t>
      </w:r>
    </w:p>
    <w:p w14:paraId="3922ACA1">
      <w:pPr>
        <w:tabs>
          <w:tab w:val="left" w:pos="540"/>
        </w:tabs>
        <w:autoSpaceDE w:val="0"/>
        <w:autoSpaceDN w:val="0"/>
        <w:adjustRightInd w:val="0"/>
        <w:spacing w:line="460" w:lineRule="exact"/>
        <w:ind w:firstLine="482" w:firstLineChars="200"/>
        <w:outlineLvl w:val="9"/>
        <w:rPr>
          <w:rFonts w:hint="eastAsia" w:ascii="宋体" w:hAnsi="宋体" w:eastAsia="宋体" w:cs="宋体"/>
          <w:b/>
          <w:color w:val="auto"/>
          <w:sz w:val="24"/>
          <w:highlight w:val="none"/>
        </w:rPr>
      </w:pPr>
      <w:bookmarkStart w:id="296" w:name="_Toc50397322"/>
      <w:bookmarkStart w:id="297" w:name="_Toc50397862"/>
      <w:bookmarkStart w:id="298" w:name="_Toc127797721"/>
      <w:bookmarkStart w:id="299" w:name="_Toc13440"/>
      <w:bookmarkStart w:id="300" w:name="_Toc21446"/>
      <w:r>
        <w:rPr>
          <w:rFonts w:hint="eastAsia" w:ascii="宋体" w:hAnsi="宋体" w:eastAsia="宋体" w:cs="宋体"/>
          <w:b/>
          <w:color w:val="auto"/>
          <w:sz w:val="24"/>
          <w:highlight w:val="none"/>
        </w:rPr>
        <w:t>20、需要补充的其他内容</w:t>
      </w:r>
      <w:bookmarkEnd w:id="280"/>
      <w:bookmarkEnd w:id="281"/>
      <w:bookmarkEnd w:id="282"/>
      <w:bookmarkEnd w:id="283"/>
      <w:bookmarkEnd w:id="284"/>
      <w:bookmarkEnd w:id="285"/>
      <w:bookmarkEnd w:id="286"/>
      <w:bookmarkEnd w:id="287"/>
      <w:bookmarkEnd w:id="288"/>
      <w:bookmarkEnd w:id="289"/>
      <w:bookmarkEnd w:id="290"/>
      <w:bookmarkEnd w:id="296"/>
      <w:bookmarkEnd w:id="297"/>
      <w:bookmarkEnd w:id="298"/>
      <w:bookmarkEnd w:id="299"/>
      <w:bookmarkEnd w:id="300"/>
    </w:p>
    <w:p w14:paraId="7487831B">
      <w:pPr>
        <w:tabs>
          <w:tab w:val="left" w:pos="540"/>
        </w:tabs>
        <w:autoSpaceDE w:val="0"/>
        <w:autoSpaceDN w:val="0"/>
        <w:adjustRightInd w:val="0"/>
        <w:spacing w:line="460" w:lineRule="exact"/>
        <w:ind w:firstLine="480" w:firstLineChars="200"/>
        <w:outlineLvl w:val="9"/>
        <w:rPr>
          <w:rFonts w:hint="eastAsia" w:ascii="宋体" w:hAnsi="宋体" w:eastAsia="宋体" w:cs="宋体"/>
          <w:color w:val="auto"/>
          <w:sz w:val="24"/>
          <w:highlight w:val="none"/>
        </w:rPr>
      </w:pPr>
      <w:bookmarkStart w:id="301" w:name="_Toc32159"/>
      <w:bookmarkStart w:id="302" w:name="_Toc22717765"/>
      <w:bookmarkStart w:id="303" w:name="_Toc530142123"/>
      <w:bookmarkStart w:id="304" w:name="_Toc27186"/>
      <w:bookmarkStart w:id="305" w:name="_Toc50397863"/>
      <w:bookmarkStart w:id="306" w:name="_Toc3206145"/>
      <w:bookmarkStart w:id="307" w:name="_Toc50397323"/>
      <w:bookmarkStart w:id="308" w:name="_Toc21437488"/>
      <w:bookmarkStart w:id="309" w:name="_Toc4248317"/>
      <w:bookmarkStart w:id="310" w:name="_Toc127797722"/>
      <w:r>
        <w:rPr>
          <w:rFonts w:hint="eastAsia" w:ascii="宋体" w:hAnsi="宋体" w:eastAsia="宋体" w:cs="宋体"/>
          <w:color w:val="auto"/>
          <w:sz w:val="24"/>
          <w:highlight w:val="none"/>
        </w:rPr>
        <w:t>需要补充的其他内容：见&lt;供应商须知前附表&gt;。</w:t>
      </w:r>
      <w:bookmarkEnd w:id="301"/>
      <w:bookmarkEnd w:id="302"/>
      <w:bookmarkEnd w:id="303"/>
      <w:bookmarkEnd w:id="304"/>
      <w:bookmarkEnd w:id="305"/>
      <w:bookmarkEnd w:id="306"/>
      <w:bookmarkEnd w:id="307"/>
      <w:bookmarkEnd w:id="308"/>
      <w:bookmarkEnd w:id="309"/>
      <w:bookmarkEnd w:id="310"/>
    </w:p>
    <w:p w14:paraId="15591D61">
      <w:pPr>
        <w:jc w:val="center"/>
        <w:outlineLvl w:val="0"/>
        <w:rPr>
          <w:rFonts w:hint="eastAsia" w:ascii="宋体" w:hAnsi="宋体" w:eastAsia="宋体" w:cs="宋体"/>
          <w:b/>
          <w:bCs/>
          <w:color w:val="auto"/>
          <w:sz w:val="32"/>
          <w:szCs w:val="32"/>
          <w:highlight w:val="none"/>
        </w:rPr>
      </w:pPr>
      <w:bookmarkStart w:id="311" w:name="_Toc3868"/>
      <w:bookmarkStart w:id="312" w:name="_Toc23881"/>
      <w:bookmarkStart w:id="313" w:name="_Toc121405492"/>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 xml:space="preserve">第三章  </w:t>
      </w:r>
      <w:r>
        <w:rPr>
          <w:rFonts w:hint="eastAsia" w:ascii="宋体" w:hAnsi="宋体" w:eastAsia="宋体" w:cs="宋体"/>
          <w:b/>
          <w:bCs/>
          <w:color w:val="auto"/>
          <w:sz w:val="32"/>
          <w:szCs w:val="32"/>
          <w:highlight w:val="none"/>
          <w:lang w:val="en-US" w:eastAsia="zh-CN"/>
        </w:rPr>
        <w:t>服务内容</w:t>
      </w:r>
      <w:r>
        <w:rPr>
          <w:rFonts w:hint="eastAsia" w:ascii="宋体" w:hAnsi="宋体" w:eastAsia="宋体" w:cs="宋体"/>
          <w:b/>
          <w:bCs/>
          <w:color w:val="auto"/>
          <w:sz w:val="32"/>
          <w:szCs w:val="32"/>
          <w:highlight w:val="none"/>
        </w:rPr>
        <w:t>及要求</w:t>
      </w:r>
      <w:bookmarkEnd w:id="311"/>
      <w:bookmarkEnd w:id="312"/>
      <w:bookmarkEnd w:id="313"/>
    </w:p>
    <w:bookmarkEnd w:id="19"/>
    <w:bookmarkEnd w:id="20"/>
    <w:bookmarkEnd w:id="21"/>
    <w:bookmarkEnd w:id="22"/>
    <w:bookmarkEnd w:id="23"/>
    <w:bookmarkEnd w:id="24"/>
    <w:bookmarkEnd w:id="25"/>
    <w:bookmarkEnd w:id="26"/>
    <w:p w14:paraId="32108F53">
      <w:pPr>
        <w:spacing w:line="588" w:lineRule="exact"/>
        <w:ind w:firstLine="640" w:firstLineChars="200"/>
        <w:jc w:val="left"/>
        <w:outlineLvl w:val="0"/>
        <w:rPr>
          <w:rFonts w:ascii="Times New Roman" w:hAnsi="Times New Roman" w:eastAsia="黑体"/>
          <w:bCs/>
          <w:sz w:val="32"/>
          <w:szCs w:val="32"/>
        </w:rPr>
      </w:pPr>
      <w:bookmarkStart w:id="314" w:name="_Toc495647412"/>
      <w:bookmarkStart w:id="315" w:name="_Toc10931"/>
      <w:bookmarkStart w:id="316" w:name="_Toc16520678"/>
      <w:bookmarkStart w:id="317" w:name="_Toc121405493"/>
      <w:bookmarkStart w:id="318" w:name="_Toc16520166"/>
      <w:bookmarkStart w:id="319" w:name="_Toc22500"/>
      <w:bookmarkStart w:id="320" w:name="_Toc523220934"/>
      <w:bookmarkStart w:id="321" w:name="_Toc508179885"/>
      <w:r>
        <w:rPr>
          <w:rFonts w:ascii="Times New Roman" w:hAnsi="Times New Roman" w:eastAsia="黑体"/>
          <w:bCs/>
          <w:sz w:val="32"/>
          <w:szCs w:val="32"/>
        </w:rPr>
        <w:t>一、工作背景</w:t>
      </w:r>
    </w:p>
    <w:p w14:paraId="32D508EE">
      <w:pPr>
        <w:spacing w:line="588"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lang w:val="zh-CN"/>
        </w:rPr>
        <w:t>为贯彻落实《自然资源部 国家林业和草原局关于印发〈“一张图”建设工作方案〉的通知》（自然资发〔2025〕58号）、</w:t>
      </w:r>
      <w:bookmarkStart w:id="322" w:name="_Hlk223117696"/>
      <w:r>
        <w:rPr>
          <w:rFonts w:ascii="Times New Roman" w:hAnsi="Times New Roman" w:eastAsia="仿宋_GB2312"/>
          <w:sz w:val="32"/>
          <w:szCs w:val="32"/>
          <w:shd w:val="clear" w:color="auto" w:fill="FFFFFF"/>
        </w:rPr>
        <w:t>《自然资源部办公厅 国家林业和草原局办公室关于印发〈耕地保护和国土绿化空间专项规划编制工作方案〉的函》（自然资办函〔2026〕124号）</w:t>
      </w:r>
      <w:bookmarkEnd w:id="322"/>
      <w:r>
        <w:rPr>
          <w:rFonts w:ascii="Times New Roman" w:hAnsi="Times New Roman" w:eastAsia="仿宋_GB2312"/>
          <w:sz w:val="32"/>
          <w:szCs w:val="32"/>
          <w:shd w:val="clear" w:color="auto" w:fill="FFFFFF"/>
        </w:rPr>
        <w:t>、</w:t>
      </w:r>
      <w:bookmarkStart w:id="323" w:name="OLE_LINK3"/>
      <w:r>
        <w:rPr>
          <w:rFonts w:ascii="Times New Roman" w:hAnsi="Times New Roman" w:eastAsia="仿宋_GB2312"/>
          <w:sz w:val="32"/>
          <w:szCs w:val="32"/>
          <w:shd w:val="clear" w:color="auto" w:fill="FFFFFF"/>
          <w:lang w:val="zh-CN"/>
        </w:rPr>
        <w:t>《</w:t>
      </w:r>
      <w:r>
        <w:rPr>
          <w:rFonts w:ascii="Times New Roman" w:hAnsi="Times New Roman" w:eastAsia="仿宋_GB2312"/>
          <w:sz w:val="32"/>
          <w:szCs w:val="32"/>
          <w:shd w:val="clear" w:color="auto" w:fill="FFFFFF"/>
        </w:rPr>
        <w:t>河南省自然资源厅</w:t>
      </w:r>
      <w:r>
        <w:rPr>
          <w:rFonts w:ascii="Times New Roman" w:hAnsi="Times New Roman" w:eastAsia="仿宋_GB2312"/>
          <w:sz w:val="32"/>
          <w:szCs w:val="32"/>
          <w:shd w:val="clear" w:color="auto" w:fill="FFFFFF"/>
          <w:lang w:val="zh-CN"/>
        </w:rPr>
        <w:t>〈</w:t>
      </w:r>
      <w:r>
        <w:rPr>
          <w:rFonts w:ascii="Times New Roman" w:hAnsi="Times New Roman" w:eastAsia="仿宋_GB2312"/>
          <w:sz w:val="32"/>
          <w:szCs w:val="32"/>
          <w:shd w:val="clear" w:color="auto" w:fill="FFFFFF"/>
        </w:rPr>
        <w:t>关于开展河南省耕地保护和国土绿化空间专项规划上下交互修改工作〉的通知》、</w:t>
      </w:r>
      <w:r>
        <w:rPr>
          <w:rFonts w:ascii="Times New Roman" w:hAnsi="Times New Roman" w:eastAsia="仿宋_GB2312"/>
          <w:sz w:val="32"/>
          <w:szCs w:val="32"/>
          <w:shd w:val="clear" w:color="auto" w:fill="FFFFFF"/>
          <w:lang w:val="zh-CN"/>
        </w:rPr>
        <w:t>《</w:t>
      </w:r>
      <w:r>
        <w:rPr>
          <w:rFonts w:ascii="Times New Roman" w:hAnsi="Times New Roman" w:eastAsia="仿宋_GB2312"/>
          <w:sz w:val="32"/>
          <w:szCs w:val="32"/>
          <w:shd w:val="clear" w:color="auto" w:fill="FFFFFF"/>
        </w:rPr>
        <w:t>河南省自然资源厅 河南省林业局</w:t>
      </w:r>
      <w:r>
        <w:rPr>
          <w:rFonts w:ascii="Times New Roman" w:hAnsi="Times New Roman" w:eastAsia="仿宋_GB2312"/>
          <w:sz w:val="32"/>
          <w:szCs w:val="32"/>
          <w:shd w:val="clear" w:color="auto" w:fill="FFFFFF"/>
          <w:lang w:val="zh-CN"/>
        </w:rPr>
        <w:t>〈</w:t>
      </w:r>
      <w:r>
        <w:rPr>
          <w:rFonts w:ascii="Times New Roman" w:hAnsi="Times New Roman" w:eastAsia="仿宋_GB2312"/>
          <w:sz w:val="32"/>
          <w:szCs w:val="32"/>
          <w:shd w:val="clear" w:color="auto" w:fill="FFFFFF"/>
        </w:rPr>
        <w:t>关于印发河南省耕地保护和国土绿化空间专项规划编制工作实施方案〉的通知》（豫自然资发〔2026〕6号）</w:t>
      </w:r>
      <w:bookmarkEnd w:id="323"/>
      <w:r>
        <w:rPr>
          <w:rFonts w:ascii="Times New Roman" w:hAnsi="Times New Roman" w:eastAsia="仿宋_GB2312"/>
          <w:sz w:val="32"/>
          <w:szCs w:val="32"/>
          <w:shd w:val="clear" w:color="auto" w:fill="FFFFFF"/>
        </w:rPr>
        <w:t>等文件精神，按照全省统一部署，我市需开展耕地保护和国土绿化空间专项规划的数据核实与成果认定工作。</w:t>
      </w:r>
    </w:p>
    <w:p w14:paraId="05FBEA10">
      <w:pPr>
        <w:spacing w:line="588" w:lineRule="exact"/>
        <w:ind w:firstLine="640" w:firstLineChars="200"/>
        <w:rPr>
          <w:rFonts w:ascii="Times New Roman" w:hAnsi="Times New Roman" w:eastAsia="黑体"/>
          <w:bCs/>
          <w:sz w:val="32"/>
          <w:szCs w:val="32"/>
        </w:rPr>
      </w:pPr>
      <w:r>
        <w:rPr>
          <w:rFonts w:ascii="Times New Roman" w:hAnsi="Times New Roman" w:eastAsia="仿宋_GB2312"/>
          <w:sz w:val="32"/>
          <w:szCs w:val="32"/>
          <w:shd w:val="clear" w:color="auto" w:fill="FFFFFF"/>
          <w:lang w:val="zh-CN"/>
        </w:rPr>
        <w:t>根据省级实施方案，本次工作实行“省级统筹、市级协调、县级实施”的三级责任体系。省级负责制作覆盖全县的工作底图（直接细化到具体图斑），县级承担数据的“核实、修改、确认”主体责任。通过对省级下发的耕地空间、耕地补充空间、林草空间、林草补充空间（以下简称“四类空间”）进行逐图斑内业核实、外业举证和数据库修改确认，最终形成经市自然资源和林业两部门共同认定的耕地保护和国土绿化空间划定成果，为建立全市统一、图数一致的“一张图”提供坚实数据支撑，服务于我市生态文明建设和自然资源精细化管理。</w:t>
      </w:r>
    </w:p>
    <w:p w14:paraId="308EDAD9">
      <w:pPr>
        <w:spacing w:line="588" w:lineRule="exact"/>
        <w:ind w:firstLine="640" w:firstLineChars="200"/>
        <w:jc w:val="left"/>
        <w:outlineLvl w:val="0"/>
        <w:rPr>
          <w:rFonts w:ascii="Times New Roman" w:hAnsi="Times New Roman" w:eastAsia="黑体"/>
          <w:bCs/>
          <w:sz w:val="32"/>
          <w:szCs w:val="32"/>
        </w:rPr>
      </w:pPr>
      <w:r>
        <w:rPr>
          <w:rFonts w:ascii="Times New Roman" w:hAnsi="Times New Roman" w:eastAsia="黑体"/>
          <w:bCs/>
          <w:sz w:val="32"/>
          <w:szCs w:val="32"/>
        </w:rPr>
        <w:t>二、工作目标</w:t>
      </w:r>
    </w:p>
    <w:p w14:paraId="1F4AB102">
      <w:pPr>
        <w:adjustRightInd w:val="0"/>
        <w:snapToGrid w:val="0"/>
        <w:spacing w:line="588" w:lineRule="exac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严格按照省级工作部署和时间节点要求，在省级下发的“四类空间”数据底图基础上，结合我</w:t>
      </w:r>
      <w:r>
        <w:rPr>
          <w:rFonts w:ascii="Times New Roman" w:hAnsi="Times New Roman" w:eastAsia="仿宋_GB2312"/>
          <w:sz w:val="32"/>
          <w:szCs w:val="32"/>
          <w:shd w:val="clear" w:color="auto" w:fill="FFFFFF"/>
          <w:lang w:val="zh-CN"/>
        </w:rPr>
        <w:t>市</w:t>
      </w:r>
      <w:r>
        <w:rPr>
          <w:rFonts w:hint="eastAsia" w:ascii="Times New Roman" w:hAnsi="Times New Roman" w:eastAsia="仿宋_GB2312"/>
          <w:sz w:val="32"/>
          <w:szCs w:val="32"/>
          <w:shd w:val="clear" w:color="auto" w:fill="FFFFFF"/>
        </w:rPr>
        <w:t>“十五五”规划、重点项目建设需求及实地现状，对省下发四大空间约96720个图斑进行逐图斑核实确认。通过“三上两下”的交互修改流程，有序化解耕地、林地、草地之间的空间矛盾，明确各类空间的管护边界，最终形成经市政府认可、自然资源和林业两部门共同认定的、准确无误的耕地保护和国土绿化空间数据成果，确保我市耕地保护红线和生态安全底线守得住、落得实。</w:t>
      </w:r>
    </w:p>
    <w:p w14:paraId="64C745FF">
      <w:pPr>
        <w:spacing w:line="588" w:lineRule="exact"/>
        <w:ind w:firstLine="640" w:firstLineChars="200"/>
        <w:jc w:val="left"/>
        <w:outlineLvl w:val="0"/>
        <w:rPr>
          <w:rFonts w:ascii="Times New Roman" w:hAnsi="Times New Roman" w:eastAsia="黑体"/>
          <w:bCs/>
          <w:sz w:val="32"/>
          <w:szCs w:val="32"/>
        </w:rPr>
      </w:pPr>
      <w:r>
        <w:rPr>
          <w:rFonts w:ascii="Times New Roman" w:hAnsi="Times New Roman" w:eastAsia="黑体"/>
          <w:bCs/>
          <w:sz w:val="32"/>
          <w:szCs w:val="32"/>
        </w:rPr>
        <w:t>三、工作依据</w:t>
      </w:r>
    </w:p>
    <w:p w14:paraId="43F023DC">
      <w:pPr>
        <w:adjustRightInd w:val="0"/>
        <w:snapToGrid w:val="0"/>
        <w:spacing w:line="588"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1.《自然资源部 农业农村部关于改革完善耕地占补平衡管理的通知》（自然资发〔2024〕204号）；</w:t>
      </w:r>
    </w:p>
    <w:p w14:paraId="4F593DD0">
      <w:pPr>
        <w:adjustRightInd w:val="0"/>
        <w:snapToGrid w:val="0"/>
        <w:spacing w:line="588"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2.《国家林业和草原局生态保护修复司、自然资源部国土空间规划局关于开展国土绿化空间规划指标测算评估工作的通知》（生生函〔2025〕19号）；</w:t>
      </w:r>
    </w:p>
    <w:p w14:paraId="30B10835">
      <w:pPr>
        <w:adjustRightInd w:val="0"/>
        <w:snapToGrid w:val="0"/>
        <w:spacing w:line="588"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3.《自然资源部国家林业和草原局“一张图”建设工作方案》（自然资发〔2025〕58号）；</w:t>
      </w:r>
    </w:p>
    <w:p w14:paraId="0BD851D3">
      <w:pPr>
        <w:adjustRightInd w:val="0"/>
        <w:snapToGrid w:val="0"/>
        <w:spacing w:line="588"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4.《中共河南省委办公厅 河南省人民政府办公厅关于加强耕地保护提升耕地质量完善占补平衡的实施意见》（豫办〔2025〕15号）；</w:t>
      </w:r>
    </w:p>
    <w:p w14:paraId="7335DA22">
      <w:pPr>
        <w:adjustRightInd w:val="0"/>
        <w:snapToGrid w:val="0"/>
        <w:spacing w:line="588"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5.《自然资源部办公厅 国家林业和草原局办公室关于印发耕地保护和国土绿化空间专项规划编制工作方案的函》（自然资办函〔2026〕124 号）；</w:t>
      </w:r>
    </w:p>
    <w:p w14:paraId="7136A11A">
      <w:pPr>
        <w:adjustRightInd w:val="0"/>
        <w:snapToGrid w:val="0"/>
        <w:spacing w:line="588"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lang w:val="zh-CN"/>
        </w:rPr>
        <w:t>6.《</w:t>
      </w:r>
      <w:r>
        <w:rPr>
          <w:rFonts w:ascii="Times New Roman" w:hAnsi="Times New Roman" w:eastAsia="仿宋_GB2312"/>
          <w:sz w:val="32"/>
          <w:szCs w:val="32"/>
          <w:shd w:val="clear" w:color="auto" w:fill="FFFFFF"/>
        </w:rPr>
        <w:t>河南省自然资源厅 关于开展河南省耕地保护和国土绿化空间专项规划上下交互修改工作的通知》；</w:t>
      </w:r>
    </w:p>
    <w:p w14:paraId="7AC19FEA">
      <w:pPr>
        <w:adjustRightInd w:val="0"/>
        <w:snapToGrid w:val="0"/>
        <w:spacing w:line="588" w:lineRule="exact"/>
        <w:ind w:firstLine="640" w:firstLineChars="200"/>
        <w:rPr>
          <w:rFonts w:ascii="Times New Roman" w:hAnsi="Times New Roman" w:eastAsia="黑体"/>
          <w:bCs/>
          <w:sz w:val="32"/>
          <w:szCs w:val="32"/>
        </w:rPr>
      </w:pPr>
      <w:r>
        <w:rPr>
          <w:rFonts w:ascii="Times New Roman" w:hAnsi="Times New Roman" w:eastAsia="仿宋_GB2312"/>
          <w:sz w:val="32"/>
          <w:szCs w:val="32"/>
          <w:shd w:val="clear" w:color="auto" w:fill="FFFFFF"/>
          <w:lang w:val="zh-CN"/>
        </w:rPr>
        <w:t>7.《</w:t>
      </w:r>
      <w:r>
        <w:rPr>
          <w:rFonts w:ascii="Times New Roman" w:hAnsi="Times New Roman" w:eastAsia="仿宋_GB2312"/>
          <w:sz w:val="32"/>
          <w:szCs w:val="32"/>
          <w:shd w:val="clear" w:color="auto" w:fill="FFFFFF"/>
        </w:rPr>
        <w:t>河南省自然资源厅 河南省林业局关于印发河南省耕地保护和国土绿化空间专项规划编制工作实施方案的通知》（豫自然资发〔2026〕6号）。</w:t>
      </w:r>
    </w:p>
    <w:p w14:paraId="1663DBA4">
      <w:pPr>
        <w:spacing w:line="588" w:lineRule="exact"/>
        <w:ind w:firstLine="960" w:firstLineChars="300"/>
        <w:jc w:val="left"/>
        <w:outlineLvl w:val="0"/>
        <w:rPr>
          <w:rFonts w:ascii="Times New Roman" w:hAnsi="Times New Roman" w:eastAsia="黑体"/>
          <w:bCs/>
          <w:sz w:val="32"/>
          <w:szCs w:val="32"/>
        </w:rPr>
      </w:pPr>
      <w:r>
        <w:rPr>
          <w:rFonts w:ascii="Times New Roman" w:hAnsi="Times New Roman" w:eastAsia="黑体"/>
          <w:bCs/>
          <w:sz w:val="32"/>
          <w:szCs w:val="32"/>
        </w:rPr>
        <w:t>四、工作内容</w:t>
      </w:r>
    </w:p>
    <w:p w14:paraId="49FC7F86">
      <w:pPr>
        <w:spacing w:line="588"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根据省级实施方案和上下交互修改工作要求，县级作为具体实施主体，主要承担以下工作任务：</w:t>
      </w:r>
    </w:p>
    <w:p w14:paraId="7A838736">
      <w:pPr>
        <w:spacing w:line="588" w:lineRule="exact"/>
        <w:ind w:firstLine="643" w:firstLineChars="200"/>
        <w:rPr>
          <w:rFonts w:ascii="Times New Roman" w:hAnsi="Times New Roman" w:eastAsia="楷体"/>
          <w:b/>
          <w:sz w:val="32"/>
          <w:szCs w:val="32"/>
          <w:shd w:val="clear" w:color="auto" w:fill="FFFFFF"/>
        </w:rPr>
      </w:pPr>
      <w:r>
        <w:rPr>
          <w:rFonts w:ascii="Times New Roman" w:hAnsi="Times New Roman" w:eastAsia="楷体"/>
          <w:b/>
          <w:sz w:val="32"/>
          <w:szCs w:val="32"/>
          <w:shd w:val="clear" w:color="auto" w:fill="FFFFFF"/>
        </w:rPr>
        <w:t>（一）数据分析、解读、汇报</w:t>
      </w:r>
    </w:p>
    <w:p w14:paraId="09A47C83">
      <w:pPr>
        <w:spacing w:line="588" w:lineRule="exac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接收并分析省级下发的包含耕地空间、耕地补充空间、林草空间、林草补充空间在内的矢量数据。通过制作图件、表格和PPT等汇报材料，向市政府、相关局委及乡镇进行专题汇报和政策解读，确保各方准确理解数据内涵和工作要求，为后续核实工作奠定基础。</w:t>
      </w:r>
    </w:p>
    <w:p w14:paraId="6585080B">
      <w:pPr>
        <w:spacing w:line="588" w:lineRule="exact"/>
        <w:ind w:firstLine="643" w:firstLineChars="200"/>
        <w:rPr>
          <w:rFonts w:ascii="Times New Roman" w:hAnsi="Times New Roman" w:eastAsia="仿宋_GB2312"/>
          <w:sz w:val="32"/>
          <w:szCs w:val="32"/>
          <w:shd w:val="clear" w:color="auto" w:fill="FFFFFF"/>
        </w:rPr>
      </w:pPr>
      <w:r>
        <w:rPr>
          <w:rFonts w:ascii="Times New Roman" w:hAnsi="Times New Roman" w:eastAsia="楷体"/>
          <w:b/>
          <w:sz w:val="32"/>
          <w:szCs w:val="32"/>
          <w:shd w:val="clear" w:color="auto" w:fill="FFFFFF"/>
        </w:rPr>
        <w:t>（二）数据库修改、确认、举证</w:t>
      </w:r>
    </w:p>
    <w:p w14:paraId="7F4FE560">
      <w:pPr>
        <w:spacing w:line="588" w:lineRule="exact"/>
        <w:ind w:firstLine="640" w:firstLineChars="200"/>
        <w:rPr>
          <w:rFonts w:hint="eastAsia"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依据省级下发的工作底图，结合我市“十五五”规划、重点项目清单、历年用地审批数据、高标准农田建设范围等资料，对对省下发四大空间约96720个图斑进行逐图斑内业核实。按照省级要求，在“变化类型”字段中填写确认意见：对符合要求的图斑，填报“经确认符合要求”；对不符合地方实际需要调整的图斑，分别标注“核减图斑”“调整空间分类图斑”“增补图斑”三类调整类型；对于需要提供佐证材料的图斑，负责相关批准文件、项目立项文件或情况说明等举证材料编制（具体以最终下发的数据库成果汇交要求为准）。</w:t>
      </w:r>
    </w:p>
    <w:p w14:paraId="0D7C34FB">
      <w:pPr>
        <w:spacing w:line="588" w:lineRule="exac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根据省级工作安排，数据库修改工作预计需经历“三上两下”三轮交互修改：第一轮以耕地保护为核心的数据库核实，第二轮修改完善后上报，第三轮待省级形成全域协同数据库后再进行最终核实确认。每轮修改均需进行成果自检，确保数据的完整性、规范性和准确性。</w:t>
      </w:r>
    </w:p>
    <w:p w14:paraId="3818527E">
      <w:pPr>
        <w:spacing w:line="588" w:lineRule="exact"/>
        <w:ind w:firstLine="643" w:firstLineChars="200"/>
        <w:rPr>
          <w:rFonts w:ascii="Times New Roman" w:hAnsi="Times New Roman" w:eastAsia="楷体"/>
          <w:b/>
          <w:sz w:val="32"/>
          <w:szCs w:val="32"/>
          <w:shd w:val="clear" w:color="auto" w:fill="FFFFFF"/>
        </w:rPr>
      </w:pPr>
      <w:r>
        <w:rPr>
          <w:rFonts w:ascii="Times New Roman" w:hAnsi="Times New Roman" w:eastAsia="楷体"/>
          <w:b/>
          <w:sz w:val="32"/>
          <w:szCs w:val="32"/>
          <w:shd w:val="clear" w:color="auto" w:fill="FFFFFF"/>
        </w:rPr>
        <w:t>（三）外业图斑核查</w:t>
      </w:r>
    </w:p>
    <w:p w14:paraId="73BDF8CA">
      <w:pPr>
        <w:spacing w:line="588" w:lineRule="exac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对于内业无法判定、确需外业举证的图斑，组织技术人员通过“中原云”平台中耕地保护和国土绿化模块进行实地拍照举证，每个图斑最少拍摄2张以上能显示实际现状情况的照片，确保举证材料真实有效。</w:t>
      </w:r>
    </w:p>
    <w:p w14:paraId="2D182C94">
      <w:pPr>
        <w:spacing w:line="588" w:lineRule="exact"/>
        <w:ind w:firstLine="643" w:firstLineChars="200"/>
        <w:rPr>
          <w:rFonts w:ascii="Times New Roman" w:hAnsi="Times New Roman" w:eastAsia="楷体"/>
          <w:b/>
          <w:sz w:val="32"/>
          <w:szCs w:val="32"/>
          <w:shd w:val="clear" w:color="auto" w:fill="FFFFFF"/>
        </w:rPr>
      </w:pPr>
      <w:r>
        <w:rPr>
          <w:rFonts w:ascii="Times New Roman" w:hAnsi="Times New Roman" w:eastAsia="楷体"/>
          <w:b/>
          <w:sz w:val="32"/>
          <w:szCs w:val="32"/>
          <w:shd w:val="clear" w:color="auto" w:fill="FFFFFF"/>
        </w:rPr>
        <w:t>（四）划定成果汇总</w:t>
      </w:r>
    </w:p>
    <w:p w14:paraId="5586FCB6">
      <w:pPr>
        <w:spacing w:line="588" w:lineRule="exac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编制灵宝市耕地保护和国土绿化空间划定情况说明、划定图件、表格、数据库。编制农村集体经济组织、国有林场等经营主体征求意见所需图件资料。</w:t>
      </w:r>
    </w:p>
    <w:p w14:paraId="2A48B6B6">
      <w:pPr>
        <w:spacing w:line="588" w:lineRule="exact"/>
        <w:ind w:firstLine="643" w:firstLineChars="200"/>
        <w:rPr>
          <w:rFonts w:ascii="Times New Roman" w:hAnsi="Times New Roman" w:eastAsia="楷体"/>
          <w:b/>
          <w:sz w:val="32"/>
          <w:szCs w:val="32"/>
          <w:shd w:val="clear" w:color="auto" w:fill="FFFFFF"/>
        </w:rPr>
      </w:pPr>
      <w:r>
        <w:rPr>
          <w:rFonts w:ascii="Times New Roman" w:hAnsi="Times New Roman" w:eastAsia="楷体"/>
          <w:b/>
          <w:sz w:val="32"/>
          <w:szCs w:val="32"/>
          <w:shd w:val="clear" w:color="auto" w:fill="FFFFFF"/>
        </w:rPr>
        <w:t>（五）意见征求与联合认定</w:t>
      </w:r>
    </w:p>
    <w:p w14:paraId="03E482D9">
      <w:pPr>
        <w:spacing w:line="588" w:lineRule="exac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组织市自然资源局、林业局共同对最终划定成果进行审查，出具两部门共同确认的认定意见。同步征求涉及到的农村集体经济组织、国有林场等经营主体意见，签订确认单并加盖公章，按要求报送上级部门。</w:t>
      </w:r>
    </w:p>
    <w:p w14:paraId="71257ACA">
      <w:pPr>
        <w:widowControl/>
        <w:spacing w:line="360" w:lineRule="auto"/>
        <w:jc w:val="both"/>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第四章  评审办法</w:t>
      </w:r>
      <w:bookmarkEnd w:id="314"/>
      <w:bookmarkEnd w:id="315"/>
      <w:bookmarkEnd w:id="316"/>
      <w:bookmarkEnd w:id="317"/>
      <w:bookmarkEnd w:id="318"/>
      <w:bookmarkEnd w:id="319"/>
    </w:p>
    <w:p w14:paraId="25ECA8B1">
      <w:pPr>
        <w:spacing w:line="480" w:lineRule="exact"/>
        <w:ind w:firstLine="482" w:firstLineChars="200"/>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初步评审</w:t>
      </w:r>
    </w:p>
    <w:tbl>
      <w:tblPr>
        <w:tblStyle w:val="17"/>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007"/>
        <w:gridCol w:w="2554"/>
        <w:gridCol w:w="4960"/>
      </w:tblGrid>
      <w:tr w14:paraId="5E1D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23" w:type="dxa"/>
            <w:gridSpan w:val="2"/>
            <w:tcBorders>
              <w:top w:val="single" w:color="auto" w:sz="4" w:space="0"/>
              <w:left w:val="single" w:color="auto" w:sz="4" w:space="0"/>
              <w:bottom w:val="single" w:color="auto" w:sz="4" w:space="0"/>
              <w:right w:val="single" w:color="auto" w:sz="4" w:space="0"/>
            </w:tcBorders>
            <w:noWrap w:val="0"/>
            <w:vAlign w:val="center"/>
          </w:tcPr>
          <w:p w14:paraId="28C3B384">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7627D9A1">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评审因素</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00C86223">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评审标准</w:t>
            </w:r>
          </w:p>
        </w:tc>
      </w:tr>
      <w:tr w14:paraId="65BE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16" w:type="dxa"/>
            <w:vMerge w:val="restart"/>
            <w:tcBorders>
              <w:top w:val="single" w:color="auto" w:sz="4" w:space="0"/>
              <w:left w:val="single" w:color="auto" w:sz="4" w:space="0"/>
              <w:right w:val="single" w:color="auto" w:sz="4" w:space="0"/>
            </w:tcBorders>
            <w:noWrap w:val="0"/>
            <w:vAlign w:val="center"/>
          </w:tcPr>
          <w:p w14:paraId="5A20AF9B">
            <w:pPr>
              <w:spacing w:line="36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2.1.1</w:t>
            </w:r>
          </w:p>
        </w:tc>
        <w:tc>
          <w:tcPr>
            <w:tcW w:w="1007" w:type="dxa"/>
            <w:vMerge w:val="restart"/>
            <w:tcBorders>
              <w:top w:val="single" w:color="auto" w:sz="4" w:space="0"/>
              <w:left w:val="single" w:color="auto" w:sz="4" w:space="0"/>
              <w:right w:val="single" w:color="auto" w:sz="4" w:space="0"/>
            </w:tcBorders>
            <w:noWrap w:val="0"/>
            <w:vAlign w:val="center"/>
          </w:tcPr>
          <w:p w14:paraId="38112D66">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资格性审查标准</w:t>
            </w:r>
          </w:p>
        </w:tc>
        <w:tc>
          <w:tcPr>
            <w:tcW w:w="2554" w:type="dxa"/>
            <w:tcBorders>
              <w:top w:val="single" w:color="auto" w:sz="4" w:space="0"/>
              <w:left w:val="single" w:color="auto" w:sz="4" w:space="0"/>
              <w:right w:val="single" w:color="auto" w:sz="4" w:space="0"/>
            </w:tcBorders>
            <w:noWrap w:val="0"/>
            <w:vAlign w:val="center"/>
          </w:tcPr>
          <w:p w14:paraId="64ED2777">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满足《中华人民共和国政府采购法》第二十二条规定</w:t>
            </w:r>
          </w:p>
        </w:tc>
        <w:tc>
          <w:tcPr>
            <w:tcW w:w="4960" w:type="dxa"/>
            <w:tcBorders>
              <w:top w:val="single" w:color="auto" w:sz="4" w:space="0"/>
              <w:left w:val="single" w:color="auto" w:sz="4" w:space="0"/>
              <w:right w:val="single" w:color="auto" w:sz="4" w:space="0"/>
            </w:tcBorders>
            <w:noWrap w:val="0"/>
            <w:vAlign w:val="center"/>
          </w:tcPr>
          <w:p w14:paraId="1FAEAB0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提供证明材料或自行承诺（承诺格式自拟）</w:t>
            </w:r>
            <w:r>
              <w:rPr>
                <w:rFonts w:hint="eastAsia" w:ascii="宋体" w:hAnsi="宋体" w:eastAsia="宋体" w:cs="宋体"/>
                <w:color w:val="auto"/>
                <w:sz w:val="24"/>
                <w:szCs w:val="24"/>
                <w:highlight w:val="none"/>
              </w:rPr>
              <w:t>；</w:t>
            </w:r>
          </w:p>
        </w:tc>
      </w:tr>
      <w:tr w14:paraId="2B55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16" w:type="dxa"/>
            <w:vMerge w:val="continue"/>
            <w:tcBorders>
              <w:left w:val="single" w:color="auto" w:sz="4" w:space="0"/>
              <w:right w:val="single" w:color="auto" w:sz="4" w:space="0"/>
            </w:tcBorders>
            <w:noWrap w:val="0"/>
            <w:vAlign w:val="center"/>
          </w:tcPr>
          <w:p w14:paraId="1D99004A">
            <w:pPr>
              <w:spacing w:line="360" w:lineRule="auto"/>
              <w:jc w:val="center"/>
              <w:rPr>
                <w:rFonts w:hint="eastAsia" w:ascii="宋体" w:hAnsi="宋体" w:eastAsia="宋体" w:cs="宋体"/>
                <w:bCs/>
                <w:color w:val="auto"/>
                <w:sz w:val="24"/>
                <w:szCs w:val="24"/>
                <w:highlight w:val="none"/>
                <w:lang w:val="en-US" w:eastAsia="zh-CN"/>
              </w:rPr>
            </w:pPr>
          </w:p>
        </w:tc>
        <w:tc>
          <w:tcPr>
            <w:tcW w:w="1007" w:type="dxa"/>
            <w:vMerge w:val="continue"/>
            <w:tcBorders>
              <w:left w:val="single" w:color="auto" w:sz="4" w:space="0"/>
              <w:right w:val="single" w:color="auto" w:sz="4" w:space="0"/>
            </w:tcBorders>
            <w:noWrap w:val="0"/>
            <w:vAlign w:val="center"/>
          </w:tcPr>
          <w:p w14:paraId="04F08152">
            <w:pPr>
              <w:spacing w:line="360" w:lineRule="auto"/>
              <w:jc w:val="center"/>
              <w:rPr>
                <w:rFonts w:hint="eastAsia" w:ascii="宋体" w:hAnsi="宋体" w:eastAsia="宋体" w:cs="宋体"/>
                <w:color w:val="auto"/>
                <w:sz w:val="24"/>
                <w:szCs w:val="24"/>
                <w:highlight w:val="none"/>
                <w:lang w:val="en-US" w:eastAsia="zh-CN"/>
              </w:rPr>
            </w:pPr>
          </w:p>
        </w:tc>
        <w:tc>
          <w:tcPr>
            <w:tcW w:w="2554" w:type="dxa"/>
            <w:tcBorders>
              <w:top w:val="single" w:color="auto" w:sz="4" w:space="0"/>
              <w:left w:val="single" w:color="auto" w:sz="4" w:space="0"/>
              <w:right w:val="single" w:color="auto" w:sz="4" w:space="0"/>
            </w:tcBorders>
            <w:noWrap w:val="0"/>
            <w:vAlign w:val="center"/>
          </w:tcPr>
          <w:p w14:paraId="2A951C9C">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中小企业声明函</w:t>
            </w:r>
          </w:p>
        </w:tc>
        <w:tc>
          <w:tcPr>
            <w:tcW w:w="4960" w:type="dxa"/>
            <w:tcBorders>
              <w:top w:val="single" w:color="auto" w:sz="4" w:space="0"/>
              <w:left w:val="single" w:color="auto" w:sz="4" w:space="0"/>
              <w:right w:val="single" w:color="auto" w:sz="4" w:space="0"/>
            </w:tcBorders>
            <w:noWrap w:val="0"/>
            <w:vAlign w:val="center"/>
          </w:tcPr>
          <w:p w14:paraId="687D3478">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本项目专门面向中小企业采购,投标供应商须提供《中小企业声明函》</w:t>
            </w:r>
          </w:p>
        </w:tc>
      </w:tr>
      <w:tr w14:paraId="7CDB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16" w:type="dxa"/>
            <w:vMerge w:val="continue"/>
            <w:tcBorders>
              <w:left w:val="single" w:color="auto" w:sz="4" w:space="0"/>
              <w:right w:val="single" w:color="auto" w:sz="4" w:space="0"/>
            </w:tcBorders>
            <w:noWrap w:val="0"/>
            <w:vAlign w:val="center"/>
          </w:tcPr>
          <w:p w14:paraId="35B9E22C">
            <w:pPr>
              <w:spacing w:line="360" w:lineRule="auto"/>
              <w:jc w:val="center"/>
              <w:rPr>
                <w:rFonts w:hint="eastAsia" w:ascii="宋体" w:hAnsi="宋体" w:eastAsia="宋体" w:cs="宋体"/>
                <w:bCs/>
                <w:color w:val="auto"/>
                <w:sz w:val="24"/>
                <w:szCs w:val="24"/>
                <w:highlight w:val="none"/>
                <w:lang w:val="en-US" w:eastAsia="zh-CN"/>
              </w:rPr>
            </w:pPr>
          </w:p>
        </w:tc>
        <w:tc>
          <w:tcPr>
            <w:tcW w:w="1007" w:type="dxa"/>
            <w:vMerge w:val="continue"/>
            <w:tcBorders>
              <w:left w:val="single" w:color="auto" w:sz="4" w:space="0"/>
              <w:right w:val="single" w:color="auto" w:sz="4" w:space="0"/>
            </w:tcBorders>
            <w:noWrap w:val="0"/>
            <w:vAlign w:val="center"/>
          </w:tcPr>
          <w:p w14:paraId="520772CD">
            <w:pPr>
              <w:spacing w:line="360" w:lineRule="auto"/>
              <w:jc w:val="center"/>
              <w:rPr>
                <w:rFonts w:hint="eastAsia" w:ascii="宋体" w:hAnsi="宋体" w:eastAsia="宋体" w:cs="宋体"/>
                <w:color w:val="auto"/>
                <w:sz w:val="24"/>
                <w:szCs w:val="24"/>
                <w:highlight w:val="none"/>
                <w:lang w:val="en-US" w:eastAsia="zh-CN"/>
              </w:rPr>
            </w:pPr>
          </w:p>
        </w:tc>
        <w:tc>
          <w:tcPr>
            <w:tcW w:w="2554" w:type="dxa"/>
            <w:tcBorders>
              <w:top w:val="single" w:color="auto" w:sz="4" w:space="0"/>
              <w:left w:val="single" w:color="auto" w:sz="4" w:space="0"/>
              <w:right w:val="single" w:color="auto" w:sz="4" w:space="0"/>
            </w:tcBorders>
            <w:noWrap w:val="0"/>
            <w:vAlign w:val="center"/>
          </w:tcPr>
          <w:p w14:paraId="716F25A5">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营业执照等证明</w:t>
            </w:r>
          </w:p>
          <w:p w14:paraId="4AE1292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文件</w:t>
            </w:r>
          </w:p>
        </w:tc>
        <w:tc>
          <w:tcPr>
            <w:tcW w:w="4960" w:type="dxa"/>
            <w:tcBorders>
              <w:top w:val="single" w:color="auto" w:sz="4" w:space="0"/>
              <w:left w:val="single" w:color="auto" w:sz="4" w:space="0"/>
              <w:right w:val="single" w:color="auto" w:sz="4" w:space="0"/>
            </w:tcBorders>
            <w:noWrap w:val="0"/>
            <w:vAlign w:val="center"/>
          </w:tcPr>
          <w:p w14:paraId="0FF3ED1C">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投标供应商具有独立承担民事责任的能力（具有有效的营业执照或事业单位法人证书）；</w:t>
            </w:r>
          </w:p>
        </w:tc>
      </w:tr>
      <w:tr w14:paraId="5EEE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16" w:type="dxa"/>
            <w:vMerge w:val="continue"/>
            <w:tcBorders>
              <w:left w:val="single" w:color="auto" w:sz="4" w:space="0"/>
              <w:right w:val="single" w:color="auto" w:sz="4" w:space="0"/>
            </w:tcBorders>
            <w:noWrap w:val="0"/>
            <w:vAlign w:val="center"/>
          </w:tcPr>
          <w:p w14:paraId="145C172B">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2ED84406">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0433D50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企业资质</w:t>
            </w:r>
          </w:p>
        </w:tc>
        <w:tc>
          <w:tcPr>
            <w:tcW w:w="4960" w:type="dxa"/>
            <w:tcBorders>
              <w:top w:val="single" w:color="auto" w:sz="4" w:space="0"/>
              <w:left w:val="single" w:color="auto" w:sz="4" w:space="0"/>
              <w:right w:val="single" w:color="auto" w:sz="4" w:space="0"/>
            </w:tcBorders>
            <w:noWrap w:val="0"/>
            <w:vAlign w:val="center"/>
          </w:tcPr>
          <w:p w14:paraId="14FCFC45">
            <w:pPr>
              <w:spacing w:line="60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供应商应具备城乡规划（国土空间规划）编制乙级及以上资质或土地规划乙级及以上资质</w:t>
            </w:r>
            <w:r>
              <w:rPr>
                <w:rFonts w:hint="eastAsia" w:ascii="宋体" w:hAnsi="宋体" w:eastAsia="宋体" w:cs="宋体"/>
                <w:color w:val="auto"/>
                <w:sz w:val="24"/>
                <w:szCs w:val="24"/>
                <w:highlight w:val="none"/>
              </w:rPr>
              <w:t>；</w:t>
            </w:r>
          </w:p>
        </w:tc>
      </w:tr>
      <w:tr w14:paraId="3FCC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16" w:type="dxa"/>
            <w:vMerge w:val="continue"/>
            <w:tcBorders>
              <w:left w:val="single" w:color="auto" w:sz="4" w:space="0"/>
              <w:right w:val="single" w:color="auto" w:sz="4" w:space="0"/>
            </w:tcBorders>
            <w:noWrap w:val="0"/>
            <w:vAlign w:val="center"/>
          </w:tcPr>
          <w:p w14:paraId="247D1ACD">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768DFD7B">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5E90143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c>
          <w:tcPr>
            <w:tcW w:w="4960" w:type="dxa"/>
            <w:tcBorders>
              <w:top w:val="single" w:color="auto" w:sz="4" w:space="0"/>
              <w:left w:val="single" w:color="auto" w:sz="4" w:space="0"/>
              <w:right w:val="single" w:color="auto" w:sz="4" w:space="0"/>
            </w:tcBorders>
            <w:noWrap w:val="0"/>
            <w:vAlign w:val="center"/>
          </w:tcPr>
          <w:p w14:paraId="1DF1553A">
            <w:pPr>
              <w:tabs>
                <w:tab w:val="left" w:pos="3686"/>
              </w:tabs>
              <w:spacing w:line="600" w:lineRule="exac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项目负责人须同时具有国家注册城市(乡)规划师资格及相关专业高级或以上职称，提供劳动合同及社保证明</w:t>
            </w:r>
          </w:p>
        </w:tc>
      </w:tr>
      <w:tr w14:paraId="6411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16" w:type="dxa"/>
            <w:vMerge w:val="continue"/>
            <w:tcBorders>
              <w:left w:val="single" w:color="auto" w:sz="4" w:space="0"/>
              <w:right w:val="single" w:color="auto" w:sz="4" w:space="0"/>
            </w:tcBorders>
            <w:noWrap w:val="0"/>
            <w:vAlign w:val="center"/>
          </w:tcPr>
          <w:p w14:paraId="13225435">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1306B03E">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4534E74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本企业无商业贿赂和不正当竞争行为</w:t>
            </w:r>
          </w:p>
        </w:tc>
        <w:tc>
          <w:tcPr>
            <w:tcW w:w="4960" w:type="dxa"/>
            <w:tcBorders>
              <w:top w:val="single" w:color="auto" w:sz="4" w:space="0"/>
              <w:left w:val="single" w:color="auto" w:sz="4" w:space="0"/>
              <w:right w:val="single" w:color="auto" w:sz="4" w:space="0"/>
            </w:tcBorders>
            <w:noWrap w:val="0"/>
            <w:vAlign w:val="center"/>
          </w:tcPr>
          <w:p w14:paraId="033786A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供应商须</w:t>
            </w:r>
            <w:r>
              <w:rPr>
                <w:rFonts w:hint="eastAsia" w:ascii="宋体" w:hAnsi="宋体" w:eastAsia="宋体" w:cs="宋体"/>
                <w:color w:val="auto"/>
                <w:sz w:val="24"/>
                <w:szCs w:val="24"/>
                <w:highlight w:val="none"/>
                <w:lang w:val="en-US" w:eastAsia="zh-CN"/>
              </w:rPr>
              <w:t>提供</w:t>
            </w:r>
            <w:r>
              <w:rPr>
                <w:rFonts w:hint="eastAsia" w:ascii="宋体" w:hAnsi="宋体" w:eastAsia="宋体" w:cs="宋体"/>
                <w:color w:val="auto"/>
                <w:sz w:val="24"/>
                <w:szCs w:val="24"/>
                <w:highlight w:val="none"/>
              </w:rPr>
              <w:t>本企业无商业贿赂和不正当竞争行为</w:t>
            </w:r>
            <w:r>
              <w:rPr>
                <w:rFonts w:hint="eastAsia" w:ascii="宋体" w:hAnsi="宋体" w:eastAsia="宋体" w:cs="宋体"/>
                <w:color w:val="auto"/>
                <w:sz w:val="24"/>
                <w:szCs w:val="24"/>
                <w:highlight w:val="none"/>
                <w:lang w:val="en-US" w:eastAsia="zh-CN"/>
              </w:rPr>
              <w:t>承诺书</w:t>
            </w:r>
            <w:r>
              <w:rPr>
                <w:rFonts w:hint="eastAsia" w:ascii="宋体" w:hAnsi="宋体" w:eastAsia="宋体" w:cs="宋体"/>
                <w:color w:val="auto"/>
                <w:sz w:val="24"/>
                <w:szCs w:val="24"/>
                <w:highlight w:val="none"/>
              </w:rPr>
              <w:t>；</w:t>
            </w:r>
          </w:p>
        </w:tc>
      </w:tr>
      <w:tr w14:paraId="527C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16" w:type="dxa"/>
            <w:vMerge w:val="continue"/>
            <w:tcBorders>
              <w:left w:val="single" w:color="auto" w:sz="4" w:space="0"/>
              <w:right w:val="single" w:color="auto" w:sz="4" w:space="0"/>
            </w:tcBorders>
            <w:noWrap w:val="0"/>
            <w:vAlign w:val="center"/>
          </w:tcPr>
          <w:p w14:paraId="62E87FD5">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40DB38BB">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0F7C90F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bidi="zh-CN"/>
              </w:rPr>
              <w:t>具有履行合同所必需的设备和专业技术能力</w:t>
            </w:r>
          </w:p>
        </w:tc>
        <w:tc>
          <w:tcPr>
            <w:tcW w:w="4960" w:type="dxa"/>
            <w:tcBorders>
              <w:top w:val="single" w:color="auto" w:sz="4" w:space="0"/>
              <w:left w:val="single" w:color="auto" w:sz="4" w:space="0"/>
              <w:right w:val="single" w:color="auto" w:sz="4" w:space="0"/>
            </w:tcBorders>
            <w:noWrap w:val="0"/>
            <w:vAlign w:val="center"/>
          </w:tcPr>
          <w:p w14:paraId="71D854E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bidi="zh-CN"/>
              </w:rPr>
              <w:t>具有履行合同所必需的设备和专业技术能力（自行承诺，格式自拟）；</w:t>
            </w:r>
          </w:p>
        </w:tc>
      </w:tr>
      <w:tr w14:paraId="3D8C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16" w:type="dxa"/>
            <w:vMerge w:val="continue"/>
            <w:tcBorders>
              <w:left w:val="single" w:color="auto" w:sz="4" w:space="0"/>
              <w:right w:val="single" w:color="auto" w:sz="4" w:space="0"/>
            </w:tcBorders>
            <w:noWrap w:val="0"/>
            <w:vAlign w:val="center"/>
          </w:tcPr>
          <w:p w14:paraId="697729F9">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05DC0C95">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5F86140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bidi="zh-CN"/>
              </w:rPr>
              <w:t>没有重大违法记录</w:t>
            </w:r>
          </w:p>
        </w:tc>
        <w:tc>
          <w:tcPr>
            <w:tcW w:w="4960" w:type="dxa"/>
            <w:tcBorders>
              <w:top w:val="single" w:color="auto" w:sz="4" w:space="0"/>
              <w:left w:val="single" w:color="auto" w:sz="4" w:space="0"/>
              <w:right w:val="single" w:color="auto" w:sz="4" w:space="0"/>
            </w:tcBorders>
            <w:noWrap w:val="0"/>
            <w:vAlign w:val="center"/>
          </w:tcPr>
          <w:p w14:paraId="26F30DF7">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bidi="zh-CN"/>
              </w:rPr>
              <w:t>参加政府采购活动前三年，在经营活动中没有重大违法记录（提供参加政府采购活动前三年没有重大违法记录的书面声明，格式自拟）；</w:t>
            </w:r>
          </w:p>
        </w:tc>
      </w:tr>
      <w:tr w14:paraId="1F31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16" w:type="dxa"/>
            <w:vMerge w:val="continue"/>
            <w:tcBorders>
              <w:left w:val="single" w:color="auto" w:sz="4" w:space="0"/>
              <w:right w:val="single" w:color="auto" w:sz="4" w:space="0"/>
            </w:tcBorders>
            <w:noWrap w:val="0"/>
            <w:vAlign w:val="center"/>
          </w:tcPr>
          <w:p w14:paraId="69BE595A">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4656C19F">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65CFBD2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信用查询</w:t>
            </w:r>
          </w:p>
        </w:tc>
        <w:tc>
          <w:tcPr>
            <w:tcW w:w="4960" w:type="dxa"/>
            <w:tcBorders>
              <w:top w:val="single" w:color="auto" w:sz="4" w:space="0"/>
              <w:left w:val="single" w:color="auto" w:sz="4" w:space="0"/>
              <w:right w:val="single" w:color="auto" w:sz="4" w:space="0"/>
            </w:tcBorders>
            <w:noWrap w:val="0"/>
            <w:vAlign w:val="center"/>
          </w:tcPr>
          <w:p w14:paraId="0087D541">
            <w:pPr>
              <w:spacing w:line="360" w:lineRule="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根据《关于在政府采购活动中查询及使用信用记录有关问题的通知》(财库[2016]125号)和豫财购【2016】15号的规定，企业没有被列入“信用中国”网站的“失信被执行人（跳转中国执行信息公开网）”和“重大税收违法失信主体”及“中国政府采购网”网站的“政府采购严重违法失信行为记录名单”，查询渠道： “中国执行信息公开网”网站（http://zxgk.court.gov.cn/shixin）“信用中国”网站（www.creditchina.gov.cn）、中国政府采购网（www.ccgp.gov.cn），提供网站的查询结果截图，截图要显示查询时间，查询时间自本公告发布之日起；</w:t>
            </w:r>
          </w:p>
        </w:tc>
      </w:tr>
      <w:tr w14:paraId="65A3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16" w:type="dxa"/>
            <w:vMerge w:val="continue"/>
            <w:tcBorders>
              <w:left w:val="single" w:color="auto" w:sz="4" w:space="0"/>
              <w:right w:val="single" w:color="auto" w:sz="4" w:space="0"/>
            </w:tcBorders>
            <w:noWrap w:val="0"/>
            <w:vAlign w:val="center"/>
          </w:tcPr>
          <w:p w14:paraId="5F1F5555">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290DABA3">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2D702A6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单位负责人为同一人或者存在直接控股、管理关系的不同供应商，不得参加同一合同项下的政府采购活动</w:t>
            </w:r>
          </w:p>
        </w:tc>
        <w:tc>
          <w:tcPr>
            <w:tcW w:w="4960" w:type="dxa"/>
            <w:tcBorders>
              <w:top w:val="single" w:color="auto" w:sz="4" w:space="0"/>
              <w:left w:val="single" w:color="auto" w:sz="4" w:space="0"/>
              <w:right w:val="single" w:color="auto" w:sz="4" w:space="0"/>
            </w:tcBorders>
            <w:noWrap w:val="0"/>
            <w:vAlign w:val="center"/>
          </w:tcPr>
          <w:p w14:paraId="5A70438F">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单位负责人为同一人或者存在直接控股、管理关系的不同供应商，不得参加同一合同项下的采购活动；（提供“国家企业信用信息公示系统”中查询打印的相关信息并加盖公章（查询信息需包含公司基本信息、股东信息及股权变更信息等相关信息，查询日期为本项目公告发布之后）；</w:t>
            </w:r>
          </w:p>
        </w:tc>
      </w:tr>
      <w:tr w14:paraId="1D6F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816" w:type="dxa"/>
            <w:vMerge w:val="continue"/>
            <w:tcBorders>
              <w:left w:val="single" w:color="auto" w:sz="4" w:space="0"/>
              <w:right w:val="single" w:color="auto" w:sz="4" w:space="0"/>
            </w:tcBorders>
            <w:noWrap w:val="0"/>
            <w:vAlign w:val="center"/>
          </w:tcPr>
          <w:p w14:paraId="175803CC">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259F2682">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05FB340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w:t>
            </w:r>
          </w:p>
        </w:tc>
        <w:tc>
          <w:tcPr>
            <w:tcW w:w="4960" w:type="dxa"/>
            <w:tcBorders>
              <w:top w:val="single" w:color="auto" w:sz="4" w:space="0"/>
              <w:left w:val="single" w:color="auto" w:sz="4" w:space="0"/>
              <w:right w:val="single" w:color="auto" w:sz="4" w:space="0"/>
            </w:tcBorders>
            <w:noWrap w:val="0"/>
            <w:vAlign w:val="center"/>
          </w:tcPr>
          <w:p w14:paraId="08E9E60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本项目不接受联合体投标。提供非联合体承诺，格式自拟。</w:t>
            </w:r>
          </w:p>
        </w:tc>
      </w:tr>
      <w:tr w14:paraId="4B6A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9337" w:type="dxa"/>
            <w:gridSpan w:val="4"/>
            <w:tcBorders>
              <w:left w:val="single" w:color="auto" w:sz="4" w:space="0"/>
              <w:right w:val="single" w:color="auto" w:sz="4" w:space="0"/>
            </w:tcBorders>
            <w:noWrap w:val="0"/>
            <w:vAlign w:val="center"/>
          </w:tcPr>
          <w:p w14:paraId="4A57689E">
            <w:pPr>
              <w:tabs>
                <w:tab w:val="left" w:pos="1868"/>
              </w:tabs>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资格评审以响应文件为准，其上传资料真实性由</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自行承担。</w:t>
            </w:r>
          </w:p>
        </w:tc>
      </w:tr>
      <w:tr w14:paraId="71A3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816" w:type="dxa"/>
            <w:vMerge w:val="restart"/>
            <w:tcBorders>
              <w:top w:val="single" w:color="auto" w:sz="4" w:space="0"/>
              <w:left w:val="single" w:color="auto" w:sz="4" w:space="0"/>
              <w:right w:val="single" w:color="auto" w:sz="4" w:space="0"/>
            </w:tcBorders>
            <w:noWrap w:val="0"/>
            <w:vAlign w:val="center"/>
          </w:tcPr>
          <w:p w14:paraId="516B47E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w:t>
            </w:r>
          </w:p>
        </w:tc>
        <w:tc>
          <w:tcPr>
            <w:tcW w:w="1007" w:type="dxa"/>
            <w:vMerge w:val="restart"/>
            <w:tcBorders>
              <w:top w:val="single" w:color="auto" w:sz="4" w:space="0"/>
              <w:left w:val="single" w:color="auto" w:sz="4" w:space="0"/>
              <w:right w:val="single" w:color="auto" w:sz="4" w:space="0"/>
            </w:tcBorders>
            <w:noWrap w:val="0"/>
            <w:vAlign w:val="center"/>
          </w:tcPr>
          <w:p w14:paraId="1EA3B81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实质性响应评审</w:t>
            </w:r>
            <w:r>
              <w:rPr>
                <w:rFonts w:hint="eastAsia" w:ascii="宋体" w:hAnsi="宋体" w:eastAsia="宋体" w:cs="宋体"/>
                <w:bCs/>
                <w:color w:val="auto"/>
                <w:sz w:val="24"/>
                <w:szCs w:val="24"/>
                <w:highlight w:val="none"/>
              </w:rPr>
              <w:t>标准</w:t>
            </w:r>
          </w:p>
        </w:tc>
        <w:tc>
          <w:tcPr>
            <w:tcW w:w="2554" w:type="dxa"/>
            <w:tcBorders>
              <w:top w:val="single" w:color="auto" w:sz="4" w:space="0"/>
              <w:left w:val="single" w:color="auto" w:sz="4" w:space="0"/>
              <w:right w:val="single" w:color="auto" w:sz="4" w:space="0"/>
            </w:tcBorders>
            <w:noWrap w:val="0"/>
            <w:vAlign w:val="center"/>
          </w:tcPr>
          <w:p w14:paraId="6E4B5E0A">
            <w:pPr>
              <w:spacing w:line="72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服务期</w:t>
            </w:r>
            <w:r>
              <w:rPr>
                <w:rFonts w:hint="eastAsia" w:ascii="宋体" w:hAnsi="宋体" w:eastAsia="宋体" w:cs="宋体"/>
                <w:color w:val="auto"/>
                <w:sz w:val="24"/>
                <w:szCs w:val="24"/>
                <w:highlight w:val="none"/>
                <w:lang w:val="en-US" w:eastAsia="zh-CN"/>
              </w:rPr>
              <w:t>限</w:t>
            </w:r>
          </w:p>
        </w:tc>
        <w:tc>
          <w:tcPr>
            <w:tcW w:w="4960" w:type="dxa"/>
            <w:tcBorders>
              <w:top w:val="single" w:color="auto" w:sz="4" w:space="0"/>
              <w:left w:val="single" w:color="auto" w:sz="4" w:space="0"/>
              <w:right w:val="single" w:color="auto" w:sz="4" w:space="0"/>
            </w:tcBorders>
            <w:noWrap w:val="0"/>
            <w:vAlign w:val="center"/>
          </w:tcPr>
          <w:p w14:paraId="7F55B762">
            <w:pPr>
              <w:spacing w:line="360" w:lineRule="auto"/>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自签订合同之日起60日历天完成项目服务并提交成果</w:t>
            </w:r>
          </w:p>
        </w:tc>
      </w:tr>
      <w:tr w14:paraId="38B6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816" w:type="dxa"/>
            <w:vMerge w:val="continue"/>
            <w:tcBorders>
              <w:left w:val="single" w:color="auto" w:sz="4" w:space="0"/>
              <w:right w:val="single" w:color="auto" w:sz="4" w:space="0"/>
            </w:tcBorders>
            <w:noWrap w:val="0"/>
            <w:vAlign w:val="center"/>
          </w:tcPr>
          <w:p w14:paraId="02797EB2">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6D1D77D3">
            <w:pP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6B23CEAE">
            <w:pPr>
              <w:spacing w:line="72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63A4C9A3">
            <w:pPr>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符合现行国家规程、地方技术方案及相关标准的规定，质量要求达到合格，通过上级行政主管部门的评审及验收</w:t>
            </w:r>
          </w:p>
        </w:tc>
      </w:tr>
      <w:tr w14:paraId="2A9D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16" w:type="dxa"/>
            <w:vMerge w:val="continue"/>
            <w:tcBorders>
              <w:left w:val="single" w:color="auto" w:sz="4" w:space="0"/>
              <w:right w:val="single" w:color="auto" w:sz="4" w:space="0"/>
            </w:tcBorders>
            <w:noWrap w:val="0"/>
            <w:vAlign w:val="center"/>
          </w:tcPr>
          <w:p w14:paraId="2A8B08C0">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17ECDD35">
            <w:pP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4BE5E255">
            <w:pPr>
              <w:spacing w:line="72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磋商有效期</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05163317">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投标截止之日起60日历天</w:t>
            </w:r>
          </w:p>
        </w:tc>
      </w:tr>
      <w:tr w14:paraId="1041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exact"/>
          <w:jc w:val="center"/>
        </w:trPr>
        <w:tc>
          <w:tcPr>
            <w:tcW w:w="816" w:type="dxa"/>
            <w:vMerge w:val="continue"/>
            <w:tcBorders>
              <w:left w:val="single" w:color="auto" w:sz="4" w:space="0"/>
              <w:right w:val="single" w:color="auto" w:sz="4" w:space="0"/>
            </w:tcBorders>
            <w:noWrap w:val="0"/>
            <w:vAlign w:val="center"/>
          </w:tcPr>
          <w:p w14:paraId="307C7B55">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6FC576F4">
            <w:pP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60B7CD6A">
            <w:pPr>
              <w:spacing w:line="72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2324587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响应人磋商总报价不得高于采购人的预算价，否则其投标将予否决。</w:t>
            </w:r>
          </w:p>
        </w:tc>
      </w:tr>
      <w:tr w14:paraId="0902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jc w:val="center"/>
        </w:trPr>
        <w:tc>
          <w:tcPr>
            <w:tcW w:w="816" w:type="dxa"/>
            <w:vMerge w:val="restart"/>
            <w:tcBorders>
              <w:left w:val="single" w:color="auto" w:sz="4" w:space="0"/>
              <w:right w:val="single" w:color="auto" w:sz="4" w:space="0"/>
            </w:tcBorders>
            <w:noWrap w:val="0"/>
            <w:vAlign w:val="center"/>
          </w:tcPr>
          <w:p w14:paraId="079EC5C6">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2.1.3</w:t>
            </w:r>
          </w:p>
        </w:tc>
        <w:tc>
          <w:tcPr>
            <w:tcW w:w="1007" w:type="dxa"/>
            <w:vMerge w:val="restart"/>
            <w:tcBorders>
              <w:left w:val="single" w:color="auto" w:sz="4" w:space="0"/>
              <w:right w:val="single" w:color="auto" w:sz="4" w:space="0"/>
            </w:tcBorders>
            <w:noWrap w:val="0"/>
            <w:vAlign w:val="center"/>
          </w:tcPr>
          <w:p w14:paraId="7D9485B1">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符合性评审标准</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4D34324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供应商名称</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4986D3E3">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与营业执照一致</w:t>
            </w:r>
          </w:p>
        </w:tc>
      </w:tr>
      <w:tr w14:paraId="1AFE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816" w:type="dxa"/>
            <w:vMerge w:val="continue"/>
            <w:tcBorders>
              <w:left w:val="single" w:color="auto" w:sz="4" w:space="0"/>
              <w:right w:val="single" w:color="auto" w:sz="4" w:space="0"/>
            </w:tcBorders>
            <w:noWrap w:val="0"/>
            <w:vAlign w:val="center"/>
          </w:tcPr>
          <w:p w14:paraId="46796101">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623CD648">
            <w:pPr>
              <w:spacing w:line="360" w:lineRule="auto"/>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08B4F69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报价唯一</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0084AF1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只有一个有效报价</w:t>
            </w:r>
          </w:p>
        </w:tc>
      </w:tr>
      <w:tr w14:paraId="2F5D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816" w:type="dxa"/>
            <w:vMerge w:val="continue"/>
            <w:tcBorders>
              <w:left w:val="single" w:color="auto" w:sz="4" w:space="0"/>
              <w:right w:val="single" w:color="auto" w:sz="4" w:space="0"/>
            </w:tcBorders>
            <w:noWrap w:val="0"/>
            <w:vAlign w:val="center"/>
          </w:tcPr>
          <w:p w14:paraId="743F935E">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64194B89">
            <w:pPr>
              <w:spacing w:line="360" w:lineRule="auto"/>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748FDF79">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aps w:val="0"/>
                <w:color w:val="auto"/>
                <w:spacing w:val="0"/>
                <w:sz w:val="24"/>
                <w:szCs w:val="24"/>
                <w:highlight w:val="none"/>
              </w:rPr>
              <w:t>签字盖章</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190C4948">
            <w:pPr>
              <w:spacing w:line="360" w:lineRule="auto"/>
              <w:rPr>
                <w:rFonts w:hint="eastAsia" w:ascii="宋体" w:hAnsi="宋体" w:eastAsia="宋体" w:cs="宋体"/>
                <w:color w:val="auto"/>
                <w:sz w:val="24"/>
                <w:szCs w:val="24"/>
                <w:highlight w:val="none"/>
                <w:lang w:val="en-US" w:eastAsia="zh-CN"/>
              </w:rPr>
            </w:pPr>
            <w:r>
              <w:rPr>
                <w:rFonts w:hint="eastAsia" w:ascii="宋体" w:hAnsi="宋体" w:cs="宋体"/>
                <w:caps w:val="0"/>
                <w:color w:val="auto"/>
                <w:spacing w:val="0"/>
                <w:sz w:val="24"/>
                <w:szCs w:val="24"/>
                <w:highlight w:val="none"/>
              </w:rPr>
              <w:t>符合第二章“投标人须知”规定</w:t>
            </w:r>
          </w:p>
        </w:tc>
      </w:tr>
      <w:tr w14:paraId="662C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816" w:type="dxa"/>
            <w:vMerge w:val="continue"/>
            <w:tcBorders>
              <w:left w:val="single" w:color="auto" w:sz="4" w:space="0"/>
              <w:bottom w:val="single" w:color="auto" w:sz="4" w:space="0"/>
              <w:right w:val="single" w:color="auto" w:sz="4" w:space="0"/>
            </w:tcBorders>
            <w:noWrap w:val="0"/>
            <w:vAlign w:val="center"/>
          </w:tcPr>
          <w:p w14:paraId="4A851636">
            <w:pPr>
              <w:rPr>
                <w:rFonts w:hint="eastAsia" w:ascii="宋体" w:hAnsi="宋体" w:eastAsia="宋体" w:cs="宋体"/>
                <w:color w:val="auto"/>
                <w:sz w:val="24"/>
                <w:szCs w:val="24"/>
                <w:highlight w:val="none"/>
                <w:lang w:val="en-US"/>
              </w:rPr>
            </w:pPr>
          </w:p>
        </w:tc>
        <w:tc>
          <w:tcPr>
            <w:tcW w:w="1007" w:type="dxa"/>
            <w:vMerge w:val="continue"/>
            <w:tcBorders>
              <w:left w:val="single" w:color="auto" w:sz="4" w:space="0"/>
              <w:bottom w:val="single" w:color="auto" w:sz="4" w:space="0"/>
              <w:right w:val="single" w:color="auto" w:sz="4" w:space="0"/>
            </w:tcBorders>
            <w:noWrap w:val="0"/>
            <w:vAlign w:val="center"/>
          </w:tcPr>
          <w:p w14:paraId="736509CC">
            <w:pPr>
              <w:spacing w:line="360" w:lineRule="auto"/>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7F7AFA61">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投标文件格式</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768AE765">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符合“磋商文件格式”</w:t>
            </w:r>
          </w:p>
        </w:tc>
      </w:tr>
    </w:tbl>
    <w:p w14:paraId="35910F7B">
      <w:pPr>
        <w:widowControl/>
        <w:jc w:val="left"/>
        <w:outlineLvl w:val="9"/>
        <w:rPr>
          <w:rFonts w:hint="eastAsia" w:ascii="宋体" w:hAnsi="宋体" w:eastAsia="宋体" w:cs="宋体"/>
          <w:color w:val="auto"/>
          <w:highlight w:val="none"/>
        </w:rPr>
      </w:pPr>
    </w:p>
    <w:p w14:paraId="1E89646D">
      <w:pPr>
        <w:spacing w:line="600" w:lineRule="exact"/>
        <w:ind w:firstLine="482" w:firstLineChars="200"/>
        <w:outlineLvl w:val="1"/>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 磋商文件的评审、比较和否决</w:t>
      </w:r>
    </w:p>
    <w:p w14:paraId="6AB10650">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1.1</w:t>
      </w:r>
      <w:r>
        <w:rPr>
          <w:rFonts w:hint="eastAsia" w:ascii="宋体" w:hAnsi="宋体" w:eastAsia="宋体" w:cs="宋体"/>
          <w:color w:val="auto"/>
          <w:sz w:val="24"/>
          <w:szCs w:val="24"/>
          <w:highlight w:val="none"/>
        </w:rPr>
        <w:t>磋商小组将按照竞争性磋商文件的规定，仅对在实质上响应竞争性磋商文件要求的响应文件进行评估和比较。</w:t>
      </w:r>
    </w:p>
    <w:p w14:paraId="0979D52E">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1.2</w:t>
      </w:r>
      <w:r>
        <w:rPr>
          <w:rFonts w:hint="eastAsia" w:ascii="宋体" w:hAnsi="宋体" w:eastAsia="宋体" w:cs="宋体"/>
          <w:color w:val="auto"/>
          <w:sz w:val="24"/>
          <w:szCs w:val="24"/>
          <w:highlight w:val="none"/>
        </w:rPr>
        <w:t>根据相关法律法规及有关磋商文件规定，结合本项目具体情况，制定本次采购磋商办法。并按照“公平、公正、科学、择优”的原则进行磋商。采用百分制综合评估法进行评比。</w:t>
      </w:r>
    </w:p>
    <w:p w14:paraId="4D7B70DA">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1.3</w:t>
      </w:r>
      <w:r>
        <w:rPr>
          <w:rFonts w:hint="eastAsia" w:ascii="宋体" w:hAnsi="宋体" w:eastAsia="宋体" w:cs="宋体"/>
          <w:color w:val="auto"/>
          <w:sz w:val="24"/>
          <w:szCs w:val="24"/>
          <w:highlight w:val="none"/>
        </w:rPr>
        <w:t>在磋商过程中，磋商小组可以以书面形式要求磋商供应商就响应文件中含义不明确的内容进行书面说明并提供相关材料；</w:t>
      </w:r>
      <w:r>
        <w:rPr>
          <w:rFonts w:hint="eastAsia" w:ascii="宋体" w:hAnsi="宋体" w:eastAsia="宋体" w:cs="宋体"/>
          <w:color w:val="auto"/>
          <w:spacing w:val="-12"/>
          <w:sz w:val="24"/>
          <w:szCs w:val="24"/>
          <w:highlight w:val="none"/>
        </w:rPr>
        <w:t>凡遇到响应文件中无界定或界定不清、前后不一致使评委会成员</w:t>
      </w:r>
      <w:r>
        <w:rPr>
          <w:rFonts w:hint="eastAsia" w:ascii="宋体" w:hAnsi="宋体" w:eastAsia="宋体" w:cs="宋体"/>
          <w:color w:val="auto"/>
          <w:sz w:val="24"/>
          <w:szCs w:val="24"/>
          <w:highlight w:val="none"/>
        </w:rPr>
        <w:t>意见</w:t>
      </w:r>
      <w:r>
        <w:rPr>
          <w:rFonts w:hint="eastAsia" w:ascii="宋体" w:hAnsi="宋体" w:eastAsia="宋体" w:cs="宋体"/>
          <w:color w:val="auto"/>
          <w:spacing w:val="-12"/>
          <w:sz w:val="24"/>
          <w:szCs w:val="24"/>
          <w:highlight w:val="none"/>
        </w:rPr>
        <w:t>有分歧且又难于协商一致的问题，均由评委会予以表决，获半数以上同意的即为通过，未获半数同意的即为否决</w:t>
      </w:r>
      <w:r>
        <w:rPr>
          <w:rFonts w:hint="eastAsia" w:ascii="宋体" w:hAnsi="宋体" w:eastAsia="宋体" w:cs="宋体"/>
          <w:color w:val="auto"/>
          <w:sz w:val="24"/>
          <w:szCs w:val="24"/>
          <w:highlight w:val="none"/>
        </w:rPr>
        <w:t>。</w:t>
      </w:r>
    </w:p>
    <w:p w14:paraId="66F97BC8">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1.4</w:t>
      </w:r>
      <w:r>
        <w:rPr>
          <w:rFonts w:hint="eastAsia" w:ascii="宋体" w:hAnsi="宋体" w:eastAsia="宋体" w:cs="宋体"/>
          <w:color w:val="auto"/>
          <w:sz w:val="24"/>
          <w:szCs w:val="24"/>
          <w:highlight w:val="none"/>
        </w:rPr>
        <w:t>磋商时，磋商报价是磋商的重要依据，但不是唯一依据，采购人不承诺将合同授予报价最低或最高的磋商供应商。</w:t>
      </w:r>
    </w:p>
    <w:p w14:paraId="6D645DD7">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1.5</w:t>
      </w:r>
      <w:r>
        <w:rPr>
          <w:rFonts w:hint="eastAsia" w:ascii="宋体" w:hAnsi="宋体" w:eastAsia="宋体" w:cs="宋体"/>
          <w:color w:val="auto"/>
          <w:sz w:val="24"/>
          <w:szCs w:val="24"/>
          <w:highlight w:val="none"/>
        </w:rPr>
        <w:t>磋商小组依据竞争性磋商文件中规定的磋商标准和方法，对响应文件进行评审和比较，向采购人提出书面磋商报告，并推荐符合国家及行业相关规范和标准的成交候选人。采购人根据磋商小组提出的书面磋商报告和推荐的成交候选人按序确定成交人。</w:t>
      </w:r>
    </w:p>
    <w:p w14:paraId="3DD61C3D">
      <w:pPr>
        <w:spacing w:line="600" w:lineRule="exact"/>
        <w:ind w:firstLine="482" w:firstLineChars="200"/>
        <w:outlineLvl w:val="1"/>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2. 磋商程序</w:t>
      </w:r>
    </w:p>
    <w:p w14:paraId="44F6BC19">
      <w:pPr>
        <w:spacing w:line="600" w:lineRule="exact"/>
        <w:ind w:firstLine="480" w:firstLineChars="200"/>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资格审查</w:t>
      </w:r>
    </w:p>
    <w:p w14:paraId="212413B7">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本项目采用资格后审</w:t>
      </w:r>
    </w:p>
    <w:p w14:paraId="6B470708">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磋商小组按照竞争性磋商文件供应商资格要求，对磋商供应商的响应文件进行</w:t>
      </w:r>
      <w:r>
        <w:rPr>
          <w:rFonts w:hint="eastAsia" w:ascii="宋体" w:hAnsi="宋体" w:eastAsia="宋体" w:cs="宋体"/>
          <w:color w:val="auto"/>
          <w:sz w:val="24"/>
          <w:szCs w:val="24"/>
          <w:highlight w:val="none"/>
          <w:lang w:val="en-US" w:eastAsia="zh-CN"/>
        </w:rPr>
        <w:t>符合性、资格性、实质性响应评审</w:t>
      </w:r>
      <w:r>
        <w:rPr>
          <w:rFonts w:hint="eastAsia" w:ascii="宋体" w:hAnsi="宋体" w:eastAsia="宋体" w:cs="宋体"/>
          <w:color w:val="auto"/>
          <w:sz w:val="24"/>
          <w:szCs w:val="24"/>
          <w:highlight w:val="none"/>
        </w:rPr>
        <w:t>，有一项不符合的，按废标处理，符合的进入下一磋商程序。</w:t>
      </w:r>
    </w:p>
    <w:p w14:paraId="43583C45">
      <w:pPr>
        <w:spacing w:line="600" w:lineRule="exact"/>
        <w:ind w:firstLine="482" w:firstLineChars="200"/>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3.磋商具体方法和标准</w:t>
      </w:r>
    </w:p>
    <w:p w14:paraId="6A45ADBA">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磋商小组根据磋商原则和办法对所有响应文件进行集中审核，分别评价。</w:t>
      </w:r>
    </w:p>
    <w:tbl>
      <w:tblPr>
        <w:tblStyle w:val="17"/>
        <w:tblW w:w="9633" w:type="dxa"/>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6"/>
        <w:gridCol w:w="2554"/>
        <w:gridCol w:w="5573"/>
      </w:tblGrid>
      <w:tr w14:paraId="5F0EC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1506" w:type="dxa"/>
            <w:noWrap w:val="0"/>
            <w:vAlign w:val="center"/>
          </w:tcPr>
          <w:p w14:paraId="64B6E666">
            <w:pPr>
              <w:tabs>
                <w:tab w:val="left" w:pos="720"/>
              </w:tabs>
              <w:spacing w:line="48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w:t>
            </w:r>
          </w:p>
          <w:p w14:paraId="5C3890C5">
            <w:pPr>
              <w:tabs>
                <w:tab w:val="left" w:pos="720"/>
              </w:tabs>
              <w:spacing w:line="480" w:lineRule="exact"/>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lang w:val="en-US" w:eastAsia="zh-CN"/>
              </w:rPr>
              <w:t>20</w:t>
            </w:r>
            <w:r>
              <w:rPr>
                <w:rFonts w:hint="eastAsia" w:ascii="宋体" w:hAnsi="宋体" w:eastAsia="宋体" w:cs="宋体"/>
                <w:b/>
                <w:color w:val="auto"/>
                <w:sz w:val="24"/>
                <w:highlight w:val="none"/>
              </w:rPr>
              <w:t>分</w:t>
            </w:r>
            <w:r>
              <w:rPr>
                <w:rFonts w:hint="eastAsia" w:ascii="宋体" w:hAnsi="宋体" w:eastAsia="宋体" w:cs="宋体"/>
                <w:b/>
                <w:color w:val="auto"/>
                <w:sz w:val="24"/>
                <w:highlight w:val="none"/>
                <w:lang w:eastAsia="zh-CN"/>
              </w:rPr>
              <w:t>）</w:t>
            </w:r>
          </w:p>
        </w:tc>
        <w:tc>
          <w:tcPr>
            <w:tcW w:w="8127" w:type="dxa"/>
            <w:gridSpan w:val="2"/>
            <w:noWrap w:val="0"/>
            <w:vAlign w:val="center"/>
          </w:tcPr>
          <w:p w14:paraId="642337B6">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1、本项目进行</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轮报价，第二轮磋商报价为供应商的最终报价。若供应商最终报价超过控制价，按无效响应文件处理。</w:t>
            </w:r>
          </w:p>
          <w:p w14:paraId="0825B064">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注：投标报价得分四舍五入至小数点后两位。</w:t>
            </w:r>
          </w:p>
          <w:p w14:paraId="42FA6489">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2、价格分采用低价优先法计算，即通过资格性和符合性审查且投标价格最低的投标报价为评标基准价，其价格得分为满分</w:t>
            </w: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highlight w:val="none"/>
              </w:rPr>
              <w:t>分。</w:t>
            </w:r>
          </w:p>
          <w:p w14:paraId="0E07F67D">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3、其他投标供应商的价格分统一按照下列公式计算：</w:t>
            </w:r>
          </w:p>
          <w:p w14:paraId="4A2CDB63">
            <w:pPr>
              <w:tabs>
                <w:tab w:val="left" w:pos="720"/>
              </w:tabs>
              <w:spacing w:line="48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投标报价得分=(评标基准价／投标报价)×</w:t>
            </w:r>
            <w:r>
              <w:rPr>
                <w:rFonts w:hint="eastAsia" w:ascii="宋体" w:hAnsi="宋体" w:eastAsia="宋体" w:cs="宋体"/>
                <w:color w:val="auto"/>
                <w:sz w:val="24"/>
                <w:highlight w:val="none"/>
                <w:lang w:val="en-US" w:eastAsia="zh-CN"/>
              </w:rPr>
              <w:t>20</w:t>
            </w:r>
          </w:p>
          <w:p w14:paraId="3FA2FDC4">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注：价格分计算保留小数点后二位。（磋商小组认为供应商的报价明显低于其他通过审查供应商的报价，有可能影响服务质量或者不能诚信履约的，应当要求其在开标现场合理的时间内提供书面说明，必要时提交相关证明材料；供应商不能证明其报价合理性的，</w:t>
            </w:r>
            <w:r>
              <w:rPr>
                <w:rFonts w:hint="eastAsia" w:ascii="宋体" w:hAnsi="宋体" w:cs="宋体"/>
                <w:color w:val="auto"/>
                <w:sz w:val="24"/>
                <w:highlight w:val="none"/>
                <w:lang w:eastAsia="zh-CN"/>
              </w:rPr>
              <w:t>磋商小组</w:t>
            </w:r>
            <w:r>
              <w:rPr>
                <w:rFonts w:hint="eastAsia" w:ascii="宋体" w:hAnsi="宋体" w:eastAsia="宋体" w:cs="宋体"/>
                <w:color w:val="auto"/>
                <w:sz w:val="24"/>
                <w:highlight w:val="none"/>
              </w:rPr>
              <w:t>应当将其作为无效响应处理。）</w:t>
            </w:r>
          </w:p>
          <w:p w14:paraId="50F3ECD3">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kern w:val="0"/>
                <w:sz w:val="24"/>
                <w:szCs w:val="24"/>
                <w:highlight w:val="none"/>
              </w:rPr>
              <w:t>中型企业</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小微企业需完整填写中小企业声明函。</w:t>
            </w:r>
          </w:p>
          <w:p w14:paraId="11503CA3">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根据财政部司法部《关于政府采购支持监狱企业发展有关问题的通知》（财库〔2014〕68号）规定及《关于进一步加大政府采购支持中小企业发展有关事项的通知》（灵财[2022]97号）通知，对于监狱企业单位视同为小型、微型企业。监狱企业，应当提供由省级以上监狱管理局、戒毒管理局（含新疆生产建设兵团）出具的属于监狱企业的证明文件。</w:t>
            </w:r>
          </w:p>
          <w:p w14:paraId="2AF239FF">
            <w:pPr>
              <w:pageBreakBefore w:val="0"/>
              <w:kinsoku/>
              <w:wordWrap/>
              <w:overflowPunct/>
              <w:topLinePunct w:val="0"/>
              <w:bidi w:val="0"/>
              <w:spacing w:beforeAutospacing="0"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根据财政部民政部中国残疾人联合会《关于促进残疾人就业政府采购政策的通知》（财库〔2017〕141号）规定，对于残疾人福利性单位视同为小型、微型企业</w:t>
            </w:r>
            <w:r>
              <w:rPr>
                <w:rFonts w:hint="eastAsia" w:ascii="宋体" w:hAnsi="宋体" w:eastAsia="宋体" w:cs="宋体"/>
                <w:color w:val="auto"/>
                <w:kern w:val="0"/>
                <w:sz w:val="24"/>
                <w:szCs w:val="24"/>
                <w:highlight w:val="none"/>
                <w:lang w:val="en-US" w:eastAsia="zh-CN"/>
              </w:rPr>
              <w:t>。</w:t>
            </w:r>
          </w:p>
        </w:tc>
      </w:tr>
      <w:tr w14:paraId="3264B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3" w:hRule="exact"/>
        </w:trPr>
        <w:tc>
          <w:tcPr>
            <w:tcW w:w="1506" w:type="dxa"/>
            <w:vMerge w:val="restart"/>
            <w:noWrap w:val="0"/>
            <w:vAlign w:val="center"/>
          </w:tcPr>
          <w:p w14:paraId="295A3E8C">
            <w:pPr>
              <w:tabs>
                <w:tab w:val="left" w:pos="720"/>
              </w:tabs>
              <w:spacing w:line="480" w:lineRule="exact"/>
              <w:jc w:val="center"/>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技术部分</w:t>
            </w:r>
          </w:p>
          <w:p w14:paraId="312A3353">
            <w:pPr>
              <w:tabs>
                <w:tab w:val="left" w:pos="720"/>
              </w:tabs>
              <w:spacing w:line="480" w:lineRule="exact"/>
              <w:jc w:val="center"/>
              <w:rPr>
                <w:rFonts w:hint="default" w:ascii="宋体" w:hAnsi="宋体" w:eastAsia="宋体" w:cs="宋体"/>
                <w:color w:val="auto"/>
                <w:sz w:val="24"/>
                <w:highlight w:val="none"/>
                <w:lang w:val="en-US" w:eastAsia="zh-CN"/>
              </w:rPr>
            </w:pPr>
            <w:r>
              <w:rPr>
                <w:rFonts w:hint="eastAsia" w:ascii="宋体" w:hAnsi="宋体" w:eastAsia="宋体" w:cs="宋体"/>
                <w:b/>
                <w:color w:val="auto"/>
                <w:sz w:val="24"/>
                <w:highlight w:val="none"/>
                <w:lang w:val="en-US" w:eastAsia="zh-CN"/>
              </w:rPr>
              <w:t>（</w:t>
            </w:r>
            <w:r>
              <w:rPr>
                <w:rFonts w:hint="eastAsia" w:ascii="宋体" w:hAnsi="宋体" w:cs="宋体"/>
                <w:b/>
                <w:color w:val="auto"/>
                <w:sz w:val="24"/>
                <w:highlight w:val="none"/>
                <w:lang w:val="en-US" w:eastAsia="zh-CN"/>
              </w:rPr>
              <w:t>50</w:t>
            </w:r>
            <w:r>
              <w:rPr>
                <w:rFonts w:hint="eastAsia" w:ascii="宋体" w:hAnsi="宋体" w:eastAsia="宋体" w:cs="宋体"/>
                <w:b/>
                <w:color w:val="auto"/>
                <w:sz w:val="24"/>
                <w:highlight w:val="none"/>
                <w:lang w:val="en-US" w:eastAsia="zh-CN"/>
              </w:rPr>
              <w:t>分）</w:t>
            </w:r>
          </w:p>
        </w:tc>
        <w:tc>
          <w:tcPr>
            <w:tcW w:w="2554" w:type="dxa"/>
            <w:tcBorders>
              <w:right w:val="single" w:color="auto" w:sz="4" w:space="0"/>
            </w:tcBorders>
            <w:noWrap w:val="0"/>
            <w:vAlign w:val="center"/>
          </w:tcPr>
          <w:p w14:paraId="57C064D4">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对招标项目的理解（</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分）</w:t>
            </w:r>
          </w:p>
        </w:tc>
        <w:tc>
          <w:tcPr>
            <w:tcW w:w="5573" w:type="dxa"/>
            <w:tcBorders>
              <w:left w:val="single" w:color="auto" w:sz="4" w:space="0"/>
            </w:tcBorders>
            <w:noWrap w:val="0"/>
            <w:vAlign w:val="center"/>
          </w:tcPr>
          <w:p w14:paraId="10D3F7FC">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1.对项目建设条件等内容理解准确、全面、透彻，有独到见解的得</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分；</w:t>
            </w:r>
          </w:p>
          <w:p w14:paraId="5D578920">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2.对项目建设条件等内容有一定了解，但理解不全面，得</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p w14:paraId="26C52B2E">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3.未完全了解建设条件，与采购人的需求有较大偏差，得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p w14:paraId="522A21D3">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注：未提供或不符合最低入档条件的计0分处理。</w:t>
            </w:r>
          </w:p>
        </w:tc>
      </w:tr>
      <w:tr w14:paraId="123E2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8" w:hRule="exact"/>
        </w:trPr>
        <w:tc>
          <w:tcPr>
            <w:tcW w:w="1506" w:type="dxa"/>
            <w:vMerge w:val="continue"/>
            <w:noWrap w:val="0"/>
            <w:vAlign w:val="center"/>
          </w:tcPr>
          <w:p w14:paraId="56833EB2">
            <w:pPr>
              <w:tabs>
                <w:tab w:val="left" w:pos="720"/>
              </w:tabs>
              <w:spacing w:line="480" w:lineRule="exact"/>
              <w:jc w:val="center"/>
              <w:rPr>
                <w:rFonts w:hint="eastAsia" w:ascii="宋体" w:hAnsi="宋体" w:eastAsia="宋体" w:cs="宋体"/>
                <w:color w:val="auto"/>
                <w:sz w:val="24"/>
                <w:highlight w:val="none"/>
              </w:rPr>
            </w:pPr>
          </w:p>
        </w:tc>
        <w:tc>
          <w:tcPr>
            <w:tcW w:w="2554" w:type="dxa"/>
            <w:tcBorders>
              <w:right w:val="single" w:color="auto" w:sz="4" w:space="0"/>
            </w:tcBorders>
            <w:noWrap w:val="0"/>
            <w:vAlign w:val="center"/>
          </w:tcPr>
          <w:p w14:paraId="476018DD">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规划内容完整性（</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分）</w:t>
            </w:r>
          </w:p>
        </w:tc>
        <w:tc>
          <w:tcPr>
            <w:tcW w:w="5573" w:type="dxa"/>
            <w:tcBorders>
              <w:left w:val="single" w:color="auto" w:sz="4" w:space="0"/>
            </w:tcBorders>
            <w:noWrap w:val="0"/>
            <w:vAlign w:val="center"/>
          </w:tcPr>
          <w:p w14:paraId="2D6B1167">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现状分析、保护目标与任务分解、保护措施等内容目标明确，思路清晰，提纲完整、合理、有序的，完全满足采购人的需求，得</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分；</w:t>
            </w:r>
          </w:p>
          <w:p w14:paraId="246426C6">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目标明确，思路清晰，提纲较完整，符合采购人的需求，得</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p w14:paraId="531B1288">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目标明确，思路一般，提纲常规通用，与采购人的需求有偏差，得3分。</w:t>
            </w:r>
          </w:p>
          <w:p w14:paraId="683DA5ED">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注：未提供或不符合最低入档条件的计0分处理。</w:t>
            </w:r>
          </w:p>
        </w:tc>
      </w:tr>
      <w:tr w14:paraId="6683B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4" w:hRule="exact"/>
        </w:trPr>
        <w:tc>
          <w:tcPr>
            <w:tcW w:w="1506" w:type="dxa"/>
            <w:vMerge w:val="continue"/>
            <w:noWrap w:val="0"/>
            <w:vAlign w:val="center"/>
          </w:tcPr>
          <w:p w14:paraId="2CC9D47A">
            <w:pPr>
              <w:tabs>
                <w:tab w:val="left" w:pos="720"/>
              </w:tabs>
              <w:spacing w:line="480" w:lineRule="exact"/>
              <w:jc w:val="center"/>
              <w:rPr>
                <w:rFonts w:hint="eastAsia" w:ascii="宋体" w:hAnsi="宋体" w:eastAsia="宋体" w:cs="宋体"/>
                <w:color w:val="auto"/>
                <w:sz w:val="24"/>
                <w:highlight w:val="none"/>
              </w:rPr>
            </w:pPr>
          </w:p>
        </w:tc>
        <w:tc>
          <w:tcPr>
            <w:tcW w:w="2554" w:type="dxa"/>
            <w:tcBorders>
              <w:right w:val="single" w:color="auto" w:sz="4" w:space="0"/>
            </w:tcBorders>
            <w:noWrap w:val="0"/>
            <w:vAlign w:val="center"/>
          </w:tcPr>
          <w:p w14:paraId="4318CD2C">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规划项目的重难点分析及对策（</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w:t>
            </w:r>
          </w:p>
        </w:tc>
        <w:tc>
          <w:tcPr>
            <w:tcW w:w="5573" w:type="dxa"/>
            <w:tcBorders>
              <w:left w:val="single" w:color="auto" w:sz="4" w:space="0"/>
            </w:tcBorders>
            <w:noWrap w:val="0"/>
            <w:vAlign w:val="center"/>
          </w:tcPr>
          <w:p w14:paraId="792E75BE">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1、对项目的重难点分析准确且对策方案设计全面，逻辑框架清晰，完全满足采购人的需求，得</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w:t>
            </w:r>
          </w:p>
          <w:p w14:paraId="6B1C4958">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2、对项目的重难点分析准确且对策方案设计完整，有逻辑，符合采购人的需求，得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p w14:paraId="5BA6981A">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3、对项目的重难点分析准确且对策方案设计不全，与采购人的需求有偏差，得3分。</w:t>
            </w:r>
          </w:p>
          <w:p w14:paraId="0E3AF5D4">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注：未提供或不符合最低入档条件的计0分处理。</w:t>
            </w:r>
          </w:p>
        </w:tc>
      </w:tr>
      <w:tr w14:paraId="2E321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3" w:hRule="exact"/>
        </w:trPr>
        <w:tc>
          <w:tcPr>
            <w:tcW w:w="1506" w:type="dxa"/>
            <w:vMerge w:val="continue"/>
            <w:noWrap w:val="0"/>
            <w:vAlign w:val="center"/>
          </w:tcPr>
          <w:p w14:paraId="21B91AE1">
            <w:pPr>
              <w:tabs>
                <w:tab w:val="left" w:pos="720"/>
              </w:tabs>
              <w:spacing w:line="480" w:lineRule="exact"/>
              <w:jc w:val="center"/>
              <w:rPr>
                <w:rFonts w:hint="eastAsia" w:ascii="宋体" w:hAnsi="宋体" w:eastAsia="宋体" w:cs="宋体"/>
                <w:color w:val="auto"/>
                <w:sz w:val="24"/>
                <w:highlight w:val="none"/>
              </w:rPr>
            </w:pPr>
          </w:p>
        </w:tc>
        <w:tc>
          <w:tcPr>
            <w:tcW w:w="2554" w:type="dxa"/>
            <w:tcBorders>
              <w:right w:val="single" w:color="auto" w:sz="4" w:space="0"/>
            </w:tcBorders>
            <w:noWrap w:val="0"/>
            <w:vAlign w:val="center"/>
          </w:tcPr>
          <w:p w14:paraId="1CA7E750">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确保工期的技术组织措施和保证措施（</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w:t>
            </w:r>
          </w:p>
        </w:tc>
        <w:tc>
          <w:tcPr>
            <w:tcW w:w="5573" w:type="dxa"/>
            <w:tcBorders>
              <w:left w:val="single" w:color="auto" w:sz="4" w:space="0"/>
            </w:tcBorders>
            <w:noWrap w:val="0"/>
            <w:vAlign w:val="center"/>
          </w:tcPr>
          <w:p w14:paraId="4BDE6D5A">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1、优秀标准：供应商进度计划编制详实，关键节点控制措施得力、可操作性强，保证措施可靠，得</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w:t>
            </w:r>
          </w:p>
          <w:p w14:paraId="714BB615">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2、良好标准：供应商进度计划编制比较详实，关键节点控制措施比较得力、可操作性比较强，保证措施比较可靠，得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p w14:paraId="4277CD32">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3、一般标准：供应商进度计划编制简略，关键节点控制措施基本得力、具有可操作，保证措施基本可靠，得3分；</w:t>
            </w:r>
          </w:p>
          <w:p w14:paraId="7A84CD40">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注：未提供进度控制或不符合最低入档条件的计0分处理。</w:t>
            </w:r>
          </w:p>
        </w:tc>
      </w:tr>
      <w:tr w14:paraId="7EE37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8" w:hRule="exact"/>
        </w:trPr>
        <w:tc>
          <w:tcPr>
            <w:tcW w:w="1506" w:type="dxa"/>
            <w:vMerge w:val="continue"/>
            <w:noWrap w:val="0"/>
            <w:vAlign w:val="center"/>
          </w:tcPr>
          <w:p w14:paraId="7D89EC1B">
            <w:pPr>
              <w:tabs>
                <w:tab w:val="left" w:pos="720"/>
              </w:tabs>
              <w:spacing w:line="480" w:lineRule="exact"/>
              <w:jc w:val="center"/>
              <w:rPr>
                <w:rFonts w:hint="eastAsia" w:ascii="宋体" w:hAnsi="宋体" w:eastAsia="宋体" w:cs="宋体"/>
                <w:color w:val="auto"/>
                <w:sz w:val="24"/>
                <w:highlight w:val="none"/>
              </w:rPr>
            </w:pPr>
          </w:p>
        </w:tc>
        <w:tc>
          <w:tcPr>
            <w:tcW w:w="2554" w:type="dxa"/>
            <w:tcBorders>
              <w:right w:val="single" w:color="auto" w:sz="4" w:space="0"/>
            </w:tcBorders>
            <w:noWrap w:val="0"/>
            <w:vAlign w:val="center"/>
          </w:tcPr>
          <w:p w14:paraId="77A37BD6">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保证措施（</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w:t>
            </w:r>
          </w:p>
        </w:tc>
        <w:tc>
          <w:tcPr>
            <w:tcW w:w="5573" w:type="dxa"/>
            <w:tcBorders>
              <w:left w:val="single" w:color="auto" w:sz="4" w:space="0"/>
            </w:tcBorders>
            <w:noWrap w:val="0"/>
            <w:vAlign w:val="center"/>
          </w:tcPr>
          <w:p w14:paraId="3C76F162">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质量保证措施、安全保证措施按照其内容详细度、针对性、实用性进行评分。</w:t>
            </w:r>
          </w:p>
          <w:p w14:paraId="3C7CC093">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1、方案详细、针对性强、周到、实用性强的得</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w:t>
            </w:r>
          </w:p>
          <w:p w14:paraId="21A243A1">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2、方案详细、针对性强、实用性强，考虑不够周到的得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p w14:paraId="01BFB3AF">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3、方案简略、针对性、实用性一般，得3分；</w:t>
            </w:r>
          </w:p>
          <w:p w14:paraId="07BDF8D3">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未提供或不符合最低入档条件的计0分处理。</w:t>
            </w:r>
          </w:p>
        </w:tc>
      </w:tr>
      <w:tr w14:paraId="3B3D1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9" w:hRule="exact"/>
        </w:trPr>
        <w:tc>
          <w:tcPr>
            <w:tcW w:w="1506" w:type="dxa"/>
            <w:vMerge w:val="continue"/>
            <w:noWrap w:val="0"/>
            <w:vAlign w:val="center"/>
          </w:tcPr>
          <w:p w14:paraId="1BDC7DBB">
            <w:pPr>
              <w:tabs>
                <w:tab w:val="left" w:pos="720"/>
              </w:tabs>
              <w:spacing w:line="480" w:lineRule="exact"/>
              <w:jc w:val="center"/>
              <w:rPr>
                <w:rFonts w:hint="eastAsia" w:ascii="宋体" w:hAnsi="宋体" w:eastAsia="宋体" w:cs="宋体"/>
                <w:color w:val="auto"/>
                <w:sz w:val="24"/>
                <w:highlight w:val="none"/>
              </w:rPr>
            </w:pPr>
          </w:p>
        </w:tc>
        <w:tc>
          <w:tcPr>
            <w:tcW w:w="2554" w:type="dxa"/>
            <w:tcBorders>
              <w:right w:val="single" w:color="auto" w:sz="4" w:space="0"/>
            </w:tcBorders>
            <w:noWrap w:val="0"/>
            <w:vAlign w:val="center"/>
          </w:tcPr>
          <w:p w14:paraId="6F4D7A34">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合理化建议（</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w:t>
            </w:r>
          </w:p>
        </w:tc>
        <w:tc>
          <w:tcPr>
            <w:tcW w:w="5573" w:type="dxa"/>
            <w:tcBorders>
              <w:left w:val="single" w:color="auto" w:sz="4" w:space="0"/>
            </w:tcBorders>
            <w:noWrap w:val="0"/>
            <w:vAlign w:val="center"/>
          </w:tcPr>
          <w:p w14:paraId="2755F82A">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供应商针对该项目提合理化建议，建议内容全面、合理可行得</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分，建议较合理得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分，建议一般得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分，未提供不得分。</w:t>
            </w:r>
          </w:p>
        </w:tc>
      </w:tr>
      <w:tr w14:paraId="6E1FB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5" w:hRule="exact"/>
        </w:trPr>
        <w:tc>
          <w:tcPr>
            <w:tcW w:w="1506" w:type="dxa"/>
            <w:vMerge w:val="restart"/>
            <w:tcBorders>
              <w:right w:val="single" w:color="auto" w:sz="4" w:space="0"/>
            </w:tcBorders>
            <w:noWrap w:val="0"/>
            <w:vAlign w:val="center"/>
          </w:tcPr>
          <w:p w14:paraId="2446FD0D">
            <w:pPr>
              <w:spacing w:before="39" w:line="480" w:lineRule="exact"/>
              <w:ind w:left="105" w:leftChars="50" w:right="105" w:rightChars="5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商务标</w:t>
            </w:r>
          </w:p>
          <w:p w14:paraId="6AB735F7">
            <w:pPr>
              <w:autoSpaceDE w:val="0"/>
              <w:autoSpaceDN w:val="0"/>
              <w:spacing w:before="154" w:line="480" w:lineRule="exact"/>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lang w:eastAsia="zh-CN"/>
              </w:rPr>
              <w:t>（</w:t>
            </w:r>
            <w:r>
              <w:rPr>
                <w:rFonts w:hint="eastAsia" w:ascii="宋体" w:hAnsi="宋体" w:cs="宋体"/>
                <w:b/>
                <w:color w:val="auto"/>
                <w:kern w:val="0"/>
                <w:sz w:val="24"/>
                <w:highlight w:val="none"/>
                <w:lang w:val="en-US" w:eastAsia="zh-CN"/>
              </w:rPr>
              <w:t>30</w:t>
            </w:r>
            <w:r>
              <w:rPr>
                <w:rFonts w:hint="eastAsia" w:ascii="宋体" w:hAnsi="宋体" w:eastAsia="宋体" w:cs="宋体"/>
                <w:b/>
                <w:color w:val="auto"/>
                <w:kern w:val="0"/>
                <w:sz w:val="24"/>
                <w:highlight w:val="none"/>
              </w:rPr>
              <w:t>分</w:t>
            </w:r>
            <w:r>
              <w:rPr>
                <w:rFonts w:hint="eastAsia" w:ascii="宋体" w:hAnsi="宋体" w:eastAsia="宋体" w:cs="宋体"/>
                <w:b/>
                <w:color w:val="auto"/>
                <w:kern w:val="0"/>
                <w:sz w:val="24"/>
                <w:highlight w:val="none"/>
                <w:lang w:eastAsia="zh-CN"/>
              </w:rPr>
              <w:t>）</w:t>
            </w:r>
          </w:p>
        </w:tc>
        <w:tc>
          <w:tcPr>
            <w:tcW w:w="2554" w:type="dxa"/>
            <w:tcBorders>
              <w:left w:val="single" w:color="auto" w:sz="4" w:space="0"/>
            </w:tcBorders>
            <w:noWrap w:val="0"/>
            <w:vAlign w:val="center"/>
          </w:tcPr>
          <w:p w14:paraId="05DEB0C3">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企业业绩</w:t>
            </w:r>
          </w:p>
          <w:p w14:paraId="30C8B39F">
            <w:pPr>
              <w:autoSpaceDE w:val="0"/>
              <w:autoSpaceDN w:val="0"/>
              <w:jc w:val="center"/>
              <w:rPr>
                <w:rFonts w:hint="eastAsia" w:ascii="宋体" w:hAnsi="宋体" w:eastAsia="宋体" w:cs="宋体"/>
                <w:color w:val="auto"/>
                <w:sz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分）</w:t>
            </w:r>
          </w:p>
        </w:tc>
        <w:tc>
          <w:tcPr>
            <w:tcW w:w="5573" w:type="dxa"/>
            <w:noWrap w:val="0"/>
            <w:vAlign w:val="center"/>
          </w:tcPr>
          <w:p w14:paraId="1C66A33C">
            <w:pPr>
              <w:pStyle w:val="2"/>
              <w:spacing w:line="360" w:lineRule="auto"/>
              <w:rPr>
                <w:rFonts w:hint="eastAsia"/>
                <w:color w:val="auto"/>
                <w:highlight w:val="none"/>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须提供自202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年1月1日以来（以合同签订日期为准）的类似项目业绩</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每项得</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分，最多得</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分），在</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文件中附合同原件扫描件</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中标通知书原件扫描件，否则不得分</w:t>
            </w:r>
            <w:r>
              <w:rPr>
                <w:rFonts w:hint="eastAsia" w:ascii="宋体" w:hAnsi="宋体" w:eastAsia="宋体" w:cs="宋体"/>
                <w:color w:val="auto"/>
                <w:sz w:val="24"/>
                <w:szCs w:val="24"/>
                <w:highlight w:val="none"/>
                <w:lang w:eastAsia="zh-CN"/>
              </w:rPr>
              <w:t>。</w:t>
            </w:r>
          </w:p>
        </w:tc>
      </w:tr>
      <w:tr w14:paraId="41E66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7" w:hRule="exact"/>
        </w:trPr>
        <w:tc>
          <w:tcPr>
            <w:tcW w:w="1506" w:type="dxa"/>
            <w:vMerge w:val="continue"/>
            <w:tcBorders>
              <w:right w:val="single" w:color="auto" w:sz="4" w:space="0"/>
            </w:tcBorders>
            <w:noWrap w:val="0"/>
            <w:vAlign w:val="center"/>
          </w:tcPr>
          <w:p w14:paraId="241E3773">
            <w:pPr>
              <w:autoSpaceDE w:val="0"/>
              <w:autoSpaceDN w:val="0"/>
              <w:spacing w:before="154" w:line="480" w:lineRule="exact"/>
              <w:jc w:val="center"/>
              <w:rPr>
                <w:rFonts w:hint="eastAsia" w:ascii="宋体" w:hAnsi="宋体" w:eastAsia="宋体" w:cs="宋体"/>
                <w:b/>
                <w:color w:val="auto"/>
                <w:kern w:val="0"/>
                <w:sz w:val="24"/>
                <w:highlight w:val="none"/>
                <w:lang w:eastAsia="zh-CN"/>
              </w:rPr>
            </w:pPr>
          </w:p>
        </w:tc>
        <w:tc>
          <w:tcPr>
            <w:tcW w:w="2554" w:type="dxa"/>
            <w:tcBorders>
              <w:left w:val="single" w:color="auto" w:sz="4" w:space="0"/>
            </w:tcBorders>
            <w:noWrap w:val="0"/>
            <w:vAlign w:val="center"/>
          </w:tcPr>
          <w:p w14:paraId="54AE6EFF">
            <w:pPr>
              <w:autoSpaceDE w:val="0"/>
              <w:autoSpaceDN w:val="0"/>
              <w:jc w:val="center"/>
              <w:rPr>
                <w:rFonts w:hint="eastAsia" w:ascii="宋体" w:hAnsi="宋体" w:eastAsia="宋体" w:cs="宋体"/>
                <w:color w:val="auto"/>
                <w:sz w:val="24"/>
                <w:highlight w:val="yellow"/>
              </w:rPr>
            </w:pPr>
            <w:r>
              <w:rPr>
                <w:rFonts w:hint="eastAsia" w:ascii="宋体" w:hAnsi="宋体" w:cs="宋体"/>
                <w:color w:val="auto"/>
                <w:sz w:val="24"/>
                <w:szCs w:val="24"/>
                <w:highlight w:val="yellow"/>
              </w:rPr>
              <w:t>人员配备（</w:t>
            </w:r>
            <w:r>
              <w:rPr>
                <w:rFonts w:hint="eastAsia" w:ascii="宋体" w:hAnsi="宋体" w:cs="宋体"/>
                <w:color w:val="auto"/>
                <w:sz w:val="24"/>
                <w:szCs w:val="24"/>
                <w:highlight w:val="yellow"/>
                <w:lang w:val="en-US" w:eastAsia="zh-CN"/>
              </w:rPr>
              <w:t>12</w:t>
            </w:r>
            <w:r>
              <w:rPr>
                <w:rFonts w:hint="eastAsia" w:ascii="宋体" w:hAnsi="宋体" w:cs="宋体"/>
                <w:color w:val="auto"/>
                <w:sz w:val="24"/>
                <w:szCs w:val="24"/>
                <w:highlight w:val="yellow"/>
              </w:rPr>
              <w:t>分）</w:t>
            </w:r>
          </w:p>
        </w:tc>
        <w:tc>
          <w:tcPr>
            <w:tcW w:w="5573" w:type="dxa"/>
            <w:noWrap w:val="0"/>
            <w:vAlign w:val="center"/>
          </w:tcPr>
          <w:p w14:paraId="5AA4DB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highlight w:val="yellow"/>
                <w:lang w:val="en-US"/>
              </w:rPr>
            </w:pPr>
            <w:r>
              <w:rPr>
                <w:rFonts w:hint="eastAsia" w:ascii="宋体" w:hAnsi="宋体" w:cs="宋体"/>
                <w:color w:val="auto"/>
                <w:sz w:val="24"/>
                <w:highlight w:val="yellow"/>
                <w:lang w:val="en-US" w:eastAsia="zh-CN"/>
              </w:rPr>
              <w:t>1</w:t>
            </w:r>
            <w:r>
              <w:rPr>
                <w:rFonts w:hint="eastAsia" w:ascii="宋体" w:hAnsi="宋体" w:eastAsia="宋体" w:cs="宋体"/>
                <w:color w:val="auto"/>
                <w:sz w:val="24"/>
                <w:highlight w:val="yellow"/>
                <w:lang w:val="en-US"/>
              </w:rPr>
              <w:t>.项目管理团队专业配备齐全，具有土地资源管理或测绘或建设规划或档案管理专业高级</w:t>
            </w:r>
            <w:r>
              <w:rPr>
                <w:rFonts w:hint="eastAsia" w:ascii="宋体" w:hAnsi="宋体" w:cs="宋体"/>
                <w:color w:val="auto"/>
                <w:sz w:val="24"/>
                <w:highlight w:val="yellow"/>
                <w:lang w:val="en-US" w:eastAsia="zh-CN"/>
              </w:rPr>
              <w:t>等相关专业</w:t>
            </w:r>
            <w:r>
              <w:rPr>
                <w:rFonts w:hint="eastAsia" w:ascii="宋体" w:hAnsi="宋体" w:eastAsia="宋体" w:cs="宋体"/>
                <w:color w:val="auto"/>
                <w:sz w:val="24"/>
                <w:highlight w:val="yellow"/>
                <w:lang w:val="en-US"/>
              </w:rPr>
              <w:t>职称的每人得2分，共计8分；（提供证书扫描件及供应商近半年任意一个月为其缴纳的社保证明材料）</w:t>
            </w:r>
          </w:p>
          <w:p w14:paraId="4CFDE1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highlight w:val="yellow"/>
                <w:lang w:val="en-US"/>
              </w:rPr>
            </w:pPr>
            <w:r>
              <w:rPr>
                <w:rFonts w:hint="eastAsia" w:ascii="宋体" w:hAnsi="宋体" w:eastAsia="宋体" w:cs="宋体"/>
                <w:color w:val="auto"/>
                <w:sz w:val="24"/>
                <w:highlight w:val="yellow"/>
                <w:lang w:val="en-US"/>
              </w:rPr>
              <w:t>项目成员中（除项目负责人外）具有国家注册城乡规划师的每有一人得</w:t>
            </w:r>
            <w:r>
              <w:rPr>
                <w:rFonts w:hint="eastAsia" w:ascii="宋体" w:hAnsi="宋体" w:cs="宋体"/>
                <w:color w:val="auto"/>
                <w:sz w:val="24"/>
                <w:highlight w:val="yellow"/>
                <w:lang w:val="en-US" w:eastAsia="zh-CN"/>
              </w:rPr>
              <w:t>2</w:t>
            </w:r>
            <w:r>
              <w:rPr>
                <w:rFonts w:hint="eastAsia" w:ascii="宋体" w:hAnsi="宋体" w:eastAsia="宋体" w:cs="宋体"/>
                <w:color w:val="auto"/>
                <w:sz w:val="24"/>
                <w:highlight w:val="yellow"/>
                <w:lang w:val="en-US"/>
              </w:rPr>
              <w:t>分，最高得</w:t>
            </w:r>
            <w:r>
              <w:rPr>
                <w:rFonts w:hint="eastAsia" w:ascii="宋体" w:hAnsi="宋体" w:cs="宋体"/>
                <w:color w:val="auto"/>
                <w:sz w:val="24"/>
                <w:highlight w:val="yellow"/>
                <w:lang w:val="en-US" w:eastAsia="zh-CN"/>
              </w:rPr>
              <w:t>4</w:t>
            </w:r>
            <w:r>
              <w:rPr>
                <w:rFonts w:hint="eastAsia" w:ascii="宋体" w:hAnsi="宋体" w:eastAsia="宋体" w:cs="宋体"/>
                <w:color w:val="auto"/>
                <w:sz w:val="24"/>
                <w:highlight w:val="yellow"/>
                <w:lang w:val="en-US"/>
              </w:rPr>
              <w:t>分。（提供证书扫描件及供应商近半年任意一个月为其缴纳的社保证明材料）；；</w:t>
            </w:r>
          </w:p>
          <w:p w14:paraId="06C328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highlight w:val="yellow"/>
                <w:lang w:val="en-US"/>
              </w:rPr>
            </w:pPr>
            <w:r>
              <w:rPr>
                <w:rFonts w:hint="eastAsia" w:ascii="宋体" w:hAnsi="宋体" w:eastAsia="宋体" w:cs="宋体"/>
                <w:color w:val="auto"/>
                <w:sz w:val="24"/>
                <w:highlight w:val="yellow"/>
                <w:lang w:val="en-US"/>
              </w:rPr>
              <w:t>（以上所有人员需出具上述证件原件扫描件及</w:t>
            </w:r>
            <w:r>
              <w:rPr>
                <w:rFonts w:hint="eastAsia" w:ascii="宋体" w:hAnsi="宋体" w:eastAsia="宋体" w:cs="宋体"/>
                <w:color w:val="auto"/>
                <w:sz w:val="24"/>
                <w:highlight w:val="yellow"/>
                <w:lang w:val="en-US" w:eastAsia="zh-CN"/>
              </w:rPr>
              <w:t>近半年</w:t>
            </w:r>
            <w:r>
              <w:rPr>
                <w:rFonts w:hint="eastAsia" w:ascii="宋体" w:hAnsi="宋体" w:eastAsia="宋体" w:cs="宋体"/>
                <w:color w:val="auto"/>
                <w:sz w:val="24"/>
                <w:highlight w:val="yellow"/>
                <w:lang w:val="en-US"/>
              </w:rPr>
              <w:t>来本单位为其缴纳的任意</w:t>
            </w:r>
            <w:r>
              <w:rPr>
                <w:rFonts w:hint="eastAsia" w:ascii="宋体" w:hAnsi="宋体" w:eastAsia="宋体" w:cs="宋体"/>
                <w:color w:val="auto"/>
                <w:sz w:val="24"/>
                <w:highlight w:val="yellow"/>
                <w:lang w:val="en-US" w:eastAsia="zh-CN"/>
              </w:rPr>
              <w:t>1</w:t>
            </w:r>
            <w:r>
              <w:rPr>
                <w:rFonts w:hint="eastAsia" w:ascii="宋体" w:hAnsi="宋体" w:eastAsia="宋体" w:cs="宋体"/>
                <w:color w:val="auto"/>
                <w:sz w:val="24"/>
                <w:highlight w:val="yellow"/>
                <w:lang w:val="en-US"/>
              </w:rPr>
              <w:t>个月社保证明）</w:t>
            </w:r>
          </w:p>
        </w:tc>
      </w:tr>
      <w:tr w14:paraId="5A183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506" w:type="dxa"/>
            <w:vMerge w:val="continue"/>
            <w:tcBorders>
              <w:right w:val="single" w:color="auto" w:sz="4" w:space="0"/>
            </w:tcBorders>
            <w:noWrap w:val="0"/>
            <w:vAlign w:val="center"/>
          </w:tcPr>
          <w:p w14:paraId="4B2C7BE0">
            <w:pPr>
              <w:autoSpaceDE w:val="0"/>
              <w:autoSpaceDN w:val="0"/>
              <w:spacing w:before="154" w:line="480" w:lineRule="exact"/>
              <w:jc w:val="center"/>
              <w:rPr>
                <w:rFonts w:hint="eastAsia" w:ascii="宋体" w:hAnsi="宋体" w:eastAsia="宋体" w:cs="宋体"/>
                <w:color w:val="auto"/>
                <w:kern w:val="0"/>
                <w:sz w:val="24"/>
                <w:highlight w:val="none"/>
              </w:rPr>
            </w:pPr>
          </w:p>
        </w:tc>
        <w:tc>
          <w:tcPr>
            <w:tcW w:w="2554" w:type="dxa"/>
            <w:tcBorders>
              <w:left w:val="single" w:color="auto" w:sz="4" w:space="0"/>
            </w:tcBorders>
            <w:noWrap w:val="0"/>
            <w:vAlign w:val="center"/>
          </w:tcPr>
          <w:p w14:paraId="62977603">
            <w:pPr>
              <w:autoSpaceDE w:val="0"/>
              <w:autoSpaceDN w:val="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服务承诺（</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分）</w:t>
            </w:r>
          </w:p>
        </w:tc>
        <w:tc>
          <w:tcPr>
            <w:tcW w:w="5573" w:type="dxa"/>
            <w:noWrap w:val="0"/>
            <w:vAlign w:val="center"/>
          </w:tcPr>
          <w:p w14:paraId="3138DE1E">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服务承诺包含但不限于监测管理措施、质量保证措施、确保服务周期、后期服务配合等内容；</w:t>
            </w:r>
          </w:p>
          <w:p w14:paraId="632537E6">
            <w:pPr>
              <w:numPr>
                <w:ilvl w:val="0"/>
                <w:numId w:val="2"/>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内容完整详细，科学严谨，完全贴合项目实际情况的得</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w:t>
            </w:r>
          </w:p>
          <w:p w14:paraId="5D9A339B">
            <w:pPr>
              <w:numPr>
                <w:ilvl w:val="0"/>
                <w:numId w:val="2"/>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内容较为完整，较能贴合项目实际情况的得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p w14:paraId="124FA9EF">
            <w:pPr>
              <w:numPr>
                <w:ilvl w:val="0"/>
                <w:numId w:val="2"/>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内容基本满足项目要求的得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w:t>
            </w:r>
          </w:p>
          <w:p w14:paraId="047BDD39">
            <w:pPr>
              <w:numPr>
                <w:ilvl w:val="0"/>
                <w:numId w:val="2"/>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无内容或缺项的不得分；</w:t>
            </w:r>
          </w:p>
        </w:tc>
      </w:tr>
    </w:tbl>
    <w:p w14:paraId="1D82293C">
      <w:pPr>
        <w:widowControl/>
        <w:jc w:val="left"/>
        <w:rPr>
          <w:rFonts w:hint="eastAsia" w:ascii="宋体" w:hAnsi="宋体" w:eastAsia="宋体" w:cs="宋体"/>
          <w:color w:val="auto"/>
          <w:highlight w:val="none"/>
        </w:rPr>
      </w:pPr>
      <w:r>
        <w:rPr>
          <w:rFonts w:hint="eastAsia" w:ascii="宋体" w:hAnsi="宋体" w:eastAsia="宋体" w:cs="宋体"/>
          <w:color w:val="auto"/>
          <w:sz w:val="24"/>
          <w:highlight w:val="none"/>
        </w:rPr>
        <w:t>注：评标过程中涉及到资格审查、企业荣誉、人员业绩、企业业绩等计分部分时，以投标单位自行上传到投标文件中的相应内容为准。</w:t>
      </w:r>
    </w:p>
    <w:bookmarkEnd w:id="320"/>
    <w:bookmarkEnd w:id="321"/>
    <w:p w14:paraId="36D1106C">
      <w:pPr>
        <w:tabs>
          <w:tab w:val="left" w:pos="1835"/>
        </w:tabs>
        <w:jc w:val="center"/>
        <w:outlineLvl w:val="0"/>
        <w:rPr>
          <w:rFonts w:hint="eastAsia" w:ascii="宋体" w:hAnsi="宋体" w:eastAsia="宋体" w:cs="宋体"/>
          <w:b/>
          <w:bCs/>
          <w:color w:val="auto"/>
          <w:sz w:val="32"/>
          <w:szCs w:val="32"/>
          <w:highlight w:val="none"/>
        </w:rPr>
      </w:pPr>
      <w:bookmarkStart w:id="324" w:name="_Toc508179890"/>
      <w:bookmarkStart w:id="325" w:name="_Toc16520679"/>
      <w:bookmarkStart w:id="326" w:name="_Toc32577"/>
      <w:bookmarkStart w:id="327" w:name="_Toc16520167"/>
      <w:bookmarkStart w:id="328" w:name="_Toc31366"/>
      <w:bookmarkStart w:id="329" w:name="_Toc121405494"/>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 xml:space="preserve">第五章 </w:t>
      </w:r>
      <w:bookmarkEnd w:id="324"/>
      <w:r>
        <w:rPr>
          <w:rFonts w:hint="eastAsia" w:ascii="宋体" w:hAnsi="宋体" w:eastAsia="宋体" w:cs="宋体"/>
          <w:b/>
          <w:bCs/>
          <w:color w:val="auto"/>
          <w:sz w:val="32"/>
          <w:szCs w:val="32"/>
          <w:highlight w:val="none"/>
        </w:rPr>
        <w:t>合同协议书</w:t>
      </w:r>
      <w:bookmarkEnd w:id="325"/>
      <w:bookmarkEnd w:id="326"/>
      <w:bookmarkEnd w:id="327"/>
      <w:bookmarkEnd w:id="328"/>
      <w:bookmarkEnd w:id="329"/>
    </w:p>
    <w:p w14:paraId="7C08D763">
      <w:pPr>
        <w:pStyle w:val="15"/>
        <w:spacing w:line="360" w:lineRule="auto"/>
        <w:ind w:firstLine="480" w:firstLineChars="200"/>
        <w:rPr>
          <w:rFonts w:hint="eastAsia" w:ascii="宋体" w:hAnsi="宋体" w:eastAsia="宋体" w:cs="宋体"/>
          <w:color w:val="auto"/>
          <w:kern w:val="2"/>
          <w:sz w:val="24"/>
          <w:szCs w:val="24"/>
          <w:highlight w:val="none"/>
          <w:lang w:val="en-US" w:eastAsia="zh-CN" w:bidi="ar-SA"/>
        </w:rPr>
      </w:pPr>
      <w:bookmarkStart w:id="330" w:name="_Hlt16619369"/>
      <w:bookmarkEnd w:id="330"/>
      <w:bookmarkStart w:id="331" w:name="_Toc121405495"/>
      <w:bookmarkStart w:id="332" w:name="_Toc26125"/>
      <w:bookmarkStart w:id="333" w:name="_Toc508179891"/>
      <w:bookmarkStart w:id="334" w:name="_Toc16520680"/>
      <w:bookmarkStart w:id="335" w:name="_Toc16520168"/>
      <w:bookmarkStart w:id="336" w:name="_Toc5473"/>
      <w:r>
        <w:rPr>
          <w:rFonts w:hint="eastAsia" w:ascii="宋体" w:hAnsi="宋体" w:eastAsia="宋体" w:cs="宋体"/>
          <w:color w:val="auto"/>
          <w:kern w:val="0"/>
          <w:sz w:val="24"/>
          <w:szCs w:val="24"/>
          <w:highlight w:val="none"/>
          <w:lang w:val="zh-CN"/>
        </w:rPr>
        <w:t>按《三门峡市财政局关于市本级政府采购合同备案管理工作的通知》（三</w:t>
      </w:r>
      <w:r>
        <w:rPr>
          <w:rFonts w:hint="eastAsia" w:ascii="宋体" w:hAnsi="宋体" w:eastAsia="宋体" w:cs="宋体"/>
          <w:color w:val="auto"/>
          <w:kern w:val="0"/>
          <w:sz w:val="24"/>
          <w:szCs w:val="24"/>
          <w:highlight w:val="none"/>
          <w:lang w:val="en-US" w:eastAsia="zh-CN"/>
        </w:rPr>
        <w:t>陕财预</w:t>
      </w:r>
      <w:r>
        <w:rPr>
          <w:rFonts w:hint="eastAsia" w:ascii="宋体" w:hAnsi="宋体" w:eastAsia="宋体" w:cs="宋体"/>
          <w:color w:val="auto"/>
          <w:kern w:val="0"/>
          <w:sz w:val="24"/>
          <w:szCs w:val="24"/>
          <w:highlight w:val="none"/>
          <w:lang w:val="zh-CN"/>
        </w:rPr>
        <w:t>[202</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en-US" w:eastAsia="zh-CN"/>
        </w:rPr>
        <w:t>800</w:t>
      </w:r>
      <w:r>
        <w:rPr>
          <w:rFonts w:hint="eastAsia" w:ascii="宋体" w:hAnsi="宋体" w:eastAsia="宋体" w:cs="宋体"/>
          <w:color w:val="auto"/>
          <w:kern w:val="0"/>
          <w:sz w:val="24"/>
          <w:szCs w:val="24"/>
          <w:highlight w:val="none"/>
          <w:lang w:val="zh-CN"/>
        </w:rPr>
        <w:t>号）文要求，集中采购目录以外政府采购项目，原则上自中标通知书发出之日起2个工作日内与中标（成交）人按照采购文件确定的事项与成交人签订政府采购合同。</w:t>
      </w:r>
    </w:p>
    <w:p w14:paraId="6825AE94">
      <w:pPr>
        <w:spacing w:before="133" w:line="360" w:lineRule="auto"/>
        <w:ind w:left="1277"/>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（此合同范本仅供参考，具体以签订正式合同时为</w:t>
      </w:r>
      <w:r>
        <w:rPr>
          <w:rFonts w:hint="eastAsia" w:ascii="宋体" w:hAnsi="宋体" w:eastAsia="宋体" w:cs="宋体"/>
          <w:b/>
          <w:bCs/>
          <w:color w:val="auto"/>
          <w:spacing w:val="-4"/>
          <w:sz w:val="24"/>
          <w:szCs w:val="24"/>
          <w:highlight w:val="none"/>
        </w:rPr>
        <w:t>准）</w:t>
      </w:r>
    </w:p>
    <w:p w14:paraId="386E0472">
      <w:pPr>
        <w:spacing w:before="29" w:line="360" w:lineRule="auto"/>
        <w:ind w:left="488" w:firstLine="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采购人（甲方）：</w:t>
      </w:r>
    </w:p>
    <w:p w14:paraId="1EB6D098">
      <w:pPr>
        <w:spacing w:before="29" w:line="360" w:lineRule="auto"/>
        <w:ind w:left="488" w:firstLine="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供应商（乙方）：</w:t>
      </w:r>
    </w:p>
    <w:p w14:paraId="35A1DC7B">
      <w:pPr>
        <w:spacing w:before="29" w:line="360" w:lineRule="auto"/>
        <w:ind w:left="488" w:firstLine="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签订时间：</w:t>
      </w:r>
    </w:p>
    <w:p w14:paraId="1B0C8DAE">
      <w:pPr>
        <w:spacing w:before="29" w:line="360" w:lineRule="auto"/>
        <w:ind w:left="488" w:firstLine="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签订地点：</w:t>
      </w:r>
    </w:p>
    <w:p w14:paraId="71A34FFE">
      <w:pPr>
        <w:keepNext w:val="0"/>
        <w:keepLines w:val="0"/>
        <w:pageBreakBefore w:val="0"/>
        <w:widowControl w:val="0"/>
        <w:kinsoku/>
        <w:wordWrap/>
        <w:overflowPunct/>
        <w:topLinePunct w:val="0"/>
        <w:autoSpaceDE/>
        <w:autoSpaceDN/>
        <w:bidi w:val="0"/>
        <w:adjustRightInd/>
        <w:snapToGrid/>
        <w:spacing w:before="29" w:line="360" w:lineRule="auto"/>
        <w:ind w:left="488"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本项目经</w:t>
      </w:r>
      <w:r>
        <w:rPr>
          <w:rFonts w:hint="eastAsia" w:ascii="宋体" w:hAnsi="宋体" w:eastAsia="宋体" w:cs="宋体"/>
          <w:color w:val="auto"/>
          <w:sz w:val="24"/>
          <w:szCs w:val="24"/>
          <w:highlight w:val="none"/>
          <w:lang w:val="en-US" w:eastAsia="zh-CN"/>
        </w:rPr>
        <w:t>相关单位</w:t>
      </w:r>
      <w:r>
        <w:rPr>
          <w:rFonts w:hint="eastAsia" w:ascii="宋体" w:hAnsi="宋体" w:eastAsia="宋体" w:cs="宋体"/>
          <w:color w:val="auto"/>
          <w:sz w:val="24"/>
          <w:szCs w:val="24"/>
          <w:highlight w:val="none"/>
        </w:rPr>
        <w:t>批准,由 （以下简称“采购代理机</w:t>
      </w:r>
      <w:r>
        <w:rPr>
          <w:rFonts w:hint="eastAsia" w:ascii="宋体" w:hAnsi="宋体" w:eastAsia="宋体" w:cs="宋体"/>
          <w:color w:val="auto"/>
          <w:spacing w:val="-3"/>
          <w:sz w:val="24"/>
          <w:szCs w:val="24"/>
          <w:highlight w:val="none"/>
        </w:rPr>
        <w:t>构”）依法组织采购，经磋商小组评审，决定将政府采购合同授予乙方。为进一步明确甲</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1"/>
          <w:sz w:val="24"/>
          <w:szCs w:val="24"/>
          <w:highlight w:val="none"/>
        </w:rPr>
        <w:t>乙双方的责任，确保合同顺利履行，根据《中华人民共和国政府采购法》及其实施条例、</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7"/>
          <w:sz w:val="24"/>
          <w:szCs w:val="24"/>
          <w:highlight w:val="none"/>
        </w:rPr>
        <w:t>《中华人民共和国</w:t>
      </w:r>
      <w:r>
        <w:rPr>
          <w:rFonts w:hint="eastAsia" w:ascii="宋体" w:hAnsi="宋体" w:cs="宋体"/>
          <w:color w:val="auto"/>
          <w:spacing w:val="-7"/>
          <w:sz w:val="24"/>
          <w:szCs w:val="24"/>
          <w:highlight w:val="none"/>
          <w:lang w:val="en-US" w:eastAsia="zh-CN"/>
        </w:rPr>
        <w:t>民法典</w:t>
      </w:r>
      <w:r>
        <w:rPr>
          <w:rFonts w:hint="eastAsia" w:ascii="宋体" w:hAnsi="宋体" w:eastAsia="宋体" w:cs="宋体"/>
          <w:color w:val="auto"/>
          <w:spacing w:val="-7"/>
          <w:sz w:val="24"/>
          <w:szCs w:val="24"/>
          <w:highlight w:val="none"/>
        </w:rPr>
        <w:t>》以及本项目中标（成交）结果，甲乙双方充分协商，订立合同，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7"/>
          <w:sz w:val="24"/>
          <w:szCs w:val="24"/>
          <w:highlight w:val="none"/>
        </w:rPr>
        <w:t>共同遵守。</w:t>
      </w:r>
    </w:p>
    <w:p w14:paraId="787E7BB3">
      <w:pPr>
        <w:spacing w:before="35" w:line="360" w:lineRule="auto"/>
        <w:ind w:left="492"/>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第一条</w:t>
      </w:r>
      <w:r>
        <w:rPr>
          <w:rFonts w:hint="eastAsia" w:ascii="宋体" w:hAnsi="宋体" w:eastAsia="宋体" w:cs="宋体"/>
          <w:color w:val="auto"/>
          <w:spacing w:val="-2"/>
          <w:sz w:val="24"/>
          <w:szCs w:val="24"/>
          <w:highlight w:val="none"/>
        </w:rPr>
        <w:t xml:space="preserve">   </w:t>
      </w:r>
      <w:r>
        <w:rPr>
          <w:rFonts w:hint="eastAsia" w:ascii="宋体" w:hAnsi="宋体" w:eastAsia="宋体" w:cs="宋体"/>
          <w:b/>
          <w:bCs/>
          <w:color w:val="auto"/>
          <w:spacing w:val="-2"/>
          <w:sz w:val="24"/>
          <w:szCs w:val="24"/>
          <w:highlight w:val="none"/>
        </w:rPr>
        <w:t>服务对象基本情况</w:t>
      </w:r>
    </w:p>
    <w:p w14:paraId="37F001C6">
      <w:pPr>
        <w:spacing w:before="294" w:line="360" w:lineRule="auto"/>
        <w:ind w:left="489"/>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29"/>
          <w:sz w:val="24"/>
          <w:szCs w:val="24"/>
          <w:highlight w:val="none"/>
        </w:rPr>
        <w:t>服务类型：</w:t>
      </w:r>
      <w:r>
        <w:rPr>
          <w:rFonts w:hint="eastAsia" w:ascii="宋体" w:hAnsi="宋体" w:eastAsia="宋体" w:cs="宋体"/>
          <w:color w:val="auto"/>
          <w:spacing w:val="-1"/>
          <w:sz w:val="24"/>
          <w:szCs w:val="24"/>
          <w:highlight w:val="none"/>
        </w:rPr>
        <w:t>________</w:t>
      </w:r>
    </w:p>
    <w:p w14:paraId="1604E0BD">
      <w:pPr>
        <w:spacing w:before="304" w:line="360" w:lineRule="auto"/>
        <w:ind w:left="49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其他必要内容  ________</w:t>
      </w:r>
    </w:p>
    <w:p w14:paraId="36028E93">
      <w:pPr>
        <w:spacing w:before="303" w:line="360" w:lineRule="auto"/>
        <w:ind w:left="492"/>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第二条</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具体服务事项</w:t>
      </w:r>
    </w:p>
    <w:p w14:paraId="26E40AC8">
      <w:pPr>
        <w:pStyle w:val="5"/>
        <w:spacing w:line="360" w:lineRule="auto"/>
        <w:rPr>
          <w:rFonts w:hint="eastAsia" w:ascii="宋体" w:hAnsi="宋体" w:eastAsia="宋体" w:cs="宋体"/>
          <w:color w:val="auto"/>
          <w:sz w:val="24"/>
          <w:szCs w:val="24"/>
          <w:highlight w:val="none"/>
        </w:rPr>
      </w:pPr>
    </w:p>
    <w:p w14:paraId="706F7708">
      <w:pPr>
        <w:spacing w:line="360" w:lineRule="auto"/>
        <w:ind w:right="98" w:firstLine="492"/>
        <w:rPr>
          <w:rFonts w:hint="eastAsia"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lang w:val="en-US" w:eastAsia="zh-CN"/>
        </w:rPr>
        <w:t xml:space="preserve">1、 </w:t>
      </w:r>
    </w:p>
    <w:p w14:paraId="1962F796">
      <w:pPr>
        <w:spacing w:line="360" w:lineRule="auto"/>
        <w:ind w:right="98" w:firstLine="492"/>
        <w:rPr>
          <w:rFonts w:hint="eastAsia"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lang w:val="en-US" w:eastAsia="zh-CN"/>
        </w:rPr>
        <w:t xml:space="preserve">2、 </w:t>
      </w:r>
    </w:p>
    <w:p w14:paraId="4C452260">
      <w:pPr>
        <w:spacing w:line="360" w:lineRule="auto"/>
        <w:ind w:right="98" w:firstLine="492"/>
        <w:rPr>
          <w:rFonts w:hint="eastAsia" w:ascii="宋体" w:hAnsi="宋体" w:eastAsia="宋体" w:cs="宋体"/>
          <w:b/>
          <w:bCs/>
          <w:color w:val="auto"/>
          <w:spacing w:val="-2"/>
          <w:sz w:val="24"/>
          <w:szCs w:val="24"/>
          <w:highlight w:val="none"/>
          <w:lang w:val="en-US" w:eastAsia="zh-CN"/>
        </w:rPr>
      </w:pPr>
      <w:r>
        <w:rPr>
          <w:rFonts w:hint="eastAsia" w:ascii="宋体" w:hAnsi="宋体" w:eastAsia="宋体" w:cs="宋体"/>
          <w:b/>
          <w:bCs/>
          <w:color w:val="auto"/>
          <w:spacing w:val="-2"/>
          <w:sz w:val="24"/>
          <w:szCs w:val="24"/>
          <w:highlight w:val="none"/>
          <w:lang w:val="en-US" w:eastAsia="zh-CN"/>
        </w:rPr>
        <w:t>......</w:t>
      </w:r>
    </w:p>
    <w:p w14:paraId="2D0081C3">
      <w:pPr>
        <w:spacing w:line="360" w:lineRule="auto"/>
        <w:ind w:right="98" w:firstLine="49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第三条</w:t>
      </w:r>
      <w:r>
        <w:rPr>
          <w:rFonts w:hint="eastAsia" w:ascii="宋体" w:hAnsi="宋体" w:eastAsia="宋体" w:cs="宋体"/>
          <w:color w:val="auto"/>
          <w:spacing w:val="-2"/>
          <w:sz w:val="24"/>
          <w:szCs w:val="24"/>
          <w:highlight w:val="none"/>
        </w:rPr>
        <w:t xml:space="preserve">   </w:t>
      </w:r>
      <w:r>
        <w:rPr>
          <w:rFonts w:hint="eastAsia" w:ascii="宋体" w:hAnsi="宋体" w:eastAsia="宋体" w:cs="宋体"/>
          <w:b/>
          <w:bCs/>
          <w:color w:val="auto"/>
          <w:spacing w:val="-2"/>
          <w:sz w:val="24"/>
          <w:szCs w:val="24"/>
          <w:highlight w:val="none"/>
        </w:rPr>
        <w:t>服务期限</w:t>
      </w:r>
      <w:r>
        <w:rPr>
          <w:rFonts w:hint="eastAsia" w:ascii="宋体" w:hAnsi="宋体" w:eastAsia="宋体" w:cs="宋体"/>
          <w:color w:val="auto"/>
          <w:spacing w:val="-2"/>
          <w:sz w:val="24"/>
          <w:szCs w:val="24"/>
          <w:highlight w:val="none"/>
        </w:rPr>
        <w:t>为</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年。自</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年</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月</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时起至</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年</w:t>
      </w:r>
      <w:r>
        <w:rPr>
          <w:rFonts w:hint="eastAsia" w:ascii="宋体" w:hAnsi="宋体" w:eastAsia="宋体" w:cs="宋体"/>
          <w:color w:val="auto"/>
          <w:spacing w:val="23"/>
          <w:sz w:val="24"/>
          <w:szCs w:val="24"/>
          <w:highlight w:val="none"/>
        </w:rPr>
        <w:t>____月</w:t>
      </w:r>
      <w:r>
        <w:rPr>
          <w:rFonts w:hint="eastAsia" w:ascii="宋体" w:hAnsi="宋体" w:eastAsia="宋体" w:cs="宋体"/>
          <w:color w:val="auto"/>
          <w:spacing w:val="29"/>
          <w:sz w:val="24"/>
          <w:szCs w:val="24"/>
          <w:highlight w:val="none"/>
        </w:rPr>
        <w:t>＿＿＿＿</w:t>
      </w:r>
      <w:r>
        <w:rPr>
          <w:rFonts w:hint="eastAsia" w:ascii="宋体" w:hAnsi="宋体" w:eastAsia="宋体" w:cs="宋体"/>
          <w:color w:val="auto"/>
          <w:spacing w:val="23"/>
          <w:sz w:val="24"/>
          <w:szCs w:val="24"/>
          <w:highlight w:val="none"/>
        </w:rPr>
        <w:t>日</w:t>
      </w:r>
      <w:r>
        <w:rPr>
          <w:rFonts w:hint="eastAsia" w:ascii="宋体" w:hAnsi="宋体" w:eastAsia="宋体" w:cs="宋体"/>
          <w:color w:val="auto"/>
          <w:spacing w:val="29"/>
          <w:sz w:val="24"/>
          <w:szCs w:val="24"/>
          <w:highlight w:val="none"/>
        </w:rPr>
        <w:t>＿＿＿＿</w:t>
      </w:r>
      <w:r>
        <w:rPr>
          <w:rFonts w:hint="eastAsia" w:ascii="宋体" w:hAnsi="宋体" w:eastAsia="宋体" w:cs="宋体"/>
          <w:color w:val="auto"/>
          <w:spacing w:val="23"/>
          <w:sz w:val="24"/>
          <w:szCs w:val="24"/>
          <w:highlight w:val="none"/>
        </w:rPr>
        <w:t>时止。</w:t>
      </w:r>
    </w:p>
    <w:p w14:paraId="0FF0CAB5">
      <w:pPr>
        <w:spacing w:before="43" w:line="360" w:lineRule="auto"/>
        <w:ind w:left="492"/>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8"/>
          <w:sz w:val="24"/>
          <w:szCs w:val="24"/>
          <w:highlight w:val="none"/>
        </w:rPr>
        <w:t>第四条</w:t>
      </w:r>
      <w:r>
        <w:rPr>
          <w:rFonts w:hint="eastAsia" w:ascii="宋体" w:hAnsi="宋体" w:eastAsia="宋体" w:cs="宋体"/>
          <w:color w:val="auto"/>
          <w:spacing w:val="16"/>
          <w:sz w:val="24"/>
          <w:szCs w:val="24"/>
          <w:highlight w:val="none"/>
        </w:rPr>
        <w:t xml:space="preserve">   </w:t>
      </w:r>
      <w:r>
        <w:rPr>
          <w:rFonts w:hint="eastAsia" w:ascii="宋体" w:hAnsi="宋体" w:eastAsia="宋体" w:cs="宋体"/>
          <w:b/>
          <w:bCs/>
          <w:color w:val="auto"/>
          <w:spacing w:val="-8"/>
          <w:sz w:val="24"/>
          <w:szCs w:val="24"/>
          <w:highlight w:val="none"/>
        </w:rPr>
        <w:t>甲方权利义务</w:t>
      </w:r>
    </w:p>
    <w:p w14:paraId="0137DC32">
      <w:pPr>
        <w:spacing w:before="292" w:line="360" w:lineRule="auto"/>
        <w:ind w:left="50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1、甲方有对乙方提出改进服务意见的权利，</w:t>
      </w:r>
      <w:r>
        <w:rPr>
          <w:rFonts w:hint="eastAsia" w:ascii="宋体" w:hAnsi="宋体" w:eastAsia="宋体" w:cs="宋体"/>
          <w:color w:val="auto"/>
          <w:spacing w:val="-3"/>
          <w:sz w:val="24"/>
          <w:szCs w:val="24"/>
          <w:highlight w:val="none"/>
        </w:rPr>
        <w:t>监督乙方工作。</w:t>
      </w:r>
    </w:p>
    <w:p w14:paraId="49BDF4F3">
      <w:pPr>
        <w:spacing w:before="295" w:line="360" w:lineRule="auto"/>
        <w:ind w:left="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2、甲方负责协助乙方做好一切外部事物的处理与协调工作。</w:t>
      </w:r>
    </w:p>
    <w:p w14:paraId="2CB3ABE9">
      <w:pPr>
        <w:spacing w:before="292" w:line="360" w:lineRule="auto"/>
        <w:ind w:left="507"/>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3、乙方在工作中需要甲方工作人员协助的，甲方应积极配合。</w:t>
      </w:r>
    </w:p>
    <w:p w14:paraId="12BFE58E">
      <w:pPr>
        <w:spacing w:before="292" w:line="360" w:lineRule="auto"/>
        <w:ind w:left="507"/>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val="en-US" w:eastAsia="zh-CN"/>
        </w:rPr>
        <w:t>4、合同签订期限为     年。</w:t>
      </w:r>
    </w:p>
    <w:p w14:paraId="0509E849">
      <w:pPr>
        <w:spacing w:before="43" w:line="360" w:lineRule="auto"/>
        <w:ind w:left="492"/>
        <w:outlineLvl w:val="1"/>
        <w:rPr>
          <w:rFonts w:hint="eastAsia" w:ascii="宋体" w:hAnsi="宋体" w:eastAsia="宋体" w:cs="宋体"/>
          <w:b/>
          <w:bCs/>
          <w:color w:val="auto"/>
          <w:spacing w:val="-8"/>
          <w:sz w:val="24"/>
          <w:szCs w:val="24"/>
          <w:highlight w:val="none"/>
        </w:rPr>
      </w:pPr>
      <w:r>
        <w:rPr>
          <w:rFonts w:hint="eastAsia" w:ascii="宋体" w:hAnsi="宋体" w:eastAsia="宋体" w:cs="宋体"/>
          <w:b/>
          <w:bCs/>
          <w:color w:val="auto"/>
          <w:spacing w:val="-8"/>
          <w:sz w:val="24"/>
          <w:szCs w:val="24"/>
          <w:highlight w:val="none"/>
        </w:rPr>
        <w:t>第五条   乙方权利义务</w:t>
      </w:r>
    </w:p>
    <w:p w14:paraId="67F39D35">
      <w:pPr>
        <w:spacing w:before="292" w:line="360" w:lineRule="auto"/>
        <w:ind w:left="507"/>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1、乙方应根据有关法律法规及本合同约定，制定具体服务管理制度。</w:t>
      </w:r>
    </w:p>
    <w:p w14:paraId="6FDF0488">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2、乙方应接受甲方的监督和考核， 遵守甲方的规章制度，根据合同约定，服从甲方安排。</w:t>
      </w:r>
    </w:p>
    <w:p w14:paraId="38B4CD62">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3、在工作区域内乙方人员提供管理服务过程中，因乙方人员的故意或过失，造成甲乙双方或任何第三方的人身损害或财产损失，乙方承担一切法律责任与赔偿。</w:t>
      </w:r>
    </w:p>
    <w:p w14:paraId="2836E59F">
      <w:pPr>
        <w:spacing w:before="39" w:line="360" w:lineRule="auto"/>
        <w:ind w:firstLine="480"/>
        <w:outlineLvl w:val="2"/>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w:t>
      </w:r>
      <w:r>
        <w:rPr>
          <w:rFonts w:hint="eastAsia" w:ascii="宋体" w:hAnsi="宋体" w:eastAsia="宋体" w:cs="宋体"/>
          <w:color w:val="auto"/>
          <w:spacing w:val="-4"/>
          <w:sz w:val="24"/>
          <w:szCs w:val="24"/>
          <w:highlight w:val="none"/>
          <w:lang w:val="en-US" w:eastAsia="zh-CN"/>
        </w:rPr>
        <w:t>、详见合同约定内容</w:t>
      </w:r>
    </w:p>
    <w:p w14:paraId="7B0B58D9">
      <w:pPr>
        <w:spacing w:before="39" w:line="360" w:lineRule="auto"/>
        <w:ind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w:t>
      </w:r>
    </w:p>
    <w:p w14:paraId="18FC1627">
      <w:pPr>
        <w:spacing w:before="39" w:line="360" w:lineRule="auto"/>
        <w:ind w:firstLine="480"/>
        <w:outlineLvl w:val="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第六条   服务目标</w:t>
      </w:r>
    </w:p>
    <w:p w14:paraId="3070F2E0">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3"/>
          <w:sz w:val="24"/>
          <w:szCs w:val="24"/>
          <w:highlight w:val="none"/>
        </w:rPr>
        <w:t>乙方根据甲方的具体服务事项及要求制定出服务工作标准和考核标准。经与</w:t>
      </w:r>
      <w:r>
        <w:rPr>
          <w:rFonts w:hint="eastAsia" w:ascii="宋体" w:hAnsi="宋体" w:eastAsia="宋体" w:cs="宋体"/>
          <w:color w:val="auto"/>
          <w:spacing w:val="-4"/>
          <w:sz w:val="24"/>
          <w:szCs w:val="24"/>
          <w:highlight w:val="none"/>
        </w:rPr>
        <w:t>甲方协商同意 后，乙方须按此工作标准和考核标准，实现服务目标。</w:t>
      </w:r>
    </w:p>
    <w:p w14:paraId="6BDC69E9">
      <w:pPr>
        <w:numPr>
          <w:ilvl w:val="0"/>
          <w:numId w:val="3"/>
        </w:num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 xml:space="preserve">________________ 2、________________ 3、________________ </w:t>
      </w:r>
    </w:p>
    <w:p w14:paraId="48C7113D">
      <w:pPr>
        <w:numPr>
          <w:ilvl w:val="0"/>
          <w:numId w:val="0"/>
        </w:numPr>
        <w:spacing w:before="39" w:line="360" w:lineRule="auto"/>
        <w:ind w:firstLine="464"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4、________________ 5、________________ „</w:t>
      </w:r>
    </w:p>
    <w:p w14:paraId="7083D61A">
      <w:pPr>
        <w:spacing w:before="39" w:line="360" w:lineRule="auto"/>
        <w:ind w:firstLine="480"/>
        <w:outlineLvl w:val="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第七条  服务费用</w:t>
      </w:r>
    </w:p>
    <w:p w14:paraId="0869FD70">
      <w:pPr>
        <w:spacing w:before="39" w:line="360" w:lineRule="auto"/>
        <w:ind w:firstLine="480"/>
        <w:outlineLvl w:val="2"/>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1、费用结算</w:t>
      </w:r>
    </w:p>
    <w:p w14:paraId="66A10DF6">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本合同以人民币付款，总计   万元。</w:t>
      </w:r>
    </w:p>
    <w:p w14:paraId="09DAC696">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付款方式：</w:t>
      </w:r>
    </w:p>
    <w:p w14:paraId="3E117195">
      <w:pPr>
        <w:spacing w:before="39" w:line="360" w:lineRule="auto"/>
        <w:ind w:firstLine="480"/>
        <w:outlineLvl w:val="2"/>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2、费用构成</w:t>
      </w:r>
    </w:p>
    <w:p w14:paraId="0E854E90">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w:t>
      </w:r>
    </w:p>
    <w:p w14:paraId="70DDAF22">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w:t>
      </w:r>
    </w:p>
    <w:p w14:paraId="1E781669">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w:t>
      </w:r>
    </w:p>
    <w:p w14:paraId="17E47E29">
      <w:pPr>
        <w:spacing w:before="1" w:line="360" w:lineRule="auto"/>
        <w:ind w:left="481"/>
        <w:outlineLvl w:val="1"/>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t>第八条  验收方法</w:t>
      </w:r>
    </w:p>
    <w:p w14:paraId="013A0224">
      <w:pPr>
        <w:spacing w:before="298" w:line="360" w:lineRule="auto"/>
        <w:ind w:left="1" w:right="20" w:firstLine="5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甲方应当按照政府采购合同规定的技术、服务、安全标</w:t>
      </w:r>
      <w:r>
        <w:rPr>
          <w:rFonts w:hint="eastAsia" w:ascii="宋体" w:hAnsi="宋体" w:eastAsia="宋体" w:cs="宋体"/>
          <w:color w:val="auto"/>
          <w:spacing w:val="-3"/>
          <w:sz w:val="24"/>
          <w:szCs w:val="24"/>
          <w:highlight w:val="none"/>
        </w:rPr>
        <w:t>准组织对乙方履约情况进行验收，</w:t>
      </w:r>
      <w:r>
        <w:rPr>
          <w:rFonts w:hint="eastAsia" w:ascii="宋体" w:hAnsi="宋体" w:eastAsia="宋体" w:cs="宋体"/>
          <w:color w:val="auto"/>
          <w:spacing w:val="-5"/>
          <w:sz w:val="24"/>
          <w:szCs w:val="24"/>
          <w:highlight w:val="none"/>
        </w:rPr>
        <w:t>并出具验收书。验收书应当包括每一项技术、服务、安</w:t>
      </w:r>
      <w:r>
        <w:rPr>
          <w:rFonts w:hint="eastAsia" w:ascii="宋体" w:hAnsi="宋体" w:eastAsia="宋体" w:cs="宋体"/>
          <w:color w:val="auto"/>
          <w:spacing w:val="-6"/>
          <w:sz w:val="24"/>
          <w:szCs w:val="24"/>
          <w:highlight w:val="none"/>
        </w:rPr>
        <w:t>全标准的履约情况。验收不合格的， 乙</w:t>
      </w:r>
      <w:r>
        <w:rPr>
          <w:rFonts w:hint="eastAsia" w:ascii="宋体" w:hAnsi="宋体" w:eastAsia="宋体" w:cs="宋体"/>
          <w:color w:val="auto"/>
          <w:sz w:val="24"/>
          <w:szCs w:val="24"/>
          <w:highlight w:val="none"/>
        </w:rPr>
        <w:t>方应负责重新提供达到本合同约定的质量要求的标准；验收合格的,验</w:t>
      </w:r>
      <w:r>
        <w:rPr>
          <w:rFonts w:hint="eastAsia" w:ascii="宋体" w:hAnsi="宋体" w:eastAsia="宋体" w:cs="宋体"/>
          <w:color w:val="auto"/>
          <w:spacing w:val="-1"/>
          <w:sz w:val="24"/>
          <w:szCs w:val="24"/>
          <w:highlight w:val="none"/>
        </w:rPr>
        <w:t>收书作为支付货款的重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要依据。</w:t>
      </w:r>
    </w:p>
    <w:p w14:paraId="22728A4F">
      <w:pPr>
        <w:spacing w:before="33" w:line="360" w:lineRule="auto"/>
        <w:ind w:left="5" w:right="64" w:firstLine="474"/>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政府向社会公众提供的公共服务项目，验收时应当邀请服务对象参与并出具意见，验收结</w:t>
      </w:r>
      <w:r>
        <w:rPr>
          <w:rFonts w:hint="eastAsia" w:ascii="宋体" w:hAnsi="宋体" w:eastAsia="宋体" w:cs="宋体"/>
          <w:color w:val="auto"/>
          <w:spacing w:val="11"/>
          <w:sz w:val="24"/>
          <w:szCs w:val="24"/>
          <w:highlight w:val="none"/>
        </w:rPr>
        <w:t xml:space="preserve"> </w:t>
      </w:r>
      <w:r>
        <w:rPr>
          <w:rFonts w:hint="eastAsia" w:ascii="宋体" w:hAnsi="宋体" w:eastAsia="宋体" w:cs="宋体"/>
          <w:color w:val="auto"/>
          <w:spacing w:val="-5"/>
          <w:sz w:val="24"/>
          <w:szCs w:val="24"/>
          <w:highlight w:val="none"/>
        </w:rPr>
        <w:t>果应当向社会公告。</w:t>
      </w:r>
    </w:p>
    <w:p w14:paraId="2BAE7EC4">
      <w:pPr>
        <w:spacing w:before="35" w:line="360" w:lineRule="auto"/>
        <w:ind w:left="483"/>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第九条</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违约责任</w:t>
      </w:r>
    </w:p>
    <w:p w14:paraId="53745E49">
      <w:pPr>
        <w:spacing w:before="293" w:line="360" w:lineRule="auto"/>
        <w:ind w:right="67" w:firstLine="49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1、甲方违反本合同的约定，使乙方不能完成服务目标，乙方有权要求甲</w:t>
      </w:r>
      <w:r>
        <w:rPr>
          <w:rFonts w:hint="eastAsia" w:ascii="宋体" w:hAnsi="宋体" w:eastAsia="宋体" w:cs="宋体"/>
          <w:color w:val="auto"/>
          <w:spacing w:val="-1"/>
          <w:sz w:val="24"/>
          <w:szCs w:val="24"/>
          <w:highlight w:val="none"/>
        </w:rPr>
        <w:t>方在一定期限内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解决，逾期未解决的乙方有权终止合同；造成乙方经济损失的，甲方应给予乙方经济</w:t>
      </w:r>
      <w:r>
        <w:rPr>
          <w:rFonts w:hint="eastAsia" w:ascii="宋体" w:hAnsi="宋体" w:eastAsia="宋体" w:cs="宋体"/>
          <w:color w:val="auto"/>
          <w:spacing w:val="-2"/>
          <w:sz w:val="24"/>
          <w:szCs w:val="24"/>
          <w:highlight w:val="none"/>
        </w:rPr>
        <w:t>赔偿。</w:t>
      </w:r>
    </w:p>
    <w:p w14:paraId="7426E9B7">
      <w:pPr>
        <w:spacing w:before="35" w:line="360" w:lineRule="auto"/>
        <w:ind w:right="62" w:firstLine="48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2、乙方违反本合同的约定，不能完成服务目标，甲方有权要求乙方限期整改，逾期未整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2"/>
          <w:sz w:val="24"/>
          <w:szCs w:val="24"/>
          <w:highlight w:val="none"/>
        </w:rPr>
        <w:t>改或多次整改无提高，甲方有权单方终止合</w:t>
      </w:r>
      <w:r>
        <w:rPr>
          <w:rFonts w:hint="eastAsia" w:ascii="宋体" w:hAnsi="宋体" w:eastAsia="宋体" w:cs="宋体"/>
          <w:color w:val="auto"/>
          <w:spacing w:val="-3"/>
          <w:sz w:val="24"/>
          <w:szCs w:val="24"/>
          <w:highlight w:val="none"/>
        </w:rPr>
        <w:t>同；造成甲方经济损失的，乙方应给予甲方经济赔</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偿。</w:t>
      </w:r>
    </w:p>
    <w:p w14:paraId="77559451">
      <w:pPr>
        <w:spacing w:before="34" w:line="360" w:lineRule="auto"/>
        <w:ind w:left="1" w:right="64" w:firstLine="48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3、乙方违反本合同的约定，擅自提高收费标准的，甲方有权要求乙方清退；造成甲方经</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3"/>
          <w:sz w:val="24"/>
          <w:szCs w:val="24"/>
          <w:highlight w:val="none"/>
        </w:rPr>
        <w:t>济损失的，乙方应给予甲方经济赔偿。</w:t>
      </w:r>
    </w:p>
    <w:p w14:paraId="2B9A230F">
      <w:pPr>
        <w:spacing w:before="39"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4、甲乙双方任何一方无法律依据提前终止本合同的，违约方应赔偿对方</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
          <w:sz w:val="24"/>
          <w:szCs w:val="24"/>
          <w:highlight w:val="none"/>
        </w:rPr>
        <w:t>元的违约金；</w:t>
      </w:r>
      <w:r>
        <w:rPr>
          <w:rFonts w:hint="eastAsia" w:ascii="宋体" w:hAnsi="宋体" w:eastAsia="宋体" w:cs="宋体"/>
          <w:color w:val="auto"/>
          <w:spacing w:val="-3"/>
          <w:sz w:val="24"/>
          <w:szCs w:val="24"/>
          <w:highlight w:val="none"/>
        </w:rPr>
        <w:t>造成对方经济损失的，应给予经济赔偿。</w:t>
      </w:r>
    </w:p>
    <w:p w14:paraId="3A6838CD">
      <w:pPr>
        <w:spacing w:before="32" w:line="360" w:lineRule="auto"/>
        <w:ind w:left="486"/>
        <w:outlineLvl w:val="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5、其他。</w:t>
      </w:r>
    </w:p>
    <w:p w14:paraId="246FD96F">
      <w:pPr>
        <w:spacing w:before="294" w:line="360" w:lineRule="auto"/>
        <w:ind w:left="483"/>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第十条</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其他事项</w:t>
      </w:r>
    </w:p>
    <w:p w14:paraId="35413356">
      <w:pPr>
        <w:spacing w:before="295" w:line="360" w:lineRule="auto"/>
        <w:ind w:left="499"/>
        <w:outlineLvl w:val="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1、本合同自甲乙双方签字盖章后生效。</w:t>
      </w:r>
    </w:p>
    <w:p w14:paraId="2E4A2DC4">
      <w:pPr>
        <w:spacing w:before="266" w:line="360" w:lineRule="auto"/>
        <w:ind w:right="110" w:firstLine="484"/>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rPr>
        <w:t>、合同执行期内，甲乙双方均不得随意变更或解除合同。合同如有未尽事宜，须经双方</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3"/>
          <w:sz w:val="24"/>
          <w:szCs w:val="24"/>
          <w:highlight w:val="none"/>
        </w:rPr>
        <w:t>共同协商，做出补充规定，补充规定与本合同具有同等效力，也可按照《中华人民共</w:t>
      </w:r>
      <w:r>
        <w:rPr>
          <w:rFonts w:hint="eastAsia" w:ascii="宋体" w:hAnsi="宋体" w:eastAsia="宋体" w:cs="宋体"/>
          <w:color w:val="auto"/>
          <w:spacing w:val="-4"/>
          <w:sz w:val="24"/>
          <w:szCs w:val="24"/>
          <w:highlight w:val="none"/>
        </w:rPr>
        <w:t>和国合同</w:t>
      </w:r>
      <w:r>
        <w:rPr>
          <w:rFonts w:hint="eastAsia" w:ascii="宋体" w:hAnsi="宋体" w:eastAsia="宋体" w:cs="宋体"/>
          <w:color w:val="auto"/>
          <w:spacing w:val="-5"/>
          <w:sz w:val="24"/>
          <w:szCs w:val="24"/>
          <w:highlight w:val="none"/>
        </w:rPr>
        <w:t>法》的规定执行。</w:t>
      </w:r>
    </w:p>
    <w:p w14:paraId="3BB7713F">
      <w:pPr>
        <w:spacing w:before="35" w:line="360" w:lineRule="auto"/>
        <w:ind w:left="5" w:right="11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3、本合同执行期间，如遇不可抗力，致使合同无法履行</w:t>
      </w:r>
      <w:r>
        <w:rPr>
          <w:rFonts w:hint="eastAsia" w:ascii="宋体" w:hAnsi="宋体" w:eastAsia="宋体" w:cs="宋体"/>
          <w:color w:val="auto"/>
          <w:spacing w:val="-1"/>
          <w:sz w:val="24"/>
          <w:szCs w:val="24"/>
          <w:highlight w:val="none"/>
        </w:rPr>
        <w:t>时，双方按有关法律规定及时协</w:t>
      </w:r>
      <w:r>
        <w:rPr>
          <w:rFonts w:hint="eastAsia" w:ascii="宋体" w:hAnsi="宋体" w:eastAsia="宋体" w:cs="宋体"/>
          <w:color w:val="auto"/>
          <w:spacing w:val="-10"/>
          <w:sz w:val="24"/>
          <w:szCs w:val="24"/>
          <w:highlight w:val="none"/>
        </w:rPr>
        <w:t>商处理。</w:t>
      </w:r>
    </w:p>
    <w:p w14:paraId="7DA93C84">
      <w:pPr>
        <w:spacing w:before="30" w:line="360" w:lineRule="auto"/>
        <w:ind w:right="106" w:firstLine="480"/>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4、本合同如发生纠纷，当事人双方应当及时协商解决，协商不成</w:t>
      </w:r>
      <w:r>
        <w:rPr>
          <w:rFonts w:hint="eastAsia" w:ascii="宋体" w:hAnsi="宋体" w:eastAsia="宋体" w:cs="宋体"/>
          <w:color w:val="auto"/>
          <w:spacing w:val="-1"/>
          <w:sz w:val="24"/>
          <w:szCs w:val="24"/>
          <w:highlight w:val="none"/>
        </w:rPr>
        <w:t>时，任何一方均可请政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府采购监督管理机关调解，调解不成，按以下第</w:t>
      </w:r>
      <w:r>
        <w:rPr>
          <w:rFonts w:hint="eastAsia" w:ascii="宋体" w:hAnsi="宋体" w:eastAsia="宋体" w:cs="宋体"/>
          <w:color w:val="auto"/>
          <w:spacing w:val="-27"/>
          <w:sz w:val="24"/>
          <w:szCs w:val="24"/>
          <w:highlight w:val="none"/>
        </w:rPr>
        <w:t>（</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7"/>
          <w:sz w:val="24"/>
          <w:szCs w:val="24"/>
          <w:highlight w:val="none"/>
        </w:rPr>
        <w:t>）</w:t>
      </w:r>
      <w:r>
        <w:rPr>
          <w:rFonts w:hint="eastAsia" w:ascii="宋体" w:hAnsi="宋体" w:eastAsia="宋体" w:cs="宋体"/>
          <w:color w:val="auto"/>
          <w:spacing w:val="-2"/>
          <w:sz w:val="24"/>
          <w:szCs w:val="24"/>
          <w:highlight w:val="none"/>
        </w:rPr>
        <w:t>项方式处理</w:t>
      </w:r>
      <w:r>
        <w:rPr>
          <w:rFonts w:hint="eastAsia" w:ascii="宋体" w:hAnsi="宋体" w:eastAsia="宋体" w:cs="宋体"/>
          <w:color w:val="auto"/>
          <w:spacing w:val="-27"/>
          <w:sz w:val="24"/>
          <w:szCs w:val="24"/>
          <w:highlight w:val="none"/>
        </w:rPr>
        <w:t>：（</w:t>
      </w:r>
      <w:r>
        <w:rPr>
          <w:rFonts w:hint="eastAsia" w:ascii="宋体" w:hAnsi="宋体" w:eastAsia="宋体" w:cs="宋体"/>
          <w:color w:val="auto"/>
          <w:spacing w:val="-2"/>
          <w:sz w:val="24"/>
          <w:szCs w:val="24"/>
          <w:highlight w:val="none"/>
        </w:rPr>
        <w:t>1）根据《中华人民共和</w:t>
      </w:r>
      <w:r>
        <w:rPr>
          <w:rFonts w:hint="eastAsia" w:ascii="宋体" w:hAnsi="宋体" w:eastAsia="宋体" w:cs="宋体"/>
          <w:color w:val="auto"/>
          <w:spacing w:val="-1"/>
          <w:sz w:val="24"/>
          <w:szCs w:val="24"/>
          <w:highlight w:val="none"/>
        </w:rPr>
        <w:t>国仲裁法》的规定申请仲裁。</w:t>
      </w:r>
    </w:p>
    <w:p w14:paraId="37429BEB">
      <w:pPr>
        <w:spacing w:before="30" w:line="360" w:lineRule="auto"/>
        <w:ind w:right="10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（2）向合同签订地有管辖权的</w:t>
      </w:r>
      <w:r>
        <w:rPr>
          <w:rFonts w:hint="eastAsia" w:ascii="宋体" w:hAnsi="宋体" w:eastAsia="宋体" w:cs="宋体"/>
          <w:color w:val="auto"/>
          <w:spacing w:val="-2"/>
          <w:sz w:val="24"/>
          <w:szCs w:val="24"/>
          <w:highlight w:val="none"/>
        </w:rPr>
        <w:t>人民法院起诉。</w:t>
      </w:r>
    </w:p>
    <w:p w14:paraId="6DFE6B28">
      <w:pPr>
        <w:spacing w:before="33" w:line="360" w:lineRule="auto"/>
        <w:ind w:firstLine="48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5、采购双方必须严格按照磋商文件、响应文件及有关</w:t>
      </w:r>
      <w:r>
        <w:rPr>
          <w:rFonts w:hint="eastAsia" w:ascii="宋体" w:hAnsi="宋体" w:eastAsia="宋体" w:cs="宋体"/>
          <w:color w:val="auto"/>
          <w:spacing w:val="-7"/>
          <w:sz w:val="24"/>
          <w:szCs w:val="24"/>
          <w:highlight w:val="none"/>
        </w:rPr>
        <w:t>承诺签订采购合同， 不得擅自变更。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对任何因双方擅自变更合同引起的问题市政府采购中心概不负责，合同风险由双方自行承</w:t>
      </w:r>
      <w:r>
        <w:rPr>
          <w:rFonts w:hint="eastAsia" w:ascii="宋体" w:hAnsi="宋体" w:eastAsia="宋体" w:cs="宋体"/>
          <w:color w:val="auto"/>
          <w:spacing w:val="-2"/>
          <w:sz w:val="24"/>
          <w:szCs w:val="24"/>
          <w:highlight w:val="none"/>
        </w:rPr>
        <w:t>担。</w:t>
      </w:r>
    </w:p>
    <w:p w14:paraId="039EBE40">
      <w:pPr>
        <w:spacing w:before="33" w:line="360" w:lineRule="auto"/>
        <w:ind w:firstLine="486"/>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6、本合同一式 份，甲乙双方各执  份。</w:t>
      </w:r>
    </w:p>
    <w:p w14:paraId="63D1F256">
      <w:pPr>
        <w:spacing w:before="33" w:line="360" w:lineRule="auto"/>
        <w:ind w:firstLine="486"/>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第十一条下列关于项目编号</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rPr>
        <w:t>号的采购文件及有关附件是本合同不可分割的组成部分，与本合同具有同等法律效力，这些文件包括但不限于：</w:t>
      </w:r>
    </w:p>
    <w:p w14:paraId="6FC03F9F">
      <w:pPr>
        <w:spacing w:before="33" w:line="360" w:lineRule="auto"/>
        <w:ind w:firstLine="486"/>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（1）磋商文件（2）乙方提供 的响应文件（3）服务承诺；（4）甲乙双方商定的其他文件。以上附件顺序在前的具有优先解释权。</w:t>
      </w:r>
    </w:p>
    <w:p w14:paraId="4D67625B">
      <w:pPr>
        <w:spacing w:before="72" w:line="360" w:lineRule="auto"/>
        <w:rPr>
          <w:rFonts w:hint="eastAsia" w:ascii="宋体" w:hAnsi="宋体" w:eastAsia="宋体" w:cs="宋体"/>
          <w:color w:val="auto"/>
          <w:spacing w:val="-1"/>
          <w:sz w:val="24"/>
          <w:szCs w:val="24"/>
          <w:highlight w:val="none"/>
        </w:rPr>
      </w:pPr>
    </w:p>
    <w:p w14:paraId="6DDD1748">
      <w:pPr>
        <w:spacing w:before="72" w:line="36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采购人（甲方</w:t>
      </w:r>
      <w:r>
        <w:rPr>
          <w:rFonts w:hint="eastAsia" w:ascii="宋体" w:hAnsi="宋体" w:eastAsia="宋体" w:cs="宋体"/>
          <w:color w:val="auto"/>
          <w:sz w:val="24"/>
          <w:szCs w:val="24"/>
          <w:highlight w:val="none"/>
        </w:rPr>
        <w:t>）：    （</w:t>
      </w:r>
      <w:r>
        <w:rPr>
          <w:rFonts w:hint="eastAsia" w:ascii="宋体" w:hAnsi="宋体" w:eastAsia="宋体" w:cs="宋体"/>
          <w:color w:val="auto"/>
          <w:spacing w:val="-1"/>
          <w:sz w:val="24"/>
          <w:szCs w:val="24"/>
          <w:highlight w:val="none"/>
        </w:rPr>
        <w:t xml:space="preserve">公章）  </w:t>
      </w:r>
      <w:r>
        <w:rPr>
          <w:rFonts w:hint="eastAsia" w:ascii="宋体" w:hAnsi="宋体" w:eastAsia="宋体" w:cs="宋体"/>
          <w:color w:val="auto"/>
          <w:spacing w:val="-1"/>
          <w:sz w:val="24"/>
          <w:szCs w:val="24"/>
          <w:highlight w:val="none"/>
          <w:lang w:val="en-US" w:eastAsia="zh-CN"/>
        </w:rPr>
        <w:t xml:space="preserve">    </w:t>
      </w:r>
      <w:r>
        <w:rPr>
          <w:rFonts w:hint="eastAsia" w:ascii="宋体" w:hAnsi="宋体" w:eastAsia="宋体" w:cs="宋体"/>
          <w:color w:val="auto"/>
          <w:spacing w:val="-1"/>
          <w:sz w:val="24"/>
          <w:szCs w:val="24"/>
          <w:highlight w:val="none"/>
        </w:rPr>
        <w:t xml:space="preserve"> 供应商（乙方</w:t>
      </w:r>
      <w:r>
        <w:rPr>
          <w:rFonts w:hint="eastAsia" w:ascii="宋体" w:hAnsi="宋体" w:eastAsia="宋体" w:cs="宋体"/>
          <w:color w:val="auto"/>
          <w:sz w:val="24"/>
          <w:szCs w:val="24"/>
          <w:highlight w:val="none"/>
        </w:rPr>
        <w:t>）： （</w:t>
      </w:r>
      <w:r>
        <w:rPr>
          <w:rFonts w:hint="eastAsia" w:ascii="宋体" w:hAnsi="宋体" w:eastAsia="宋体" w:cs="宋体"/>
          <w:color w:val="auto"/>
          <w:spacing w:val="-1"/>
          <w:sz w:val="24"/>
          <w:szCs w:val="24"/>
          <w:highlight w:val="none"/>
        </w:rPr>
        <w:t>公章）</w:t>
      </w:r>
    </w:p>
    <w:p w14:paraId="0B62543A">
      <w:pPr>
        <w:spacing w:before="183" w:line="360" w:lineRule="auto"/>
        <w:ind w:left="481"/>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 xml:space="preserve">地址：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6"/>
          <w:sz w:val="24"/>
          <w:szCs w:val="24"/>
          <w:highlight w:val="none"/>
        </w:rPr>
        <w:t xml:space="preserve"> 地址：</w:t>
      </w:r>
    </w:p>
    <w:p w14:paraId="510FED2A">
      <w:pPr>
        <w:spacing w:before="167" w:line="360" w:lineRule="auto"/>
        <w:ind w:left="482"/>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法定代表人：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6"/>
          <w:sz w:val="24"/>
          <w:szCs w:val="24"/>
          <w:highlight w:val="none"/>
        </w:rPr>
        <w:t>法定代表人：</w:t>
      </w:r>
    </w:p>
    <w:p w14:paraId="07D7A767">
      <w:pPr>
        <w:spacing w:before="182" w:line="36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委托代理人：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6"/>
          <w:sz w:val="24"/>
          <w:szCs w:val="24"/>
          <w:highlight w:val="none"/>
        </w:rPr>
        <w:t>委托代理人：</w:t>
      </w:r>
    </w:p>
    <w:p w14:paraId="7EBE5EEC">
      <w:pPr>
        <w:spacing w:before="181" w:line="360" w:lineRule="auto"/>
        <w:ind w:left="50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 xml:space="preserve">电话：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lang w:val="en-US" w:eastAsia="zh-CN"/>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lang w:val="en-US" w:eastAsia="zh-CN"/>
        </w:rPr>
        <w:t xml:space="preserve">  </w:t>
      </w:r>
      <w:r>
        <w:rPr>
          <w:rFonts w:hint="eastAsia" w:ascii="宋体" w:hAnsi="宋体" w:eastAsia="宋体" w:cs="宋体"/>
          <w:color w:val="auto"/>
          <w:spacing w:val="-10"/>
          <w:sz w:val="24"/>
          <w:szCs w:val="24"/>
          <w:highlight w:val="none"/>
        </w:rPr>
        <w:t>电话：</w:t>
      </w:r>
    </w:p>
    <w:p w14:paraId="4703A601">
      <w:pPr>
        <w:spacing w:before="180" w:line="360" w:lineRule="auto"/>
        <w:ind w:left="482"/>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开户银行：</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7"/>
          <w:sz w:val="24"/>
          <w:szCs w:val="24"/>
          <w:highlight w:val="none"/>
        </w:rPr>
        <w:t>开户银行：</w:t>
      </w:r>
    </w:p>
    <w:p w14:paraId="24AF64E2">
      <w:pPr>
        <w:spacing w:before="179" w:line="360"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 xml:space="preserve">账号：                      </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6"/>
          <w:sz w:val="24"/>
          <w:szCs w:val="24"/>
          <w:highlight w:val="none"/>
          <w:lang w:val="en-US" w:eastAsia="zh-CN"/>
        </w:rPr>
        <w:t xml:space="preserve">       </w:t>
      </w:r>
      <w:r>
        <w:rPr>
          <w:rFonts w:hint="eastAsia" w:ascii="宋体" w:hAnsi="宋体" w:eastAsia="宋体" w:cs="宋体"/>
          <w:color w:val="auto"/>
          <w:spacing w:val="-6"/>
          <w:sz w:val="24"/>
          <w:szCs w:val="24"/>
          <w:highlight w:val="none"/>
        </w:rPr>
        <w:t>账号：</w:t>
      </w:r>
    </w:p>
    <w:p w14:paraId="021CEBB7">
      <w:pPr>
        <w:ind w:firstLine="468" w:firstLineChars="200"/>
        <w:jc w:val="both"/>
        <w:outlineLvl w:val="0"/>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年</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color w:val="auto"/>
          <w:spacing w:val="-3"/>
          <w:sz w:val="24"/>
          <w:szCs w:val="24"/>
          <w:highlight w:val="none"/>
        </w:rPr>
        <w:t>月</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color w:val="auto"/>
          <w:spacing w:val="-3"/>
          <w:sz w:val="24"/>
          <w:szCs w:val="24"/>
          <w:highlight w:val="none"/>
        </w:rPr>
        <w:t>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年</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color w:val="auto"/>
          <w:spacing w:val="-3"/>
          <w:sz w:val="24"/>
          <w:szCs w:val="24"/>
          <w:highlight w:val="none"/>
        </w:rPr>
        <w:t>月</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color w:val="auto"/>
          <w:spacing w:val="-3"/>
          <w:sz w:val="24"/>
          <w:szCs w:val="24"/>
          <w:highlight w:val="none"/>
        </w:rPr>
        <w:t>日</w:t>
      </w:r>
    </w:p>
    <w:p w14:paraId="691679B5">
      <w:pPr>
        <w:jc w:val="center"/>
        <w:outlineLvl w:val="0"/>
        <w:rPr>
          <w:rFonts w:hint="eastAsia" w:ascii="宋体" w:hAnsi="宋体" w:eastAsia="宋体" w:cs="宋体"/>
          <w:b/>
          <w:bCs/>
          <w:color w:val="auto"/>
          <w:sz w:val="32"/>
          <w:szCs w:val="32"/>
          <w:highlight w:val="none"/>
        </w:rPr>
      </w:pPr>
      <w:r>
        <w:rPr>
          <w:rFonts w:hint="eastAsia" w:ascii="宋体" w:hAnsi="宋体" w:eastAsia="宋体" w:cs="宋体"/>
          <w:color w:val="auto"/>
          <w:spacing w:val="-3"/>
          <w:sz w:val="24"/>
          <w:szCs w:val="24"/>
          <w:highlight w:val="none"/>
        </w:rPr>
        <w:br w:type="page"/>
      </w:r>
      <w:r>
        <w:rPr>
          <w:rFonts w:hint="eastAsia" w:ascii="宋体" w:hAnsi="宋体" w:eastAsia="宋体" w:cs="宋体"/>
          <w:b/>
          <w:bCs/>
          <w:color w:val="auto"/>
          <w:sz w:val="32"/>
          <w:szCs w:val="32"/>
          <w:highlight w:val="none"/>
        </w:rPr>
        <w:t>第六章 响应性文件部分格式</w:t>
      </w:r>
      <w:bookmarkEnd w:id="331"/>
      <w:bookmarkEnd w:id="332"/>
      <w:bookmarkEnd w:id="333"/>
      <w:bookmarkEnd w:id="334"/>
      <w:bookmarkEnd w:id="335"/>
      <w:bookmarkEnd w:id="336"/>
    </w:p>
    <w:p w14:paraId="4C53865C">
      <w:pPr>
        <w:spacing w:line="360" w:lineRule="auto"/>
        <w:rPr>
          <w:rFonts w:hint="eastAsia" w:ascii="宋体" w:hAnsi="宋体" w:eastAsia="宋体" w:cs="宋体"/>
          <w:b/>
          <w:bCs/>
          <w:color w:val="auto"/>
          <w:sz w:val="32"/>
          <w:szCs w:val="32"/>
          <w:highlight w:val="none"/>
        </w:rPr>
      </w:pPr>
    </w:p>
    <w:p w14:paraId="1083E2E1">
      <w:pPr>
        <w:spacing w:line="360" w:lineRule="auto"/>
        <w:rPr>
          <w:rFonts w:hint="eastAsia" w:ascii="宋体" w:hAnsi="宋体" w:eastAsia="宋体" w:cs="宋体"/>
          <w:b/>
          <w:color w:val="auto"/>
          <w:sz w:val="30"/>
          <w:szCs w:val="30"/>
          <w:highlight w:val="none"/>
        </w:rPr>
      </w:pPr>
    </w:p>
    <w:p w14:paraId="3DFE9BD3">
      <w:pPr>
        <w:widowControl/>
        <w:jc w:val="left"/>
        <w:rPr>
          <w:rFonts w:hint="eastAsia" w:ascii="宋体" w:hAnsi="宋体" w:eastAsia="宋体" w:cs="宋体"/>
          <w:color w:val="auto"/>
          <w:highlight w:val="none"/>
        </w:rPr>
      </w:pPr>
    </w:p>
    <w:p w14:paraId="44662576">
      <w:pPr>
        <w:spacing w:line="360" w:lineRule="auto"/>
        <w:jc w:val="center"/>
        <w:rPr>
          <w:rFonts w:hint="eastAsia" w:ascii="宋体" w:hAnsi="宋体" w:eastAsia="宋体" w:cs="宋体"/>
          <w:b/>
          <w:color w:val="auto"/>
          <w:sz w:val="30"/>
          <w:szCs w:val="30"/>
          <w:highlight w:val="none"/>
          <w:u w:val="single"/>
        </w:rPr>
      </w:pPr>
      <w:r>
        <w:rPr>
          <w:rFonts w:hint="eastAsia" w:ascii="宋体" w:hAnsi="宋体" w:eastAsia="宋体" w:cs="宋体"/>
          <w:b/>
          <w:color w:val="auto"/>
          <w:sz w:val="30"/>
          <w:szCs w:val="30"/>
          <w:highlight w:val="none"/>
        </w:rPr>
        <w:t xml:space="preserve">       </w:t>
      </w: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rPr>
        <w:t>（项目名称）</w:t>
      </w:r>
    </w:p>
    <w:p w14:paraId="731B54D1">
      <w:pPr>
        <w:spacing w:line="360" w:lineRule="auto"/>
        <w:rPr>
          <w:rFonts w:hint="eastAsia" w:ascii="宋体" w:hAnsi="宋体" w:eastAsia="宋体" w:cs="宋体"/>
          <w:b/>
          <w:color w:val="auto"/>
          <w:highlight w:val="none"/>
        </w:rPr>
      </w:pPr>
    </w:p>
    <w:p w14:paraId="79A1498F">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响 应 性 文 件</w:t>
      </w:r>
    </w:p>
    <w:p w14:paraId="7DE655FF">
      <w:pPr>
        <w:spacing w:line="360" w:lineRule="auto"/>
        <w:ind w:firstLine="420" w:firstLineChars="200"/>
        <w:rPr>
          <w:rFonts w:hint="eastAsia" w:ascii="宋体" w:hAnsi="宋体" w:eastAsia="宋体" w:cs="宋体"/>
          <w:color w:val="auto"/>
          <w:highlight w:val="none"/>
        </w:rPr>
      </w:pPr>
    </w:p>
    <w:p w14:paraId="1702B2B1">
      <w:pPr>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项目编号：</w:t>
      </w:r>
    </w:p>
    <w:p w14:paraId="2DAB18D2">
      <w:pPr>
        <w:spacing w:line="360" w:lineRule="auto"/>
        <w:ind w:firstLine="420" w:firstLineChars="200"/>
        <w:rPr>
          <w:rFonts w:hint="eastAsia" w:ascii="宋体" w:hAnsi="宋体" w:eastAsia="宋体" w:cs="宋体"/>
          <w:color w:val="auto"/>
          <w:highlight w:val="none"/>
        </w:rPr>
      </w:pPr>
    </w:p>
    <w:p w14:paraId="442C4478">
      <w:pPr>
        <w:spacing w:line="360" w:lineRule="auto"/>
        <w:ind w:firstLine="420" w:firstLineChars="200"/>
        <w:rPr>
          <w:rFonts w:hint="eastAsia" w:ascii="宋体" w:hAnsi="宋体" w:eastAsia="宋体" w:cs="宋体"/>
          <w:color w:val="auto"/>
          <w:highlight w:val="none"/>
        </w:rPr>
      </w:pPr>
    </w:p>
    <w:p w14:paraId="2FBE7819">
      <w:pPr>
        <w:spacing w:line="360" w:lineRule="auto"/>
        <w:ind w:firstLine="420" w:firstLineChars="200"/>
        <w:rPr>
          <w:rFonts w:hint="eastAsia" w:ascii="宋体" w:hAnsi="宋体" w:eastAsia="宋体" w:cs="宋体"/>
          <w:color w:val="auto"/>
          <w:highlight w:val="none"/>
        </w:rPr>
      </w:pPr>
    </w:p>
    <w:p w14:paraId="374AFD7D">
      <w:pPr>
        <w:spacing w:line="360" w:lineRule="auto"/>
        <w:ind w:firstLine="420" w:firstLineChars="200"/>
        <w:rPr>
          <w:rFonts w:hint="eastAsia" w:ascii="宋体" w:hAnsi="宋体" w:eastAsia="宋体" w:cs="宋体"/>
          <w:color w:val="auto"/>
          <w:highlight w:val="none"/>
        </w:rPr>
      </w:pPr>
    </w:p>
    <w:p w14:paraId="69661E7E">
      <w:pPr>
        <w:spacing w:line="360" w:lineRule="auto"/>
        <w:ind w:firstLine="420" w:firstLineChars="200"/>
        <w:rPr>
          <w:rFonts w:hint="eastAsia" w:ascii="宋体" w:hAnsi="宋体" w:eastAsia="宋体" w:cs="宋体"/>
          <w:color w:val="auto"/>
          <w:highlight w:val="none"/>
        </w:rPr>
      </w:pPr>
    </w:p>
    <w:p w14:paraId="3DF4F84C">
      <w:pPr>
        <w:spacing w:line="360" w:lineRule="auto"/>
        <w:rPr>
          <w:rFonts w:hint="eastAsia" w:ascii="宋体" w:hAnsi="宋体" w:eastAsia="宋体" w:cs="宋体"/>
          <w:color w:val="auto"/>
          <w:highlight w:val="none"/>
        </w:rPr>
      </w:pPr>
    </w:p>
    <w:p w14:paraId="3083E850">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w:t>
      </w:r>
    </w:p>
    <w:p w14:paraId="32636A9A">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法定代表人或其委托代理人：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（电子签章或签字）</w:t>
      </w:r>
    </w:p>
    <w:p w14:paraId="41711959">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_____年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793D497B">
      <w:pPr>
        <w:spacing w:line="360" w:lineRule="auto"/>
        <w:rPr>
          <w:rFonts w:hint="eastAsia" w:ascii="宋体" w:hAnsi="宋体" w:eastAsia="宋体" w:cs="宋体"/>
          <w:color w:val="auto"/>
          <w:highlight w:val="none"/>
        </w:rPr>
      </w:pPr>
    </w:p>
    <w:p w14:paraId="0DE0DE45">
      <w:pPr>
        <w:spacing w:line="360" w:lineRule="auto"/>
        <w:rPr>
          <w:rFonts w:hint="eastAsia" w:ascii="宋体" w:hAnsi="宋体" w:eastAsia="宋体" w:cs="宋体"/>
          <w:color w:val="auto"/>
          <w:highlight w:val="none"/>
        </w:rPr>
      </w:pPr>
    </w:p>
    <w:p w14:paraId="4B8E64C4">
      <w:pPr>
        <w:spacing w:line="360" w:lineRule="auto"/>
        <w:rPr>
          <w:rFonts w:hint="eastAsia" w:ascii="宋体" w:hAnsi="宋体" w:eastAsia="宋体" w:cs="宋体"/>
          <w:color w:val="auto"/>
          <w:highlight w:val="none"/>
        </w:rPr>
      </w:pPr>
    </w:p>
    <w:p w14:paraId="31485BA0">
      <w:pPr>
        <w:shd w:val="clear" w:color="auto" w:fill="FFFFFF"/>
        <w:tabs>
          <w:tab w:val="right" w:pos="6077"/>
        </w:tabs>
        <w:autoSpaceDE w:val="0"/>
        <w:autoSpaceDN w:val="0"/>
        <w:spacing w:line="560" w:lineRule="exact"/>
        <w:jc w:val="center"/>
        <w:rPr>
          <w:rFonts w:hint="eastAsia" w:ascii="宋体" w:hAnsi="宋体" w:eastAsia="宋体" w:cs="宋体"/>
          <w:b/>
          <w:color w:val="auto"/>
          <w:highlight w:val="none"/>
        </w:rPr>
      </w:pPr>
    </w:p>
    <w:p w14:paraId="24185C2B">
      <w:pPr>
        <w:shd w:val="clear" w:color="auto" w:fill="FFFFFF"/>
        <w:tabs>
          <w:tab w:val="right" w:pos="6077"/>
        </w:tabs>
        <w:autoSpaceDE w:val="0"/>
        <w:autoSpaceDN w:val="0"/>
        <w:spacing w:line="560" w:lineRule="exact"/>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r>
        <w:rPr>
          <w:rFonts w:hint="eastAsia" w:ascii="宋体" w:hAnsi="宋体" w:eastAsia="宋体" w:cs="宋体"/>
          <w:b/>
          <w:color w:val="auto"/>
          <w:sz w:val="36"/>
          <w:szCs w:val="36"/>
          <w:highlight w:val="none"/>
        </w:rPr>
        <w:t>目    录</w:t>
      </w:r>
    </w:p>
    <w:p w14:paraId="1BB91899">
      <w:pPr>
        <w:shd w:val="clear" w:color="auto" w:fill="FFFFFF"/>
        <w:autoSpaceDE w:val="0"/>
        <w:autoSpaceDN w:val="0"/>
        <w:spacing w:line="560" w:lineRule="exact"/>
        <w:ind w:right="600"/>
        <w:rPr>
          <w:rFonts w:hint="eastAsia" w:ascii="宋体" w:hAnsi="宋体" w:eastAsia="宋体" w:cs="宋体"/>
          <w:color w:val="auto"/>
          <w:sz w:val="24"/>
          <w:highlight w:val="none"/>
        </w:rPr>
      </w:pPr>
    </w:p>
    <w:p w14:paraId="0C88C103">
      <w:p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rPr>
      </w:pPr>
      <w:bookmarkStart w:id="337" w:name="_Toc30996"/>
      <w:bookmarkStart w:id="338" w:name="_Toc16520681"/>
      <w:bookmarkStart w:id="339" w:name="_Toc90623954"/>
      <w:bookmarkStart w:id="340" w:name="_Toc14135"/>
      <w:bookmarkStart w:id="341" w:name="_Toc16520169"/>
      <w:bookmarkStart w:id="342" w:name="_Toc121405496"/>
      <w:bookmarkStart w:id="343" w:name="_Toc508179892"/>
      <w:r>
        <w:rPr>
          <w:rFonts w:hint="eastAsia" w:ascii="宋体" w:hAnsi="宋体" w:eastAsia="宋体" w:cs="宋体"/>
          <w:b/>
          <w:bCs/>
          <w:color w:val="auto"/>
          <w:sz w:val="32"/>
          <w:szCs w:val="32"/>
          <w:highlight w:val="none"/>
          <w:lang w:val="en-US" w:eastAsia="zh-CN"/>
        </w:rPr>
        <w:t>格式自拟</w:t>
      </w: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一、报价函</w:t>
      </w:r>
      <w:bookmarkEnd w:id="337"/>
      <w:bookmarkEnd w:id="338"/>
      <w:bookmarkEnd w:id="339"/>
      <w:bookmarkEnd w:id="340"/>
      <w:bookmarkEnd w:id="341"/>
      <w:bookmarkEnd w:id="342"/>
      <w:bookmarkEnd w:id="343"/>
      <w:r>
        <w:rPr>
          <w:rFonts w:hint="eastAsia" w:ascii="宋体" w:hAnsi="宋体" w:eastAsia="宋体" w:cs="宋体"/>
          <w:b/>
          <w:bCs/>
          <w:color w:val="auto"/>
          <w:sz w:val="32"/>
          <w:szCs w:val="32"/>
          <w:highlight w:val="none"/>
        </w:rPr>
        <w:t xml:space="preserve"> </w:t>
      </w:r>
    </w:p>
    <w:p w14:paraId="0A6A539D">
      <w:pPr>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（1）报价函</w:t>
      </w:r>
    </w:p>
    <w:p w14:paraId="1A58E45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（采购人名称）: </w:t>
      </w:r>
    </w:p>
    <w:p w14:paraId="02CEE36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1．在研究了上述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（项目名称）的竞争性磋商文件后，我们愿意按人民币（大写）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）的磋商报价，</w:t>
      </w:r>
      <w:r>
        <w:rPr>
          <w:rFonts w:hint="eastAsia" w:ascii="宋体" w:hAnsi="宋体" w:eastAsia="宋体" w:cs="宋体"/>
          <w:color w:val="auto"/>
          <w:sz w:val="24"/>
          <w:highlight w:val="none"/>
          <w:lang w:eastAsia="zh-CN"/>
        </w:rPr>
        <w:t>服务期限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，服务质量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，遵照竞争性磋商文件的要求及合同约定承包该项目的实施、完成及其缺陷修复工作。</w:t>
      </w:r>
    </w:p>
    <w:p w14:paraId="6DC6A17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2．我方承诺在磋商投标有效期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内不修改、撤销响应性文件。</w:t>
      </w:r>
    </w:p>
    <w:p w14:paraId="4335F1B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如果你单位接受我们的报价，我们将保证在接到开工通知后，在本响应性文件内写明的开服务期限内开工，所有上岗人员按照磋商承诺，及时到位，组织工作。并在计划服务期限内完成本合同项目，达到合同规定的要求。</w:t>
      </w:r>
    </w:p>
    <w:p w14:paraId="1706DBF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4．如我方成交：</w:t>
      </w:r>
    </w:p>
    <w:p w14:paraId="4A80014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(l）我方承诺在收到成交通知书后，在成交通知书规定的期限内与你方签订合同。</w:t>
      </w:r>
    </w:p>
    <w:p w14:paraId="2C4E536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(2）我们愿提供磋商文件中要求的所有文件资料。</w:t>
      </w:r>
    </w:p>
    <w:p w14:paraId="0A9DB02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5、在合同协议书正式签署生效之前，本响应性文件连同你单位的成交通知书将构成我们双方之间共同遵守的文件，对双方具有约束力。</w:t>
      </w:r>
    </w:p>
    <w:p w14:paraId="042748C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6、我方理解甲方竞争性磋商文件的所有要求，若不成交，不要求采购人做任何解释。</w:t>
      </w:r>
    </w:p>
    <w:p w14:paraId="6A3998F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7、我方在此声明，所递交的响应性文件及有关资料内容完整、真实和准确。</w:t>
      </w:r>
    </w:p>
    <w:p w14:paraId="5C33D4D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8、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（其他补充说明,若无补充说明时本条可取消）。</w:t>
      </w:r>
    </w:p>
    <w:p w14:paraId="53CFB8E3">
      <w:pPr>
        <w:spacing w:line="360" w:lineRule="auto"/>
        <w:rPr>
          <w:rFonts w:hint="eastAsia" w:ascii="宋体" w:hAnsi="宋体" w:eastAsia="宋体" w:cs="宋体"/>
          <w:color w:val="auto"/>
          <w:sz w:val="24"/>
          <w:highlight w:val="none"/>
        </w:rPr>
      </w:pPr>
    </w:p>
    <w:p w14:paraId="37D6C98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w:t>
      </w:r>
    </w:p>
    <w:p w14:paraId="512702F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法定代表人或其委托代理人：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（电子签章或签字）</w:t>
      </w:r>
    </w:p>
    <w:p w14:paraId="5EA3E409">
      <w:pPr>
        <w:spacing w:line="360" w:lineRule="auto"/>
        <w:rPr>
          <w:rFonts w:hint="eastAsia" w:ascii="宋体" w:hAnsi="宋体" w:eastAsia="宋体" w:cs="宋体"/>
          <w:color w:val="auto"/>
          <w:kern w:val="0"/>
          <w:sz w:val="24"/>
          <w:highlight w:val="none"/>
          <w:u w:val="single"/>
        </w:rPr>
      </w:pPr>
      <w:r>
        <w:rPr>
          <w:rFonts w:hint="eastAsia" w:ascii="宋体" w:hAnsi="宋体" w:eastAsia="宋体" w:cs="宋体"/>
          <w:color w:val="auto"/>
          <w:sz w:val="24"/>
          <w:highlight w:val="none"/>
        </w:rPr>
        <w:t>地址：</w:t>
      </w:r>
      <w:r>
        <w:rPr>
          <w:rFonts w:hint="eastAsia" w:ascii="宋体" w:hAnsi="宋体" w:eastAsia="宋体" w:cs="宋体"/>
          <w:color w:val="auto"/>
          <w:kern w:val="0"/>
          <w:sz w:val="24"/>
          <w:highlight w:val="none"/>
          <w:u w:val="single"/>
        </w:rPr>
        <w:t xml:space="preserve">                             </w:t>
      </w:r>
    </w:p>
    <w:p w14:paraId="747CC56B">
      <w:pPr>
        <w:widowControl/>
        <w:jc w:val="left"/>
        <w:rPr>
          <w:rFonts w:hint="eastAsia" w:ascii="宋体" w:hAnsi="宋体" w:eastAsia="宋体" w:cs="宋体"/>
          <w:color w:val="auto"/>
          <w:highlight w:val="none"/>
        </w:rPr>
      </w:pPr>
      <w:r>
        <w:rPr>
          <w:rFonts w:hint="eastAsia" w:ascii="宋体" w:hAnsi="宋体" w:eastAsia="宋体" w:cs="宋体"/>
          <w:color w:val="auto"/>
          <w:sz w:val="24"/>
          <w:highlight w:val="none"/>
        </w:rPr>
        <w:t>电话：</w:t>
      </w:r>
      <w:r>
        <w:rPr>
          <w:rFonts w:hint="eastAsia" w:ascii="宋体" w:hAnsi="宋体" w:eastAsia="宋体" w:cs="宋体"/>
          <w:color w:val="auto"/>
          <w:sz w:val="24"/>
          <w:highlight w:val="none"/>
          <w:u w:val="single"/>
        </w:rPr>
        <w:t xml:space="preserve">                             </w:t>
      </w:r>
    </w:p>
    <w:p w14:paraId="4154BBC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none"/>
          <w:lang w:val="en-US" w:eastAsia="zh-CN"/>
        </w:rPr>
        <w:t>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bookmarkStart w:id="344" w:name="_Toc234421990"/>
    </w:p>
    <w:bookmarkEnd w:id="344"/>
    <w:p w14:paraId="470DD3E2">
      <w:pPr>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br w:type="page"/>
      </w:r>
      <w:r>
        <w:rPr>
          <w:rFonts w:hint="eastAsia" w:ascii="宋体" w:hAnsi="宋体" w:eastAsia="宋体" w:cs="宋体"/>
          <w:b/>
          <w:bCs/>
          <w:color w:val="auto"/>
          <w:kern w:val="0"/>
          <w:sz w:val="28"/>
          <w:szCs w:val="28"/>
          <w:highlight w:val="none"/>
        </w:rPr>
        <w:t>（2）初次报价一览表</w:t>
      </w:r>
    </w:p>
    <w:tbl>
      <w:tblPr>
        <w:tblStyle w:val="17"/>
        <w:tblW w:w="477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9"/>
        <w:gridCol w:w="2541"/>
        <w:gridCol w:w="1565"/>
        <w:gridCol w:w="2910"/>
      </w:tblGrid>
      <w:tr w14:paraId="63EA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1274" w:type="pct"/>
            <w:noWrap w:val="0"/>
            <w:vAlign w:val="center"/>
          </w:tcPr>
          <w:p w14:paraId="735F64E1">
            <w:pPr>
              <w:spacing w:line="360" w:lineRule="auto"/>
              <w:jc w:val="center"/>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rPr>
              <w:t>项目名称</w:t>
            </w:r>
          </w:p>
        </w:tc>
        <w:tc>
          <w:tcPr>
            <w:tcW w:w="3725" w:type="pct"/>
            <w:gridSpan w:val="3"/>
            <w:noWrap w:val="0"/>
            <w:vAlign w:val="center"/>
          </w:tcPr>
          <w:p w14:paraId="73EA04C8">
            <w:pPr>
              <w:spacing w:line="360" w:lineRule="auto"/>
              <w:jc w:val="center"/>
              <w:rPr>
                <w:rFonts w:hint="eastAsia" w:ascii="宋体" w:hAnsi="宋体" w:eastAsia="宋体" w:cs="宋体"/>
                <w:color w:val="auto"/>
                <w:kern w:val="1"/>
                <w:sz w:val="24"/>
                <w:szCs w:val="22"/>
                <w:highlight w:val="none"/>
              </w:rPr>
            </w:pPr>
          </w:p>
        </w:tc>
      </w:tr>
      <w:tr w14:paraId="2F2A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274" w:type="pct"/>
            <w:noWrap w:val="0"/>
            <w:vAlign w:val="center"/>
          </w:tcPr>
          <w:p w14:paraId="1E9F0988">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sz w:val="24"/>
                <w:szCs w:val="22"/>
                <w:highlight w:val="none"/>
              </w:rPr>
              <w:t>供应商</w:t>
            </w:r>
            <w:r>
              <w:rPr>
                <w:rFonts w:hint="eastAsia" w:ascii="宋体" w:hAnsi="宋体" w:eastAsia="宋体" w:cs="宋体"/>
                <w:color w:val="auto"/>
                <w:kern w:val="1"/>
                <w:sz w:val="24"/>
                <w:szCs w:val="22"/>
                <w:highlight w:val="none"/>
              </w:rPr>
              <w:t>名称</w:t>
            </w:r>
          </w:p>
        </w:tc>
        <w:tc>
          <w:tcPr>
            <w:tcW w:w="3725" w:type="pct"/>
            <w:gridSpan w:val="3"/>
            <w:noWrap w:val="0"/>
            <w:vAlign w:val="center"/>
          </w:tcPr>
          <w:p w14:paraId="320470FD">
            <w:pPr>
              <w:spacing w:line="360" w:lineRule="auto"/>
              <w:jc w:val="center"/>
              <w:rPr>
                <w:rFonts w:hint="eastAsia" w:ascii="宋体" w:hAnsi="宋体" w:eastAsia="宋体" w:cs="宋体"/>
                <w:color w:val="auto"/>
                <w:kern w:val="1"/>
                <w:sz w:val="24"/>
                <w:szCs w:val="22"/>
                <w:highlight w:val="none"/>
              </w:rPr>
            </w:pPr>
          </w:p>
        </w:tc>
      </w:tr>
      <w:tr w14:paraId="26AE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274" w:type="pct"/>
            <w:noWrap w:val="0"/>
            <w:vAlign w:val="center"/>
          </w:tcPr>
          <w:p w14:paraId="3A7C9894">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总报价</w:t>
            </w:r>
          </w:p>
          <w:p w14:paraId="11ECD511">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（第一轮）</w:t>
            </w:r>
          </w:p>
        </w:tc>
        <w:tc>
          <w:tcPr>
            <w:tcW w:w="3725" w:type="pct"/>
            <w:gridSpan w:val="3"/>
            <w:noWrap w:val="0"/>
            <w:vAlign w:val="center"/>
          </w:tcPr>
          <w:p w14:paraId="713967B6">
            <w:pPr>
              <w:spacing w:line="360" w:lineRule="auto"/>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大写：</w:t>
            </w:r>
          </w:p>
          <w:p w14:paraId="624EBD88">
            <w:pPr>
              <w:spacing w:line="360" w:lineRule="auto"/>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小写：</w:t>
            </w:r>
          </w:p>
        </w:tc>
      </w:tr>
      <w:tr w14:paraId="45CA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274" w:type="pct"/>
            <w:noWrap w:val="0"/>
            <w:vAlign w:val="center"/>
          </w:tcPr>
          <w:p w14:paraId="57FFABAA">
            <w:pPr>
              <w:spacing w:line="360" w:lineRule="auto"/>
              <w:jc w:val="center"/>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rPr>
              <w:t>服务期限</w:t>
            </w:r>
          </w:p>
        </w:tc>
        <w:tc>
          <w:tcPr>
            <w:tcW w:w="3725" w:type="pct"/>
            <w:gridSpan w:val="3"/>
            <w:noWrap w:val="0"/>
            <w:vAlign w:val="center"/>
          </w:tcPr>
          <w:p w14:paraId="19130675">
            <w:pPr>
              <w:spacing w:line="360" w:lineRule="auto"/>
              <w:rPr>
                <w:rFonts w:hint="eastAsia" w:ascii="宋体" w:hAnsi="宋体" w:eastAsia="宋体" w:cs="宋体"/>
                <w:color w:val="auto"/>
                <w:kern w:val="1"/>
                <w:sz w:val="24"/>
                <w:szCs w:val="22"/>
                <w:highlight w:val="none"/>
              </w:rPr>
            </w:pPr>
          </w:p>
        </w:tc>
      </w:tr>
      <w:tr w14:paraId="7BAE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74" w:type="pct"/>
            <w:noWrap w:val="0"/>
            <w:vAlign w:val="center"/>
          </w:tcPr>
          <w:p w14:paraId="6EEDE3E4">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服务质量</w:t>
            </w:r>
          </w:p>
        </w:tc>
        <w:tc>
          <w:tcPr>
            <w:tcW w:w="3725" w:type="pct"/>
            <w:gridSpan w:val="3"/>
            <w:noWrap w:val="0"/>
            <w:vAlign w:val="center"/>
          </w:tcPr>
          <w:p w14:paraId="17841144">
            <w:pPr>
              <w:spacing w:line="360" w:lineRule="auto"/>
              <w:jc w:val="center"/>
              <w:rPr>
                <w:rFonts w:hint="eastAsia" w:ascii="宋体" w:hAnsi="宋体" w:eastAsia="宋体" w:cs="宋体"/>
                <w:color w:val="auto"/>
                <w:kern w:val="1"/>
                <w:sz w:val="24"/>
                <w:szCs w:val="22"/>
                <w:highlight w:val="none"/>
              </w:rPr>
            </w:pPr>
          </w:p>
        </w:tc>
      </w:tr>
      <w:tr w14:paraId="6E6D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274" w:type="pct"/>
            <w:noWrap w:val="0"/>
            <w:vAlign w:val="center"/>
          </w:tcPr>
          <w:p w14:paraId="0AD822F6">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投标有效期</w:t>
            </w:r>
          </w:p>
        </w:tc>
        <w:tc>
          <w:tcPr>
            <w:tcW w:w="3725" w:type="pct"/>
            <w:gridSpan w:val="3"/>
            <w:noWrap w:val="0"/>
            <w:vAlign w:val="center"/>
          </w:tcPr>
          <w:p w14:paraId="19E466F4">
            <w:pPr>
              <w:spacing w:line="360" w:lineRule="auto"/>
              <w:jc w:val="center"/>
              <w:rPr>
                <w:rFonts w:hint="eastAsia" w:ascii="宋体" w:hAnsi="宋体" w:eastAsia="宋体" w:cs="宋体"/>
                <w:color w:val="auto"/>
                <w:kern w:val="1"/>
                <w:sz w:val="24"/>
                <w:szCs w:val="22"/>
                <w:highlight w:val="none"/>
              </w:rPr>
            </w:pPr>
          </w:p>
        </w:tc>
      </w:tr>
      <w:tr w14:paraId="304A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274" w:type="pct"/>
            <w:noWrap w:val="0"/>
            <w:vAlign w:val="center"/>
          </w:tcPr>
          <w:p w14:paraId="7AB18D88">
            <w:pPr>
              <w:spacing w:line="360" w:lineRule="auto"/>
              <w:jc w:val="center"/>
              <w:rPr>
                <w:rFonts w:hint="eastAsia" w:ascii="宋体" w:hAnsi="宋体" w:eastAsia="宋体" w:cs="宋体"/>
                <w:color w:val="auto"/>
                <w:kern w:val="1"/>
                <w:sz w:val="24"/>
                <w:szCs w:val="22"/>
                <w:highlight w:val="none"/>
              </w:rPr>
            </w:pPr>
            <w:r>
              <w:rPr>
                <w:rFonts w:hint="eastAsia" w:ascii="宋体" w:hAnsi="宋体" w:cs="宋体"/>
                <w:color w:val="auto"/>
                <w:sz w:val="24"/>
                <w:szCs w:val="24"/>
                <w:highlight w:val="none"/>
              </w:rPr>
              <w:t>项目负责人</w:t>
            </w:r>
          </w:p>
        </w:tc>
        <w:tc>
          <w:tcPr>
            <w:tcW w:w="1349" w:type="pct"/>
            <w:noWrap w:val="0"/>
            <w:vAlign w:val="center"/>
          </w:tcPr>
          <w:p w14:paraId="7D0905AA">
            <w:pPr>
              <w:spacing w:line="360" w:lineRule="auto"/>
              <w:jc w:val="center"/>
              <w:rPr>
                <w:rFonts w:hint="eastAsia" w:ascii="宋体" w:hAnsi="宋体" w:eastAsia="宋体" w:cs="宋体"/>
                <w:color w:val="auto"/>
                <w:kern w:val="1"/>
                <w:sz w:val="24"/>
                <w:szCs w:val="22"/>
                <w:highlight w:val="none"/>
              </w:rPr>
            </w:pPr>
          </w:p>
        </w:tc>
        <w:tc>
          <w:tcPr>
            <w:tcW w:w="831" w:type="pct"/>
            <w:noWrap w:val="0"/>
            <w:vAlign w:val="center"/>
          </w:tcPr>
          <w:p w14:paraId="733AD868">
            <w:pPr>
              <w:spacing w:line="360" w:lineRule="auto"/>
              <w:jc w:val="center"/>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val="en-US" w:eastAsia="zh-CN"/>
              </w:rPr>
              <w:t>联系方式</w:t>
            </w:r>
          </w:p>
        </w:tc>
        <w:tc>
          <w:tcPr>
            <w:tcW w:w="1545" w:type="pct"/>
            <w:noWrap w:val="0"/>
            <w:vAlign w:val="center"/>
          </w:tcPr>
          <w:p w14:paraId="013227B9">
            <w:pPr>
              <w:spacing w:line="360" w:lineRule="auto"/>
              <w:jc w:val="center"/>
              <w:rPr>
                <w:rFonts w:hint="eastAsia" w:ascii="宋体" w:hAnsi="宋体" w:eastAsia="宋体" w:cs="宋体"/>
                <w:color w:val="auto"/>
                <w:kern w:val="1"/>
                <w:sz w:val="24"/>
                <w:szCs w:val="22"/>
                <w:highlight w:val="none"/>
              </w:rPr>
            </w:pPr>
          </w:p>
        </w:tc>
      </w:tr>
      <w:tr w14:paraId="37EB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274" w:type="pct"/>
            <w:noWrap w:val="0"/>
            <w:vAlign w:val="center"/>
          </w:tcPr>
          <w:p w14:paraId="0CDE6605">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职称</w:t>
            </w:r>
          </w:p>
        </w:tc>
        <w:tc>
          <w:tcPr>
            <w:tcW w:w="1349" w:type="pct"/>
            <w:noWrap w:val="0"/>
            <w:vAlign w:val="center"/>
          </w:tcPr>
          <w:p w14:paraId="5ADDE074">
            <w:pPr>
              <w:spacing w:line="360" w:lineRule="auto"/>
              <w:jc w:val="center"/>
              <w:rPr>
                <w:rFonts w:hint="eastAsia" w:ascii="宋体" w:hAnsi="宋体" w:eastAsia="宋体" w:cs="宋体"/>
                <w:color w:val="auto"/>
                <w:kern w:val="1"/>
                <w:sz w:val="24"/>
                <w:szCs w:val="22"/>
                <w:highlight w:val="none"/>
              </w:rPr>
            </w:pPr>
          </w:p>
        </w:tc>
        <w:tc>
          <w:tcPr>
            <w:tcW w:w="831" w:type="pct"/>
            <w:noWrap w:val="0"/>
            <w:vAlign w:val="center"/>
          </w:tcPr>
          <w:p w14:paraId="50B354D4">
            <w:pPr>
              <w:spacing w:line="360" w:lineRule="auto"/>
              <w:jc w:val="center"/>
              <w:rPr>
                <w:rFonts w:hint="default" w:ascii="宋体" w:hAnsi="宋体" w:eastAsia="宋体" w:cs="宋体"/>
                <w:color w:val="auto"/>
                <w:kern w:val="1"/>
                <w:sz w:val="24"/>
                <w:szCs w:val="22"/>
                <w:highlight w:val="none"/>
                <w:lang w:val="en-US" w:eastAsia="zh-CN"/>
              </w:rPr>
            </w:pPr>
            <w:r>
              <w:rPr>
                <w:rFonts w:hint="eastAsia" w:ascii="宋体" w:hAnsi="宋体" w:eastAsia="宋体" w:cs="宋体"/>
                <w:color w:val="auto"/>
                <w:kern w:val="1"/>
                <w:sz w:val="24"/>
                <w:szCs w:val="22"/>
                <w:highlight w:val="none"/>
                <w:lang w:val="en-US" w:eastAsia="zh-CN"/>
              </w:rPr>
              <w:t>证书编号</w:t>
            </w:r>
          </w:p>
        </w:tc>
        <w:tc>
          <w:tcPr>
            <w:tcW w:w="1545" w:type="pct"/>
            <w:noWrap w:val="0"/>
            <w:vAlign w:val="center"/>
          </w:tcPr>
          <w:p w14:paraId="021DA046">
            <w:pPr>
              <w:spacing w:line="360" w:lineRule="auto"/>
              <w:jc w:val="center"/>
              <w:rPr>
                <w:rFonts w:hint="eastAsia" w:ascii="宋体" w:hAnsi="宋体" w:eastAsia="宋体" w:cs="宋体"/>
                <w:color w:val="auto"/>
                <w:kern w:val="1"/>
                <w:sz w:val="24"/>
                <w:szCs w:val="22"/>
                <w:highlight w:val="none"/>
              </w:rPr>
            </w:pPr>
          </w:p>
        </w:tc>
      </w:tr>
      <w:tr w14:paraId="70C6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trPr>
        <w:tc>
          <w:tcPr>
            <w:tcW w:w="1274" w:type="pct"/>
            <w:noWrap w:val="0"/>
            <w:vAlign w:val="center"/>
          </w:tcPr>
          <w:p w14:paraId="1145E7E4">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备注</w:t>
            </w:r>
          </w:p>
        </w:tc>
        <w:tc>
          <w:tcPr>
            <w:tcW w:w="3725" w:type="pct"/>
            <w:gridSpan w:val="3"/>
            <w:noWrap w:val="0"/>
            <w:vAlign w:val="center"/>
          </w:tcPr>
          <w:p w14:paraId="4B3A6A30">
            <w:pPr>
              <w:numPr>
                <w:ilvl w:val="0"/>
                <w:numId w:val="4"/>
              </w:numPr>
              <w:spacing w:line="360" w:lineRule="auto"/>
              <w:jc w:val="left"/>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本表总报价应与响应文件中报价表、磋商函的总报价一致，不一致者以《磋商函》中总报价为准（大小写不一致以大写金额为准），供应商将承担由此造成的一切后果。</w:t>
            </w:r>
          </w:p>
          <w:p w14:paraId="087BF3D2">
            <w:pPr>
              <w:numPr>
                <w:ilvl w:val="0"/>
                <w:numId w:val="4"/>
              </w:numPr>
              <w:spacing w:line="360" w:lineRule="auto"/>
              <w:jc w:val="left"/>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报价应包括磋商文件所确定的采购范围内的全部费用。</w:t>
            </w:r>
          </w:p>
        </w:tc>
      </w:tr>
    </w:tbl>
    <w:p w14:paraId="4B405DF7">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bookmarkStart w:id="345" w:name="_Toc16520170"/>
      <w:bookmarkStart w:id="346" w:name="_Toc121405497"/>
      <w:bookmarkStart w:id="347" w:name="_Toc508179893"/>
      <w:bookmarkStart w:id="348" w:name="_Toc16520682"/>
      <w:bookmarkStart w:id="349" w:name="_Toc30579"/>
      <w:bookmarkStart w:id="350" w:name="_Toc1510"/>
      <w:bookmarkStart w:id="351" w:name="_Toc90623955"/>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7876CEDD">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7B7733AA">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1F856668">
      <w:pPr>
        <w:spacing w:line="360" w:lineRule="auto"/>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二、法定代表人身份证明</w:t>
      </w:r>
      <w:bookmarkEnd w:id="345"/>
      <w:bookmarkEnd w:id="346"/>
      <w:bookmarkEnd w:id="347"/>
      <w:bookmarkEnd w:id="348"/>
      <w:bookmarkEnd w:id="349"/>
      <w:bookmarkEnd w:id="350"/>
      <w:bookmarkEnd w:id="351"/>
    </w:p>
    <w:p w14:paraId="0E4416FB">
      <w:pPr>
        <w:rPr>
          <w:rFonts w:hint="eastAsia" w:ascii="宋体" w:hAnsi="宋体" w:eastAsia="宋体" w:cs="宋体"/>
          <w:color w:val="auto"/>
          <w:szCs w:val="21"/>
          <w:highlight w:val="none"/>
        </w:rPr>
      </w:pPr>
      <w:bookmarkStart w:id="352" w:name="_Toc387671317"/>
      <w:bookmarkStart w:id="353" w:name="_Toc387671679"/>
      <w:bookmarkStart w:id="354" w:name="_Toc387669603"/>
      <w:bookmarkStart w:id="355" w:name="_Toc234382962"/>
    </w:p>
    <w:bookmarkEnd w:id="352"/>
    <w:bookmarkEnd w:id="353"/>
    <w:bookmarkEnd w:id="354"/>
    <w:bookmarkEnd w:id="355"/>
    <w:p w14:paraId="768C389A">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单位名称：</w:t>
      </w:r>
      <w:r>
        <w:rPr>
          <w:rFonts w:ascii="Times New Roman" w:hAnsi="Times New Roman"/>
          <w:color w:val="auto"/>
          <w:sz w:val="24"/>
          <w:szCs w:val="24"/>
          <w:highlight w:val="none"/>
          <w:u w:val="single"/>
          <w:shd w:val="clear" w:color="auto" w:fill="FFFFFF"/>
          <w:lang w:bidi="ar"/>
        </w:rPr>
        <w:t xml:space="preserve">                                   </w:t>
      </w:r>
    </w:p>
    <w:p w14:paraId="10410066">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单位性质：</w:t>
      </w:r>
      <w:r>
        <w:rPr>
          <w:rFonts w:ascii="Times New Roman" w:hAnsi="Times New Roman"/>
          <w:color w:val="auto"/>
          <w:sz w:val="24"/>
          <w:szCs w:val="24"/>
          <w:highlight w:val="none"/>
          <w:u w:val="single"/>
          <w:shd w:val="clear" w:color="auto" w:fill="FFFFFF"/>
          <w:lang w:bidi="ar"/>
        </w:rPr>
        <w:t xml:space="preserve">                                   </w:t>
      </w:r>
    </w:p>
    <w:p w14:paraId="2A760CF8">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地址：</w:t>
      </w:r>
      <w:r>
        <w:rPr>
          <w:rFonts w:ascii="Times New Roman" w:hAnsi="Times New Roman"/>
          <w:color w:val="auto"/>
          <w:sz w:val="24"/>
          <w:szCs w:val="24"/>
          <w:highlight w:val="none"/>
          <w:shd w:val="clear" w:color="auto" w:fill="FFFFFF"/>
          <w:lang w:bidi="ar"/>
        </w:rPr>
        <w:t xml:space="preserve"> </w:t>
      </w:r>
      <w:r>
        <w:rPr>
          <w:rFonts w:ascii="Times New Roman" w:hAnsi="Times New Roman"/>
          <w:color w:val="auto"/>
          <w:sz w:val="24"/>
          <w:szCs w:val="24"/>
          <w:highlight w:val="none"/>
          <w:u w:val="single"/>
          <w:shd w:val="clear" w:color="auto" w:fill="FFFFFF"/>
          <w:lang w:bidi="ar"/>
        </w:rPr>
        <w:t xml:space="preserve">                                  </w:t>
      </w:r>
      <w:r>
        <w:rPr>
          <w:rFonts w:ascii="Times New Roman" w:hAnsi="Times New Roman"/>
          <w:color w:val="auto"/>
          <w:sz w:val="24"/>
          <w:szCs w:val="24"/>
          <w:highlight w:val="none"/>
          <w:u w:val="single"/>
          <w:shd w:val="clear" w:color="auto" w:fill="FFFFFF"/>
          <w:lang w:bidi="ar"/>
        </w:rPr>
        <w:tab/>
      </w:r>
      <w:r>
        <w:rPr>
          <w:rFonts w:ascii="Times New Roman" w:hAnsi="Times New Roman"/>
          <w:color w:val="auto"/>
          <w:sz w:val="24"/>
          <w:szCs w:val="24"/>
          <w:highlight w:val="none"/>
          <w:u w:val="single"/>
          <w:shd w:val="clear" w:color="auto" w:fill="FFFFFF"/>
          <w:lang w:bidi="ar"/>
        </w:rPr>
        <w:t xml:space="preserve"> </w:t>
      </w:r>
    </w:p>
    <w:p w14:paraId="6B5906C1">
      <w:pPr>
        <w:spacing w:line="600" w:lineRule="exact"/>
        <w:ind w:firstLine="566" w:firstLineChars="236"/>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成立时间：</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年</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月</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日</w:t>
      </w:r>
    </w:p>
    <w:p w14:paraId="742AD6AC">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经营期限：</w:t>
      </w:r>
      <w:r>
        <w:rPr>
          <w:rFonts w:ascii="Times New Roman" w:hAnsi="Times New Roman"/>
          <w:color w:val="auto"/>
          <w:sz w:val="24"/>
          <w:szCs w:val="24"/>
          <w:highlight w:val="none"/>
          <w:u w:val="single"/>
          <w:shd w:val="clear" w:color="auto" w:fill="FFFFFF"/>
          <w:lang w:bidi="ar"/>
        </w:rPr>
        <w:t xml:space="preserve">                               </w:t>
      </w:r>
      <w:r>
        <w:rPr>
          <w:rFonts w:ascii="Times New Roman" w:hAnsi="Times New Roman"/>
          <w:color w:val="auto"/>
          <w:sz w:val="24"/>
          <w:szCs w:val="24"/>
          <w:highlight w:val="none"/>
          <w:u w:val="single"/>
          <w:shd w:val="clear" w:color="auto" w:fill="FFFFFF"/>
          <w:lang w:bidi="ar"/>
        </w:rPr>
        <w:tab/>
      </w:r>
    </w:p>
    <w:p w14:paraId="619C4FAF">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姓</w:t>
      </w:r>
      <w:r>
        <w:rPr>
          <w:rFonts w:ascii="Times New Roman" w:hAnsi="Times New Roman"/>
          <w:color w:val="auto"/>
          <w:sz w:val="24"/>
          <w:szCs w:val="24"/>
          <w:highlight w:val="none"/>
          <w:shd w:val="clear" w:color="auto" w:fill="FFFFFF"/>
          <w:lang w:bidi="ar"/>
        </w:rPr>
        <w:tab/>
      </w:r>
      <w:r>
        <w:rPr>
          <w:rFonts w:hint="eastAsia" w:ascii="Times New Roman" w:hAnsi="Times New Roman"/>
          <w:color w:val="auto"/>
          <w:sz w:val="24"/>
          <w:szCs w:val="24"/>
          <w:highlight w:val="none"/>
          <w:shd w:val="clear" w:color="auto" w:fill="FFFFFF"/>
          <w:lang w:bidi="ar"/>
        </w:rPr>
        <w:t>名：</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性别：</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年龄：</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职务：</w:t>
      </w:r>
      <w:r>
        <w:rPr>
          <w:rFonts w:ascii="Times New Roman" w:hAnsi="Times New Roman"/>
          <w:color w:val="auto"/>
          <w:sz w:val="24"/>
          <w:szCs w:val="24"/>
          <w:highlight w:val="none"/>
          <w:u w:val="single"/>
          <w:shd w:val="clear" w:color="auto" w:fill="FFFFFF"/>
          <w:lang w:bidi="ar"/>
        </w:rPr>
        <w:t xml:space="preserve">    </w:t>
      </w:r>
    </w:p>
    <w:p w14:paraId="4A9F5F84">
      <w:pPr>
        <w:spacing w:line="600" w:lineRule="exact"/>
        <w:ind w:firstLine="566" w:firstLineChars="236"/>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系</w:t>
      </w:r>
      <w:r>
        <w:rPr>
          <w:rFonts w:ascii="Times New Roman" w:hAnsi="Times New Roman"/>
          <w:color w:val="auto"/>
          <w:sz w:val="24"/>
          <w:szCs w:val="24"/>
          <w:highlight w:val="none"/>
          <w:u w:val="single"/>
          <w:shd w:val="clear" w:color="auto" w:fill="FFFFFF"/>
          <w:lang w:bidi="ar"/>
        </w:rPr>
        <w:t xml:space="preserve">      </w:t>
      </w:r>
      <w:r>
        <w:rPr>
          <w:rFonts w:ascii="Times New Roman" w:hAnsi="Times New Roman"/>
          <w:color w:val="auto"/>
          <w:sz w:val="24"/>
          <w:szCs w:val="24"/>
          <w:highlight w:val="none"/>
          <w:u w:val="single"/>
          <w:shd w:val="clear" w:color="auto" w:fill="FFFFFF"/>
          <w:lang w:bidi="ar"/>
        </w:rPr>
        <w:tab/>
      </w:r>
      <w:r>
        <w:rPr>
          <w:rFonts w:hint="eastAsia" w:ascii="Times New Roman" w:hAnsi="Times New Roman"/>
          <w:color w:val="auto"/>
          <w:sz w:val="24"/>
          <w:szCs w:val="24"/>
          <w:highlight w:val="none"/>
          <w:u w:val="single"/>
          <w:shd w:val="clear" w:color="auto" w:fill="FFFFFF"/>
          <w:lang w:bidi="ar"/>
        </w:rPr>
        <w:t>（供应商单位名称）</w:t>
      </w:r>
      <w:r>
        <w:rPr>
          <w:rFonts w:ascii="Times New Roman" w:hAnsi="Times New Roman"/>
          <w:color w:val="auto"/>
          <w:sz w:val="24"/>
          <w:szCs w:val="24"/>
          <w:highlight w:val="none"/>
          <w:u w:val="single"/>
          <w:shd w:val="clear" w:color="auto" w:fill="FFFFFF"/>
          <w:lang w:bidi="ar"/>
        </w:rPr>
        <w:tab/>
      </w:r>
      <w:r>
        <w:rPr>
          <w:rFonts w:hint="eastAsia" w:ascii="Times New Roman" w:hAnsi="Times New Roman"/>
          <w:color w:val="auto"/>
          <w:sz w:val="24"/>
          <w:szCs w:val="24"/>
          <w:highlight w:val="none"/>
          <w:shd w:val="clear" w:color="auto" w:fill="FFFFFF"/>
          <w:lang w:bidi="ar"/>
        </w:rPr>
        <w:t>的法定代表人。</w:t>
      </w:r>
    </w:p>
    <w:p w14:paraId="17D0AC0A">
      <w:pPr>
        <w:spacing w:line="600" w:lineRule="exact"/>
        <w:ind w:firstLine="566" w:firstLineChars="236"/>
        <w:rPr>
          <w:rFonts w:ascii="Times New Roman" w:hAnsi="Times New Roman"/>
          <w:color w:val="auto"/>
          <w:sz w:val="24"/>
          <w:szCs w:val="24"/>
          <w:highlight w:val="none"/>
          <w:shd w:val="clear" w:color="auto" w:fill="FFFFFF"/>
          <w:lang w:bidi="ar"/>
        </w:rPr>
      </w:pPr>
    </w:p>
    <w:p w14:paraId="263DC82B">
      <w:pPr>
        <w:spacing w:line="600" w:lineRule="exact"/>
        <w:ind w:firstLine="566" w:firstLineChars="236"/>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特此证明。</w:t>
      </w:r>
    </w:p>
    <w:p w14:paraId="768E2BBD">
      <w:pPr>
        <w:spacing w:line="600" w:lineRule="exact"/>
        <w:ind w:firstLine="566" w:firstLineChars="236"/>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（后附法定代表人身份证正反面扫描件）</w:t>
      </w:r>
    </w:p>
    <w:p w14:paraId="4C2D7B11">
      <w:pPr>
        <w:spacing w:line="500" w:lineRule="exact"/>
        <w:rPr>
          <w:rFonts w:hint="eastAsia" w:ascii="宋体" w:hAnsi="宋体" w:eastAsia="宋体" w:cs="宋体"/>
          <w:color w:val="auto"/>
          <w:sz w:val="24"/>
          <w:highlight w:val="none"/>
        </w:rPr>
      </w:pPr>
    </w:p>
    <w:p w14:paraId="10720D2B">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3A50259B">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417CA111">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3947D2ED">
      <w:pPr>
        <w:spacing w:line="400" w:lineRule="exact"/>
        <w:rPr>
          <w:rFonts w:hint="eastAsia" w:ascii="宋体" w:hAnsi="宋体" w:eastAsia="宋体" w:cs="宋体"/>
          <w:color w:val="auto"/>
          <w:sz w:val="24"/>
          <w:highlight w:val="none"/>
        </w:rPr>
      </w:pPr>
    </w:p>
    <w:p w14:paraId="719FD794">
      <w:pPr>
        <w:jc w:val="center"/>
        <w:rPr>
          <w:rFonts w:hint="eastAsia" w:ascii="宋体" w:hAnsi="宋体" w:eastAsia="宋体" w:cs="宋体"/>
          <w:b/>
          <w:color w:val="auto"/>
          <w:sz w:val="24"/>
          <w:highlight w:val="none"/>
        </w:rPr>
      </w:pPr>
      <w:r>
        <w:rPr>
          <w:rFonts w:hint="eastAsia" w:ascii="宋体" w:hAnsi="宋体" w:eastAsia="宋体" w:cs="宋体"/>
          <w:b/>
          <w:bCs/>
          <w:color w:val="auto"/>
          <w:kern w:val="44"/>
          <w:sz w:val="24"/>
          <w:highlight w:val="none"/>
        </w:rPr>
        <w:br w:type="page"/>
      </w:r>
      <w:r>
        <w:rPr>
          <w:rFonts w:hint="eastAsia" w:ascii="宋体" w:hAnsi="宋体" w:eastAsia="宋体" w:cs="宋体"/>
          <w:b/>
          <w:bCs/>
          <w:color w:val="auto"/>
          <w:kern w:val="44"/>
          <w:sz w:val="24"/>
          <w:highlight w:val="none"/>
          <w:lang w:val="en-US" w:eastAsia="zh-CN"/>
        </w:rPr>
        <w:t>三、</w:t>
      </w:r>
      <w:r>
        <w:rPr>
          <w:rFonts w:hint="eastAsia" w:ascii="宋体" w:hAnsi="宋体" w:eastAsia="宋体" w:cs="宋体"/>
          <w:b/>
          <w:bCs/>
          <w:color w:val="auto"/>
          <w:kern w:val="44"/>
          <w:sz w:val="24"/>
          <w:highlight w:val="none"/>
        </w:rPr>
        <w:t>授权委托书</w:t>
      </w:r>
    </w:p>
    <w:p w14:paraId="352546E8">
      <w:pPr>
        <w:spacing w:line="500" w:lineRule="exact"/>
        <w:rPr>
          <w:rFonts w:hint="eastAsia" w:ascii="宋体" w:hAnsi="宋体" w:eastAsia="宋体" w:cs="宋体"/>
          <w:color w:val="auto"/>
          <w:sz w:val="24"/>
          <w:highlight w:val="none"/>
        </w:rPr>
      </w:pPr>
    </w:p>
    <w:p w14:paraId="7DC1CE98">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（姓名）系</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（供应商名称）的法定代表人，现委托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（姓名）为我方代理人。代理人根据授权，以我方名义签署、澄清、递交、撤回、修改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（项目名称）响应性文件、签订合同和处理有关事宜，其法律后果由我方承担。</w:t>
      </w:r>
    </w:p>
    <w:p w14:paraId="661ECC35">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委托期限：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1A425184">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代理人无转委托权。</w:t>
      </w:r>
    </w:p>
    <w:p w14:paraId="00E30E53">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附：委托代理人身份证扫描件正反面</w:t>
      </w:r>
    </w:p>
    <w:p w14:paraId="01D5B2E7">
      <w:pPr>
        <w:widowControl/>
        <w:jc w:val="left"/>
        <w:rPr>
          <w:rFonts w:hint="eastAsia" w:ascii="宋体" w:hAnsi="宋体" w:eastAsia="宋体" w:cs="宋体"/>
          <w:color w:val="auto"/>
          <w:highlight w:val="none"/>
        </w:rPr>
      </w:pPr>
    </w:p>
    <w:p w14:paraId="378731CC">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供应商：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电子签章</w:t>
      </w:r>
      <w:r>
        <w:rPr>
          <w:rFonts w:hint="eastAsia" w:ascii="宋体" w:hAnsi="宋体" w:eastAsia="宋体" w:cs="宋体"/>
          <w:color w:val="auto"/>
          <w:sz w:val="24"/>
          <w:highlight w:val="none"/>
        </w:rPr>
        <w:t>）</w:t>
      </w:r>
    </w:p>
    <w:p w14:paraId="4ECA44BC">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（电子签章或签字）</w:t>
      </w:r>
    </w:p>
    <w:p w14:paraId="366B591B">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委托代理人：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（电子签章或签字）</w:t>
      </w:r>
    </w:p>
    <w:p w14:paraId="0F626AEB">
      <w:pPr>
        <w:spacing w:line="500" w:lineRule="exact"/>
        <w:rPr>
          <w:rFonts w:hint="eastAsia" w:ascii="宋体" w:hAnsi="宋体" w:eastAsia="宋体" w:cs="宋体"/>
          <w:color w:val="auto"/>
          <w:sz w:val="24"/>
          <w:highlight w:val="none"/>
        </w:rPr>
      </w:pPr>
    </w:p>
    <w:p w14:paraId="0C49D82F">
      <w:pPr>
        <w:shd w:val="clear" w:color="auto" w:fill="FFFFFF"/>
        <w:tabs>
          <w:tab w:val="right" w:pos="6077"/>
        </w:tabs>
        <w:autoSpaceDE w:val="0"/>
        <w:autoSpaceDN w:val="0"/>
        <w:spacing w:line="5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129F853">
      <w:pPr>
        <w:spacing w:line="360" w:lineRule="auto"/>
        <w:ind w:firstLine="3600" w:firstLineChars="1500"/>
        <w:rPr>
          <w:rFonts w:ascii="Times New Roman" w:hAnsi="Times New Roman"/>
          <w:color w:val="auto"/>
          <w:sz w:val="24"/>
          <w:szCs w:val="24"/>
          <w:highlight w:val="none"/>
        </w:rPr>
      </w:pPr>
      <w:r>
        <w:rPr>
          <w:rFonts w:hint="eastAsia" w:ascii="Times New Roman" w:hAnsi="Times New Roman"/>
          <w:color w:val="auto"/>
          <w:sz w:val="24"/>
          <w:szCs w:val="24"/>
          <w:highlight w:val="none"/>
        </w:rPr>
        <w:t>法定代表人身份证扫描件</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44"/>
      </w:tblGrid>
      <w:tr w14:paraId="1846D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5" w:hRule="atLeast"/>
          <w:jc w:val="center"/>
        </w:trPr>
        <w:tc>
          <w:tcPr>
            <w:tcW w:w="8744" w:type="dxa"/>
            <w:tcBorders>
              <w:top w:val="single" w:color="000000" w:sz="4" w:space="0"/>
              <w:left w:val="single" w:color="000000" w:sz="4" w:space="0"/>
              <w:bottom w:val="single" w:color="000000" w:sz="4" w:space="0"/>
              <w:right w:val="single" w:color="000000" w:sz="4" w:space="0"/>
            </w:tcBorders>
            <w:noWrap w:val="0"/>
            <w:vAlign w:val="center"/>
          </w:tcPr>
          <w:p w14:paraId="1CA6015D">
            <w:pPr>
              <w:spacing w:line="360" w:lineRule="auto"/>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正面</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背面</w:t>
            </w:r>
          </w:p>
        </w:tc>
      </w:tr>
    </w:tbl>
    <w:p w14:paraId="2D58AEBE">
      <w:pPr>
        <w:spacing w:line="360" w:lineRule="auto"/>
        <w:ind w:firstLine="3600" w:firstLineChars="1500"/>
        <w:rPr>
          <w:rFonts w:ascii="Times New Roman" w:hAnsi="Times New Roman"/>
          <w:color w:val="auto"/>
          <w:sz w:val="24"/>
          <w:szCs w:val="24"/>
          <w:highlight w:val="none"/>
        </w:rPr>
      </w:pPr>
      <w:r>
        <w:rPr>
          <w:rFonts w:hint="eastAsia" w:ascii="Times New Roman" w:hAnsi="Times New Roman"/>
          <w:color w:val="auto"/>
          <w:sz w:val="24"/>
          <w:szCs w:val="24"/>
          <w:highlight w:val="none"/>
        </w:rPr>
        <w:t>委托代理人身份证扫描件</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20"/>
      </w:tblGrid>
      <w:tr w14:paraId="7DB75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5" w:hRule="atLeast"/>
          <w:jc w:val="center"/>
        </w:trPr>
        <w:tc>
          <w:tcPr>
            <w:tcW w:w="8720" w:type="dxa"/>
            <w:tcBorders>
              <w:top w:val="single" w:color="000000" w:sz="4" w:space="0"/>
              <w:left w:val="single" w:color="000000" w:sz="4" w:space="0"/>
              <w:bottom w:val="single" w:color="000000" w:sz="4" w:space="0"/>
              <w:right w:val="single" w:color="000000" w:sz="4" w:space="0"/>
            </w:tcBorders>
            <w:noWrap w:val="0"/>
            <w:vAlign w:val="center"/>
          </w:tcPr>
          <w:p w14:paraId="40AAD67C">
            <w:pPr>
              <w:jc w:val="center"/>
              <w:rPr>
                <w:rFonts w:ascii="Times New Roman" w:hAnsi="Times New Roman"/>
                <w:color w:val="auto"/>
                <w:szCs w:val="24"/>
                <w:highlight w:val="none"/>
              </w:rPr>
            </w:pPr>
            <w:r>
              <w:rPr>
                <w:rFonts w:hint="eastAsia" w:ascii="Times New Roman" w:hAnsi="Times New Roman"/>
                <w:color w:val="auto"/>
                <w:sz w:val="24"/>
                <w:szCs w:val="24"/>
                <w:highlight w:val="none"/>
              </w:rPr>
              <w:t>正面</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背面</w:t>
            </w:r>
          </w:p>
        </w:tc>
      </w:tr>
    </w:tbl>
    <w:p w14:paraId="3B983D87">
      <w:pPr>
        <w:numPr>
          <w:ilvl w:val="0"/>
          <w:numId w:val="5"/>
        </w:num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lang w:eastAsia="zh-CN"/>
        </w:rPr>
      </w:pPr>
      <w:bookmarkStart w:id="356" w:name="_Toc16520173"/>
      <w:bookmarkStart w:id="357" w:name="_Toc522117924"/>
      <w:bookmarkStart w:id="358" w:name="_Toc16520685"/>
      <w:bookmarkStart w:id="359" w:name="_Toc121405501"/>
      <w:bookmarkStart w:id="360" w:name="_Toc27875"/>
      <w:bookmarkStart w:id="361" w:name="_Toc90623959"/>
      <w:bookmarkStart w:id="362" w:name="_Toc6912"/>
      <w:r>
        <w:rPr>
          <w:rFonts w:hint="eastAsia" w:ascii="宋体" w:hAnsi="宋体" w:eastAsia="宋体" w:cs="宋体"/>
          <w:b/>
          <w:bCs/>
          <w:color w:val="auto"/>
          <w:sz w:val="32"/>
          <w:szCs w:val="32"/>
          <w:highlight w:val="none"/>
          <w:lang w:eastAsia="zh-CN"/>
        </w:rPr>
        <w:br w:type="page"/>
      </w:r>
      <w:r>
        <w:rPr>
          <w:rFonts w:hint="eastAsia" w:ascii="宋体" w:hAnsi="宋体" w:eastAsia="宋体" w:cs="宋体"/>
          <w:b/>
          <w:bCs/>
          <w:color w:val="auto"/>
          <w:sz w:val="32"/>
          <w:szCs w:val="32"/>
          <w:highlight w:val="none"/>
          <w:lang w:eastAsia="zh-CN"/>
        </w:rPr>
        <w:t>投标承诺函</w:t>
      </w:r>
    </w:p>
    <w:p w14:paraId="5AF62606">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（采购人名称）    </w:t>
      </w:r>
      <w:r>
        <w:rPr>
          <w:rFonts w:hint="eastAsia" w:ascii="宋体" w:hAnsi="宋体" w:eastAsia="宋体" w:cs="宋体"/>
          <w:color w:val="auto"/>
          <w:kern w:val="0"/>
          <w:sz w:val="24"/>
          <w:szCs w:val="24"/>
          <w:highlight w:val="none"/>
        </w:rPr>
        <w:t>：</w:t>
      </w:r>
    </w:p>
    <w:p w14:paraId="1DBDC3D2">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u w:val="single"/>
        </w:rPr>
        <w:t xml:space="preserve">    （供应商名称）     </w:t>
      </w:r>
      <w:r>
        <w:rPr>
          <w:rFonts w:hint="eastAsia" w:ascii="宋体" w:hAnsi="宋体" w:eastAsia="宋体" w:cs="宋体"/>
          <w:color w:val="auto"/>
          <w:kern w:val="0"/>
          <w:sz w:val="24"/>
          <w:szCs w:val="24"/>
          <w:highlight w:val="none"/>
        </w:rPr>
        <w:t>在参加</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（项目名称），</w:t>
      </w:r>
      <w:r>
        <w:rPr>
          <w:rFonts w:hint="eastAsia" w:ascii="宋体" w:hAnsi="宋体" w:eastAsia="宋体" w:cs="宋体"/>
          <w:color w:val="auto"/>
          <w:kern w:val="0"/>
          <w:sz w:val="24"/>
          <w:szCs w:val="24"/>
          <w:highlight w:val="none"/>
          <w:u w:val="single"/>
        </w:rPr>
        <w:t xml:space="preserve">  （项目编号）  </w:t>
      </w:r>
      <w:r>
        <w:rPr>
          <w:rFonts w:hint="eastAsia" w:ascii="宋体" w:hAnsi="宋体" w:eastAsia="宋体" w:cs="宋体"/>
          <w:color w:val="auto"/>
          <w:kern w:val="0"/>
          <w:sz w:val="24"/>
          <w:szCs w:val="24"/>
          <w:highlight w:val="none"/>
        </w:rPr>
        <w:t>，根据《中华人民共和国政府采购法》《河南省财政厅关于优化政府采购营商环境有关问题的通知》（豫财购〔2019〕4号）等相关规定、以及本项目招标（采购）文件的规定，现自愿做出如下承诺：</w:t>
      </w:r>
    </w:p>
    <w:p w14:paraId="68967118">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（1）承诺严格遵守《中华人民共和国政府采购法》等相关法律法规规定；</w:t>
      </w:r>
    </w:p>
    <w:p w14:paraId="44E7C30A">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承诺在诚信库入库及参与政府采购活动中所提供的全部资料真实有效，如有虚假资料情况，将主动放弃中标权利，并承担由此给采购人造成的法律责任及经济损失。如有违反，采购人有权随时单方面提出解除合同，且不需做任何经济补偿、赔偿；</w:t>
      </w:r>
    </w:p>
    <w:p w14:paraId="0DC9FC3E">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（3）承诺如我方中标，保证严格按照采购文件、响应文件、附件等资料内容履行相关义务，保证质量符合贵单位的采购需求，否则，将承担相应法律责任并无条件接受退货且不需要任何经济补偿、赔偿。</w:t>
      </w:r>
    </w:p>
    <w:p w14:paraId="7208FCB7">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有以下违法行为的，采购人有权取消我方中标资格，且我方自愿接受采购人按法律法规及采购文件规定给予的相应处罚：如由财政部门列入不良行为记录名单，禁止参加政府采购活动、承担相应法律责任等，并纳入统一的信用信息平台。</w:t>
      </w:r>
    </w:p>
    <w:p w14:paraId="4C3C8137">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（1）在采购文件规定的采购有效期内未经采购人书面许可撤回响应文件的；</w:t>
      </w:r>
    </w:p>
    <w:p w14:paraId="6CAF481F">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（2）中标后未在采购文件规定的时间内领取中标通知书或领取中标通知书后无正当理由拒不与采购人签订政府采购合同的；</w:t>
      </w:r>
    </w:p>
    <w:p w14:paraId="48557EA9">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（3）在诚信库入库、参与投标过程中提供虚假材料、恶意串通、捏造事实或者以非法手段取得证明材料进行质疑、投诉的；</w:t>
      </w:r>
    </w:p>
    <w:p w14:paraId="5BEFAE80">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（4）违反法律法规及采购文件规定的其他情形。</w:t>
      </w:r>
    </w:p>
    <w:p w14:paraId="4B0227F2">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7C666977">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40D9A37E">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0B9DA43D">
      <w:pPr>
        <w:numPr>
          <w:ilvl w:val="0"/>
          <w:numId w:val="5"/>
        </w:num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br w:type="page"/>
      </w:r>
      <w:bookmarkEnd w:id="356"/>
      <w:bookmarkEnd w:id="357"/>
      <w:bookmarkEnd w:id="358"/>
      <w:r>
        <w:rPr>
          <w:rFonts w:hint="eastAsia" w:ascii="宋体" w:hAnsi="宋体" w:eastAsia="宋体" w:cs="宋体"/>
          <w:b/>
          <w:bCs/>
          <w:color w:val="auto"/>
          <w:sz w:val="32"/>
          <w:szCs w:val="32"/>
          <w:highlight w:val="none"/>
        </w:rPr>
        <w:t>供应商资格审查</w:t>
      </w:r>
      <w:bookmarkEnd w:id="359"/>
      <w:bookmarkEnd w:id="360"/>
      <w:bookmarkEnd w:id="361"/>
      <w:bookmarkEnd w:id="362"/>
    </w:p>
    <w:p w14:paraId="2CE1E1A3">
      <w:pPr>
        <w:autoSpaceDE w:val="0"/>
        <w:autoSpaceDN w:val="0"/>
        <w:spacing w:line="360" w:lineRule="exact"/>
        <w:ind w:right="26"/>
        <w:rPr>
          <w:rFonts w:hint="eastAsia" w:ascii="宋体" w:hAnsi="宋体" w:eastAsia="宋体" w:cs="宋体"/>
          <w:color w:val="auto"/>
          <w:szCs w:val="21"/>
          <w:highlight w:val="none"/>
        </w:rPr>
      </w:pPr>
    </w:p>
    <w:p w14:paraId="68D13B93">
      <w:pPr>
        <w:spacing w:line="360" w:lineRule="auto"/>
        <w:jc w:val="center"/>
        <w:rPr>
          <w:color w:val="auto"/>
          <w:sz w:val="24"/>
          <w:szCs w:val="18"/>
          <w:highlight w:val="none"/>
        </w:rPr>
      </w:pPr>
      <w:bookmarkStart w:id="363" w:name="_Toc10295_WPSOffice_Level2"/>
      <w:r>
        <w:rPr>
          <w:rFonts w:hint="eastAsia"/>
          <w:color w:val="auto"/>
          <w:sz w:val="24"/>
          <w:szCs w:val="18"/>
          <w:highlight w:val="none"/>
        </w:rPr>
        <w:t>（一）供应商基本情况表</w:t>
      </w:r>
      <w:bookmarkEnd w:id="363"/>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973"/>
        <w:gridCol w:w="1551"/>
        <w:gridCol w:w="1119"/>
        <w:gridCol w:w="1132"/>
        <w:gridCol w:w="235"/>
        <w:gridCol w:w="1679"/>
      </w:tblGrid>
      <w:tr w14:paraId="5C1B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280814EA">
            <w:pPr>
              <w:spacing w:line="360" w:lineRule="auto"/>
              <w:rPr>
                <w:color w:val="auto"/>
                <w:sz w:val="24"/>
                <w:highlight w:val="none"/>
              </w:rPr>
            </w:pPr>
            <w:r>
              <w:rPr>
                <w:rFonts w:hint="eastAsia"/>
                <w:color w:val="auto"/>
                <w:sz w:val="24"/>
                <w:highlight w:val="none"/>
              </w:rPr>
              <w:t>供应商名称</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555E46EA">
            <w:pPr>
              <w:spacing w:line="360" w:lineRule="auto"/>
              <w:rPr>
                <w:color w:val="auto"/>
                <w:sz w:val="24"/>
                <w:highlight w:val="none"/>
              </w:rPr>
            </w:pPr>
          </w:p>
        </w:tc>
      </w:tr>
      <w:tr w14:paraId="112D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0827DADD">
            <w:pPr>
              <w:spacing w:line="360" w:lineRule="auto"/>
              <w:rPr>
                <w:color w:val="auto"/>
                <w:sz w:val="24"/>
                <w:highlight w:val="none"/>
              </w:rPr>
            </w:pPr>
            <w:r>
              <w:rPr>
                <w:rFonts w:hint="eastAsia"/>
                <w:color w:val="auto"/>
                <w:sz w:val="24"/>
                <w:highlight w:val="none"/>
              </w:rPr>
              <w:t>注册地址</w:t>
            </w:r>
          </w:p>
        </w:tc>
        <w:tc>
          <w:tcPr>
            <w:tcW w:w="3643" w:type="dxa"/>
            <w:gridSpan w:val="3"/>
            <w:tcBorders>
              <w:top w:val="single" w:color="auto" w:sz="4" w:space="0"/>
              <w:left w:val="single" w:color="auto" w:sz="4" w:space="0"/>
              <w:bottom w:val="single" w:color="auto" w:sz="4" w:space="0"/>
              <w:right w:val="single" w:color="auto" w:sz="4" w:space="0"/>
            </w:tcBorders>
            <w:noWrap/>
            <w:vAlign w:val="center"/>
          </w:tcPr>
          <w:p w14:paraId="78D603CC">
            <w:pPr>
              <w:spacing w:line="360" w:lineRule="auto"/>
              <w:rPr>
                <w:color w:val="auto"/>
                <w:sz w:val="24"/>
                <w:highlight w:val="none"/>
              </w:rPr>
            </w:pPr>
          </w:p>
        </w:tc>
        <w:tc>
          <w:tcPr>
            <w:tcW w:w="1367" w:type="dxa"/>
            <w:gridSpan w:val="2"/>
            <w:tcBorders>
              <w:top w:val="single" w:color="auto" w:sz="4" w:space="0"/>
              <w:left w:val="single" w:color="auto" w:sz="4" w:space="0"/>
              <w:bottom w:val="single" w:color="auto" w:sz="4" w:space="0"/>
              <w:right w:val="single" w:color="auto" w:sz="4" w:space="0"/>
            </w:tcBorders>
            <w:noWrap/>
            <w:vAlign w:val="center"/>
          </w:tcPr>
          <w:p w14:paraId="301CD7FD">
            <w:pPr>
              <w:spacing w:line="360" w:lineRule="auto"/>
              <w:rPr>
                <w:color w:val="auto"/>
                <w:sz w:val="24"/>
                <w:highlight w:val="none"/>
              </w:rPr>
            </w:pPr>
            <w:r>
              <w:rPr>
                <w:rFonts w:hint="eastAsia"/>
                <w:color w:val="auto"/>
                <w:sz w:val="24"/>
                <w:highlight w:val="none"/>
              </w:rPr>
              <w:t>邮政编码</w:t>
            </w:r>
          </w:p>
        </w:tc>
        <w:tc>
          <w:tcPr>
            <w:tcW w:w="1679" w:type="dxa"/>
            <w:tcBorders>
              <w:top w:val="single" w:color="auto" w:sz="4" w:space="0"/>
              <w:left w:val="single" w:color="auto" w:sz="4" w:space="0"/>
              <w:bottom w:val="single" w:color="auto" w:sz="4" w:space="0"/>
              <w:right w:val="single" w:color="auto" w:sz="4" w:space="0"/>
            </w:tcBorders>
            <w:noWrap/>
            <w:vAlign w:val="center"/>
          </w:tcPr>
          <w:p w14:paraId="73619CF6">
            <w:pPr>
              <w:spacing w:line="360" w:lineRule="auto"/>
              <w:rPr>
                <w:color w:val="auto"/>
                <w:sz w:val="24"/>
                <w:highlight w:val="none"/>
              </w:rPr>
            </w:pPr>
          </w:p>
        </w:tc>
      </w:tr>
      <w:tr w14:paraId="2209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31" w:type="dxa"/>
            <w:vMerge w:val="restart"/>
            <w:tcBorders>
              <w:top w:val="single" w:color="auto" w:sz="4" w:space="0"/>
              <w:left w:val="single" w:color="auto" w:sz="4" w:space="0"/>
              <w:bottom w:val="single" w:color="auto" w:sz="4" w:space="0"/>
              <w:right w:val="single" w:color="auto" w:sz="4" w:space="0"/>
            </w:tcBorders>
            <w:noWrap/>
            <w:vAlign w:val="center"/>
          </w:tcPr>
          <w:p w14:paraId="100DF153">
            <w:pPr>
              <w:spacing w:line="360" w:lineRule="auto"/>
              <w:rPr>
                <w:color w:val="auto"/>
                <w:sz w:val="24"/>
                <w:highlight w:val="none"/>
              </w:rPr>
            </w:pPr>
            <w:r>
              <w:rPr>
                <w:rFonts w:hint="eastAsia"/>
                <w:color w:val="auto"/>
                <w:sz w:val="24"/>
                <w:highlight w:val="none"/>
              </w:rPr>
              <w:t>联系方式</w:t>
            </w:r>
          </w:p>
        </w:tc>
        <w:tc>
          <w:tcPr>
            <w:tcW w:w="973" w:type="dxa"/>
            <w:tcBorders>
              <w:top w:val="single" w:color="auto" w:sz="4" w:space="0"/>
              <w:left w:val="single" w:color="auto" w:sz="4" w:space="0"/>
              <w:bottom w:val="single" w:color="auto" w:sz="4" w:space="0"/>
              <w:right w:val="single" w:color="auto" w:sz="4" w:space="0"/>
            </w:tcBorders>
            <w:noWrap/>
            <w:vAlign w:val="center"/>
          </w:tcPr>
          <w:p w14:paraId="64F7745A">
            <w:pPr>
              <w:spacing w:line="360" w:lineRule="auto"/>
              <w:rPr>
                <w:color w:val="auto"/>
                <w:sz w:val="24"/>
                <w:highlight w:val="none"/>
              </w:rPr>
            </w:pPr>
            <w:r>
              <w:rPr>
                <w:rFonts w:hint="eastAsia"/>
                <w:color w:val="auto"/>
                <w:sz w:val="24"/>
                <w:highlight w:val="none"/>
              </w:rPr>
              <w:t>联系人</w:t>
            </w:r>
          </w:p>
        </w:tc>
        <w:tc>
          <w:tcPr>
            <w:tcW w:w="2670" w:type="dxa"/>
            <w:gridSpan w:val="2"/>
            <w:tcBorders>
              <w:top w:val="single" w:color="auto" w:sz="4" w:space="0"/>
              <w:left w:val="single" w:color="auto" w:sz="4" w:space="0"/>
              <w:bottom w:val="single" w:color="auto" w:sz="4" w:space="0"/>
              <w:right w:val="single" w:color="auto" w:sz="4" w:space="0"/>
            </w:tcBorders>
            <w:noWrap/>
            <w:vAlign w:val="center"/>
          </w:tcPr>
          <w:p w14:paraId="4237ED6E">
            <w:pPr>
              <w:spacing w:line="360" w:lineRule="auto"/>
              <w:rPr>
                <w:color w:val="auto"/>
                <w:sz w:val="24"/>
                <w:highlight w:val="none"/>
              </w:rPr>
            </w:pPr>
          </w:p>
        </w:tc>
        <w:tc>
          <w:tcPr>
            <w:tcW w:w="1367" w:type="dxa"/>
            <w:gridSpan w:val="2"/>
            <w:tcBorders>
              <w:top w:val="single" w:color="auto" w:sz="4" w:space="0"/>
              <w:left w:val="single" w:color="auto" w:sz="4" w:space="0"/>
              <w:bottom w:val="single" w:color="auto" w:sz="4" w:space="0"/>
              <w:right w:val="single" w:color="auto" w:sz="4" w:space="0"/>
            </w:tcBorders>
            <w:noWrap/>
            <w:vAlign w:val="center"/>
          </w:tcPr>
          <w:p w14:paraId="43AEDA92">
            <w:pPr>
              <w:spacing w:line="360" w:lineRule="auto"/>
              <w:rPr>
                <w:color w:val="auto"/>
                <w:sz w:val="24"/>
                <w:highlight w:val="none"/>
              </w:rPr>
            </w:pPr>
            <w:r>
              <w:rPr>
                <w:rFonts w:hint="eastAsia"/>
                <w:color w:val="auto"/>
                <w:sz w:val="24"/>
                <w:highlight w:val="none"/>
              </w:rPr>
              <w:t>电话</w:t>
            </w:r>
          </w:p>
        </w:tc>
        <w:tc>
          <w:tcPr>
            <w:tcW w:w="1679" w:type="dxa"/>
            <w:tcBorders>
              <w:top w:val="single" w:color="auto" w:sz="4" w:space="0"/>
              <w:left w:val="single" w:color="auto" w:sz="4" w:space="0"/>
              <w:bottom w:val="single" w:color="auto" w:sz="4" w:space="0"/>
              <w:right w:val="single" w:color="auto" w:sz="4" w:space="0"/>
            </w:tcBorders>
            <w:noWrap/>
            <w:vAlign w:val="center"/>
          </w:tcPr>
          <w:p w14:paraId="7041C642">
            <w:pPr>
              <w:spacing w:line="360" w:lineRule="auto"/>
              <w:rPr>
                <w:color w:val="auto"/>
                <w:sz w:val="24"/>
                <w:highlight w:val="none"/>
              </w:rPr>
            </w:pPr>
          </w:p>
        </w:tc>
      </w:tr>
      <w:tr w14:paraId="50D2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731" w:type="dxa"/>
            <w:vMerge w:val="continue"/>
            <w:tcBorders>
              <w:top w:val="single" w:color="auto" w:sz="4" w:space="0"/>
              <w:left w:val="single" w:color="auto" w:sz="4" w:space="0"/>
              <w:bottom w:val="single" w:color="auto" w:sz="4" w:space="0"/>
              <w:right w:val="single" w:color="auto" w:sz="4" w:space="0"/>
            </w:tcBorders>
            <w:noWrap/>
            <w:vAlign w:val="center"/>
          </w:tcPr>
          <w:p w14:paraId="261E5AE6">
            <w:pPr>
              <w:rPr>
                <w:color w:val="auto"/>
                <w:sz w:val="20"/>
                <w:szCs w:val="20"/>
                <w:highlight w:val="none"/>
              </w:rPr>
            </w:pPr>
          </w:p>
        </w:tc>
        <w:tc>
          <w:tcPr>
            <w:tcW w:w="973" w:type="dxa"/>
            <w:tcBorders>
              <w:top w:val="single" w:color="auto" w:sz="4" w:space="0"/>
              <w:left w:val="single" w:color="auto" w:sz="4" w:space="0"/>
              <w:bottom w:val="single" w:color="auto" w:sz="4" w:space="0"/>
              <w:right w:val="single" w:color="auto" w:sz="4" w:space="0"/>
            </w:tcBorders>
            <w:noWrap/>
            <w:vAlign w:val="center"/>
          </w:tcPr>
          <w:p w14:paraId="30317FA1">
            <w:pPr>
              <w:spacing w:line="360" w:lineRule="auto"/>
              <w:rPr>
                <w:color w:val="auto"/>
                <w:sz w:val="24"/>
                <w:highlight w:val="none"/>
              </w:rPr>
            </w:pPr>
            <w:r>
              <w:rPr>
                <w:rFonts w:hint="eastAsia"/>
                <w:color w:val="auto"/>
                <w:sz w:val="24"/>
                <w:highlight w:val="none"/>
              </w:rPr>
              <w:t>传真</w:t>
            </w:r>
          </w:p>
        </w:tc>
        <w:tc>
          <w:tcPr>
            <w:tcW w:w="2670" w:type="dxa"/>
            <w:gridSpan w:val="2"/>
            <w:tcBorders>
              <w:top w:val="single" w:color="auto" w:sz="4" w:space="0"/>
              <w:left w:val="single" w:color="auto" w:sz="4" w:space="0"/>
              <w:bottom w:val="single" w:color="auto" w:sz="4" w:space="0"/>
              <w:right w:val="single" w:color="auto" w:sz="4" w:space="0"/>
            </w:tcBorders>
            <w:noWrap/>
            <w:vAlign w:val="center"/>
          </w:tcPr>
          <w:p w14:paraId="21A9CC2C">
            <w:pPr>
              <w:spacing w:line="360" w:lineRule="auto"/>
              <w:rPr>
                <w:color w:val="auto"/>
                <w:sz w:val="24"/>
                <w:highlight w:val="none"/>
              </w:rPr>
            </w:pPr>
          </w:p>
        </w:tc>
        <w:tc>
          <w:tcPr>
            <w:tcW w:w="1367" w:type="dxa"/>
            <w:gridSpan w:val="2"/>
            <w:tcBorders>
              <w:top w:val="single" w:color="auto" w:sz="4" w:space="0"/>
              <w:left w:val="single" w:color="auto" w:sz="4" w:space="0"/>
              <w:bottom w:val="single" w:color="auto" w:sz="4" w:space="0"/>
              <w:right w:val="single" w:color="auto" w:sz="4" w:space="0"/>
            </w:tcBorders>
            <w:noWrap/>
            <w:vAlign w:val="center"/>
          </w:tcPr>
          <w:p w14:paraId="4B513F9C">
            <w:pPr>
              <w:spacing w:line="360" w:lineRule="auto"/>
              <w:rPr>
                <w:color w:val="auto"/>
                <w:sz w:val="24"/>
                <w:highlight w:val="none"/>
              </w:rPr>
            </w:pPr>
            <w:r>
              <w:rPr>
                <w:rFonts w:hint="eastAsia"/>
                <w:color w:val="auto"/>
                <w:sz w:val="24"/>
                <w:highlight w:val="none"/>
              </w:rPr>
              <w:t>网址</w:t>
            </w:r>
          </w:p>
        </w:tc>
        <w:tc>
          <w:tcPr>
            <w:tcW w:w="1679" w:type="dxa"/>
            <w:tcBorders>
              <w:top w:val="single" w:color="auto" w:sz="4" w:space="0"/>
              <w:left w:val="single" w:color="auto" w:sz="4" w:space="0"/>
              <w:bottom w:val="single" w:color="auto" w:sz="4" w:space="0"/>
              <w:right w:val="single" w:color="auto" w:sz="4" w:space="0"/>
            </w:tcBorders>
            <w:noWrap/>
            <w:vAlign w:val="center"/>
          </w:tcPr>
          <w:p w14:paraId="5EAA882D">
            <w:pPr>
              <w:spacing w:line="360" w:lineRule="auto"/>
              <w:rPr>
                <w:color w:val="auto"/>
                <w:sz w:val="24"/>
                <w:highlight w:val="none"/>
              </w:rPr>
            </w:pPr>
          </w:p>
        </w:tc>
      </w:tr>
      <w:tr w14:paraId="44B2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2B50E66D">
            <w:pPr>
              <w:spacing w:line="360" w:lineRule="auto"/>
              <w:rPr>
                <w:color w:val="auto"/>
                <w:sz w:val="24"/>
                <w:highlight w:val="none"/>
              </w:rPr>
            </w:pPr>
            <w:r>
              <w:rPr>
                <w:rFonts w:hint="eastAsia"/>
                <w:color w:val="auto"/>
                <w:sz w:val="24"/>
                <w:highlight w:val="none"/>
              </w:rPr>
              <w:t>组织结构</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1F06F941">
            <w:pPr>
              <w:tabs>
                <w:tab w:val="left" w:pos="4776"/>
              </w:tabs>
              <w:spacing w:line="360" w:lineRule="auto"/>
              <w:rPr>
                <w:color w:val="auto"/>
                <w:sz w:val="24"/>
                <w:highlight w:val="none"/>
              </w:rPr>
            </w:pPr>
          </w:p>
        </w:tc>
      </w:tr>
      <w:tr w14:paraId="10C9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4006C299">
            <w:pPr>
              <w:spacing w:line="360" w:lineRule="auto"/>
              <w:rPr>
                <w:color w:val="auto"/>
                <w:sz w:val="24"/>
                <w:highlight w:val="none"/>
              </w:rPr>
            </w:pPr>
            <w:r>
              <w:rPr>
                <w:rFonts w:hint="eastAsia"/>
                <w:color w:val="auto"/>
                <w:sz w:val="24"/>
                <w:highlight w:val="none"/>
              </w:rPr>
              <w:t>法定代表人</w:t>
            </w:r>
          </w:p>
        </w:tc>
        <w:tc>
          <w:tcPr>
            <w:tcW w:w="973" w:type="dxa"/>
            <w:tcBorders>
              <w:top w:val="single" w:color="auto" w:sz="4" w:space="0"/>
              <w:left w:val="single" w:color="auto" w:sz="4" w:space="0"/>
              <w:bottom w:val="single" w:color="auto" w:sz="4" w:space="0"/>
              <w:right w:val="single" w:color="auto" w:sz="4" w:space="0"/>
            </w:tcBorders>
            <w:noWrap/>
            <w:vAlign w:val="center"/>
          </w:tcPr>
          <w:p w14:paraId="68C4F52D">
            <w:pPr>
              <w:spacing w:line="360" w:lineRule="auto"/>
              <w:rPr>
                <w:color w:val="auto"/>
                <w:sz w:val="24"/>
                <w:highlight w:val="none"/>
              </w:rPr>
            </w:pPr>
            <w:r>
              <w:rPr>
                <w:rFonts w:hint="eastAsia"/>
                <w:color w:val="auto"/>
                <w:sz w:val="24"/>
                <w:highlight w:val="none"/>
              </w:rPr>
              <w:t>姓名</w:t>
            </w:r>
          </w:p>
        </w:tc>
        <w:tc>
          <w:tcPr>
            <w:tcW w:w="2670" w:type="dxa"/>
            <w:gridSpan w:val="2"/>
            <w:tcBorders>
              <w:top w:val="single" w:color="auto" w:sz="4" w:space="0"/>
              <w:left w:val="single" w:color="auto" w:sz="4" w:space="0"/>
              <w:bottom w:val="single" w:color="auto" w:sz="4" w:space="0"/>
              <w:right w:val="single" w:color="auto" w:sz="4" w:space="0"/>
            </w:tcBorders>
            <w:noWrap/>
            <w:vAlign w:val="center"/>
          </w:tcPr>
          <w:p w14:paraId="6570F9F9">
            <w:pPr>
              <w:spacing w:line="360" w:lineRule="auto"/>
              <w:rPr>
                <w:color w:val="auto"/>
                <w:sz w:val="24"/>
                <w:highlight w:val="none"/>
              </w:rPr>
            </w:pPr>
          </w:p>
        </w:tc>
        <w:tc>
          <w:tcPr>
            <w:tcW w:w="1132" w:type="dxa"/>
            <w:tcBorders>
              <w:top w:val="single" w:color="auto" w:sz="4" w:space="0"/>
              <w:left w:val="single" w:color="auto" w:sz="4" w:space="0"/>
              <w:bottom w:val="single" w:color="auto" w:sz="4" w:space="0"/>
              <w:right w:val="single" w:color="auto" w:sz="4" w:space="0"/>
            </w:tcBorders>
            <w:noWrap/>
            <w:vAlign w:val="center"/>
          </w:tcPr>
          <w:p w14:paraId="61E603B7">
            <w:pPr>
              <w:spacing w:line="360" w:lineRule="auto"/>
              <w:rPr>
                <w:color w:val="auto"/>
                <w:sz w:val="24"/>
                <w:highlight w:val="none"/>
              </w:rPr>
            </w:pPr>
            <w:r>
              <w:rPr>
                <w:rFonts w:hint="eastAsia"/>
                <w:color w:val="auto"/>
                <w:sz w:val="24"/>
                <w:highlight w:val="none"/>
              </w:rPr>
              <w:t>电话</w:t>
            </w:r>
          </w:p>
        </w:tc>
        <w:tc>
          <w:tcPr>
            <w:tcW w:w="1914" w:type="dxa"/>
            <w:gridSpan w:val="2"/>
            <w:tcBorders>
              <w:top w:val="single" w:color="auto" w:sz="4" w:space="0"/>
              <w:left w:val="single" w:color="auto" w:sz="4" w:space="0"/>
              <w:bottom w:val="single" w:color="auto" w:sz="4" w:space="0"/>
              <w:right w:val="single" w:color="auto" w:sz="4" w:space="0"/>
            </w:tcBorders>
            <w:noWrap/>
            <w:vAlign w:val="center"/>
          </w:tcPr>
          <w:p w14:paraId="3737C6CC">
            <w:pPr>
              <w:spacing w:line="360" w:lineRule="auto"/>
              <w:rPr>
                <w:color w:val="auto"/>
                <w:sz w:val="24"/>
                <w:highlight w:val="none"/>
              </w:rPr>
            </w:pPr>
          </w:p>
        </w:tc>
      </w:tr>
      <w:tr w14:paraId="508A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5F8758B2">
            <w:pPr>
              <w:spacing w:line="360" w:lineRule="auto"/>
              <w:rPr>
                <w:color w:val="auto"/>
                <w:sz w:val="24"/>
                <w:highlight w:val="none"/>
              </w:rPr>
            </w:pPr>
            <w:r>
              <w:rPr>
                <w:rFonts w:hint="eastAsia"/>
                <w:color w:val="auto"/>
                <w:sz w:val="24"/>
                <w:highlight w:val="none"/>
              </w:rPr>
              <w:t>成立时间</w:t>
            </w:r>
          </w:p>
        </w:tc>
        <w:tc>
          <w:tcPr>
            <w:tcW w:w="2524" w:type="dxa"/>
            <w:gridSpan w:val="2"/>
            <w:tcBorders>
              <w:top w:val="single" w:color="auto" w:sz="4" w:space="0"/>
              <w:left w:val="single" w:color="auto" w:sz="4" w:space="0"/>
              <w:bottom w:val="single" w:color="auto" w:sz="4" w:space="0"/>
              <w:right w:val="single" w:color="auto" w:sz="4" w:space="0"/>
            </w:tcBorders>
            <w:noWrap/>
            <w:vAlign w:val="center"/>
          </w:tcPr>
          <w:p w14:paraId="10709E7B">
            <w:pPr>
              <w:spacing w:line="360" w:lineRule="auto"/>
              <w:rPr>
                <w:color w:val="auto"/>
                <w:sz w:val="24"/>
                <w:highlight w:val="none"/>
              </w:rPr>
            </w:pPr>
          </w:p>
        </w:tc>
        <w:tc>
          <w:tcPr>
            <w:tcW w:w="4165" w:type="dxa"/>
            <w:gridSpan w:val="4"/>
            <w:tcBorders>
              <w:top w:val="single" w:color="auto" w:sz="4" w:space="0"/>
              <w:left w:val="single" w:color="auto" w:sz="4" w:space="0"/>
              <w:bottom w:val="single" w:color="auto" w:sz="4" w:space="0"/>
              <w:right w:val="single" w:color="auto" w:sz="4" w:space="0"/>
            </w:tcBorders>
            <w:noWrap/>
            <w:vAlign w:val="center"/>
          </w:tcPr>
          <w:p w14:paraId="16D5BFBD">
            <w:pPr>
              <w:spacing w:line="360" w:lineRule="auto"/>
              <w:rPr>
                <w:color w:val="auto"/>
                <w:sz w:val="24"/>
                <w:highlight w:val="none"/>
              </w:rPr>
            </w:pPr>
            <w:r>
              <w:rPr>
                <w:rFonts w:hint="eastAsia"/>
                <w:color w:val="auto"/>
                <w:sz w:val="24"/>
                <w:highlight w:val="none"/>
              </w:rPr>
              <w:t>员工总人数：</w:t>
            </w:r>
          </w:p>
        </w:tc>
      </w:tr>
      <w:tr w14:paraId="20E9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26C62E44">
            <w:pPr>
              <w:spacing w:line="360" w:lineRule="auto"/>
              <w:rPr>
                <w:color w:val="auto"/>
                <w:sz w:val="24"/>
                <w:highlight w:val="none"/>
              </w:rPr>
            </w:pPr>
            <w:r>
              <w:rPr>
                <w:rFonts w:hint="eastAsia"/>
                <w:color w:val="auto"/>
                <w:sz w:val="24"/>
                <w:highlight w:val="none"/>
              </w:rPr>
              <w:t>营业执照号</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35D98F7F">
            <w:pPr>
              <w:spacing w:line="360" w:lineRule="auto"/>
              <w:rPr>
                <w:color w:val="auto"/>
                <w:sz w:val="24"/>
                <w:highlight w:val="none"/>
              </w:rPr>
            </w:pPr>
          </w:p>
        </w:tc>
      </w:tr>
      <w:tr w14:paraId="45B5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108A271F">
            <w:pPr>
              <w:spacing w:line="360" w:lineRule="auto"/>
              <w:rPr>
                <w:color w:val="auto"/>
                <w:sz w:val="24"/>
                <w:highlight w:val="none"/>
              </w:rPr>
            </w:pPr>
            <w:r>
              <w:rPr>
                <w:rFonts w:hint="eastAsia"/>
                <w:color w:val="auto"/>
                <w:sz w:val="24"/>
                <w:highlight w:val="none"/>
              </w:rPr>
              <w:t>注册资金</w:t>
            </w:r>
          </w:p>
        </w:tc>
        <w:tc>
          <w:tcPr>
            <w:tcW w:w="2524" w:type="dxa"/>
            <w:gridSpan w:val="2"/>
            <w:tcBorders>
              <w:top w:val="single" w:color="auto" w:sz="4" w:space="0"/>
              <w:left w:val="single" w:color="auto" w:sz="4" w:space="0"/>
              <w:bottom w:val="single" w:color="auto" w:sz="4" w:space="0"/>
              <w:right w:val="single" w:color="auto" w:sz="4" w:space="0"/>
            </w:tcBorders>
            <w:noWrap/>
            <w:vAlign w:val="center"/>
          </w:tcPr>
          <w:p w14:paraId="6F1DE52A">
            <w:pPr>
              <w:spacing w:line="360" w:lineRule="auto"/>
              <w:rPr>
                <w:color w:val="auto"/>
                <w:sz w:val="24"/>
                <w:highlight w:val="none"/>
              </w:rPr>
            </w:pPr>
          </w:p>
        </w:tc>
        <w:tc>
          <w:tcPr>
            <w:tcW w:w="2251" w:type="dxa"/>
            <w:gridSpan w:val="2"/>
            <w:tcBorders>
              <w:top w:val="single" w:color="auto" w:sz="4" w:space="0"/>
              <w:left w:val="single" w:color="auto" w:sz="4" w:space="0"/>
              <w:bottom w:val="single" w:color="auto" w:sz="4" w:space="0"/>
              <w:right w:val="single" w:color="auto" w:sz="4" w:space="0"/>
            </w:tcBorders>
            <w:noWrap/>
            <w:vAlign w:val="center"/>
          </w:tcPr>
          <w:p w14:paraId="6F6CD4ED">
            <w:pPr>
              <w:spacing w:line="360" w:lineRule="auto"/>
              <w:rPr>
                <w:color w:val="auto"/>
                <w:sz w:val="24"/>
                <w:highlight w:val="none"/>
              </w:rPr>
            </w:pPr>
            <w:r>
              <w:rPr>
                <w:rFonts w:hint="eastAsia"/>
                <w:color w:val="auto"/>
                <w:sz w:val="24"/>
                <w:highlight w:val="none"/>
              </w:rPr>
              <w:t>开户银行</w:t>
            </w:r>
          </w:p>
        </w:tc>
        <w:tc>
          <w:tcPr>
            <w:tcW w:w="1914" w:type="dxa"/>
            <w:gridSpan w:val="2"/>
            <w:tcBorders>
              <w:top w:val="single" w:color="auto" w:sz="4" w:space="0"/>
              <w:left w:val="single" w:color="auto" w:sz="4" w:space="0"/>
              <w:bottom w:val="single" w:color="auto" w:sz="4" w:space="0"/>
              <w:right w:val="single" w:color="auto" w:sz="4" w:space="0"/>
            </w:tcBorders>
            <w:noWrap/>
            <w:vAlign w:val="center"/>
          </w:tcPr>
          <w:p w14:paraId="5069949C">
            <w:pPr>
              <w:spacing w:line="360" w:lineRule="auto"/>
              <w:rPr>
                <w:color w:val="auto"/>
                <w:sz w:val="24"/>
                <w:highlight w:val="none"/>
              </w:rPr>
            </w:pPr>
          </w:p>
        </w:tc>
      </w:tr>
      <w:tr w14:paraId="5963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6C9231EA">
            <w:pPr>
              <w:spacing w:line="360" w:lineRule="auto"/>
              <w:rPr>
                <w:color w:val="auto"/>
                <w:sz w:val="24"/>
                <w:highlight w:val="none"/>
              </w:rPr>
            </w:pPr>
            <w:r>
              <w:rPr>
                <w:rFonts w:hint="eastAsia"/>
                <w:color w:val="auto"/>
                <w:sz w:val="24"/>
                <w:highlight w:val="none"/>
              </w:rPr>
              <w:t>账号</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07B0E18F">
            <w:pPr>
              <w:spacing w:line="360" w:lineRule="auto"/>
              <w:rPr>
                <w:color w:val="auto"/>
                <w:sz w:val="24"/>
                <w:highlight w:val="none"/>
              </w:rPr>
            </w:pPr>
          </w:p>
        </w:tc>
      </w:tr>
      <w:tr w14:paraId="7E7F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1"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052C86E7">
            <w:pPr>
              <w:spacing w:line="360" w:lineRule="auto"/>
              <w:rPr>
                <w:color w:val="auto"/>
                <w:sz w:val="24"/>
                <w:highlight w:val="none"/>
              </w:rPr>
            </w:pPr>
            <w:r>
              <w:rPr>
                <w:rFonts w:hint="eastAsia"/>
                <w:color w:val="auto"/>
                <w:sz w:val="24"/>
                <w:highlight w:val="none"/>
              </w:rPr>
              <w:t>经营范围备注</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076CF57C">
            <w:pPr>
              <w:spacing w:line="360" w:lineRule="auto"/>
              <w:rPr>
                <w:color w:val="auto"/>
                <w:sz w:val="24"/>
                <w:highlight w:val="none"/>
              </w:rPr>
            </w:pPr>
          </w:p>
        </w:tc>
      </w:tr>
    </w:tbl>
    <w:p w14:paraId="7280CBFE">
      <w:pPr>
        <w:spacing w:line="360" w:lineRule="auto"/>
        <w:ind w:firstLine="480" w:firstLineChars="200"/>
        <w:rPr>
          <w:color w:val="auto"/>
          <w:sz w:val="24"/>
          <w:highlight w:val="none"/>
        </w:rPr>
      </w:pPr>
      <w:bookmarkStart w:id="364" w:name="_Toc15473_WPSOffice_Level3"/>
      <w:r>
        <w:rPr>
          <w:rFonts w:hint="eastAsia"/>
          <w:color w:val="auto"/>
          <w:sz w:val="24"/>
          <w:highlight w:val="none"/>
        </w:rPr>
        <w:t>附：1、营业执照、税务登记证、组织机构代码</w:t>
      </w:r>
      <w:r>
        <w:rPr>
          <w:rFonts w:hint="eastAsia" w:ascii="Times New Roman" w:hAnsi="Times New Roman" w:eastAsia="宋体" w:cs="Times New Roman"/>
          <w:color w:val="auto"/>
          <w:sz w:val="24"/>
          <w:highlight w:val="none"/>
        </w:rPr>
        <w:t>证</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或三证合一）</w:t>
      </w:r>
      <w:r>
        <w:rPr>
          <w:rFonts w:hint="eastAsia"/>
          <w:color w:val="auto"/>
          <w:sz w:val="24"/>
          <w:highlight w:val="none"/>
        </w:rPr>
        <w:t>等相关证件的扫描件</w:t>
      </w:r>
      <w:bookmarkEnd w:id="364"/>
    </w:p>
    <w:p w14:paraId="083CD052">
      <w:pPr>
        <w:spacing w:line="360" w:lineRule="auto"/>
        <w:rPr>
          <w:color w:val="auto"/>
          <w:sz w:val="24"/>
          <w:highlight w:val="none"/>
        </w:rPr>
      </w:pPr>
    </w:p>
    <w:p w14:paraId="44EA9FDA">
      <w:pPr>
        <w:spacing w:line="360" w:lineRule="auto"/>
        <w:jc w:val="center"/>
        <w:rPr>
          <w:color w:val="auto"/>
          <w:sz w:val="28"/>
          <w:szCs w:val="20"/>
          <w:highlight w:val="none"/>
        </w:rPr>
      </w:pPr>
      <w:r>
        <w:rPr>
          <w:rFonts w:hint="eastAsia"/>
          <w:color w:val="auto"/>
          <w:sz w:val="24"/>
          <w:highlight w:val="none"/>
        </w:rPr>
        <w:br w:type="page"/>
      </w:r>
      <w:bookmarkStart w:id="365" w:name="_Toc13068_WPSOffice_Level2"/>
      <w:r>
        <w:rPr>
          <w:rFonts w:hint="eastAsia"/>
          <w:color w:val="auto"/>
          <w:sz w:val="28"/>
          <w:szCs w:val="20"/>
          <w:highlight w:val="none"/>
        </w:rPr>
        <w:t>（二）竞争性磋商文件规定的资格审查资料</w:t>
      </w:r>
      <w:bookmarkEnd w:id="365"/>
    </w:p>
    <w:p w14:paraId="2C7FF727">
      <w:pPr>
        <w:spacing w:line="360" w:lineRule="auto"/>
        <w:rPr>
          <w:color w:val="auto"/>
          <w:sz w:val="24"/>
          <w:highlight w:val="none"/>
        </w:rPr>
      </w:pPr>
    </w:p>
    <w:p w14:paraId="73719F4E">
      <w:pPr>
        <w:spacing w:line="400" w:lineRule="exact"/>
        <w:rPr>
          <w:rFonts w:hint="eastAsia" w:ascii="宋体" w:hAnsi="宋体" w:eastAsia="宋体" w:cs="宋体"/>
          <w:color w:val="auto"/>
          <w:sz w:val="24"/>
          <w:highlight w:val="none"/>
        </w:rPr>
      </w:pPr>
    </w:p>
    <w:p w14:paraId="21BEF90B">
      <w:pPr>
        <w:spacing w:before="53" w:line="360" w:lineRule="auto"/>
        <w:jc w:val="center"/>
        <w:outlineLvl w:val="2"/>
        <w:rPr>
          <w:rFonts w:ascii="Times New Roman" w:hAnsi="Times New Roman"/>
          <w:b/>
          <w:bCs/>
          <w:color w:val="auto"/>
          <w:sz w:val="24"/>
          <w:szCs w:val="30"/>
          <w:highlight w:val="none"/>
          <w:lang w:val="zh-CN" w:bidi="zh-CN"/>
        </w:rPr>
      </w:pPr>
      <w:bookmarkStart w:id="366" w:name="_Toc89334771"/>
      <w:bookmarkStart w:id="367" w:name="_Toc121405504"/>
      <w:bookmarkStart w:id="368" w:name="_Toc44603941"/>
      <w:bookmarkStart w:id="369" w:name="_Toc90623962"/>
      <w:bookmarkStart w:id="370" w:name="_Toc16691"/>
      <w:bookmarkStart w:id="371" w:name="_Toc13341"/>
      <w:r>
        <w:rPr>
          <w:rFonts w:hint="eastAsia" w:ascii="宋体" w:hAnsi="宋体" w:eastAsia="宋体" w:cs="宋体"/>
          <w:b/>
          <w:bCs/>
          <w:color w:val="auto"/>
          <w:sz w:val="32"/>
          <w:szCs w:val="32"/>
          <w:highlight w:val="none"/>
          <w:lang w:eastAsia="zh-CN"/>
        </w:rPr>
        <w:br w:type="page"/>
      </w:r>
      <w:r>
        <w:rPr>
          <w:rFonts w:hint="eastAsia" w:ascii="Times New Roman" w:hAnsi="Times New Roman"/>
          <w:b/>
          <w:bCs/>
          <w:color w:val="auto"/>
          <w:sz w:val="24"/>
          <w:szCs w:val="30"/>
          <w:highlight w:val="none"/>
          <w:lang w:val="zh-CN" w:bidi="zh-CN"/>
        </w:rPr>
        <w:t>（三）近年发生的诉讼及仲裁情况</w:t>
      </w:r>
    </w:p>
    <w:p w14:paraId="772AE89F">
      <w:pPr>
        <w:autoSpaceDE w:val="0"/>
        <w:autoSpaceDN w:val="0"/>
        <w:adjustRightInd w:val="0"/>
        <w:jc w:val="left"/>
        <w:rPr>
          <w:rFonts w:ascii="Times New Roman" w:hAnsi="Times New Roman"/>
          <w:color w:val="auto"/>
          <w:kern w:val="0"/>
          <w:sz w:val="24"/>
          <w:szCs w:val="24"/>
          <w:highlight w:val="none"/>
        </w:rPr>
      </w:pPr>
    </w:p>
    <w:p w14:paraId="2B73604A">
      <w:pPr>
        <w:autoSpaceDE w:val="0"/>
        <w:autoSpaceDN w:val="0"/>
        <w:adjustRightInd w:val="0"/>
        <w:spacing w:line="450" w:lineRule="exact"/>
        <w:ind w:firstLine="480" w:firstLineChars="200"/>
        <w:jc w:val="left"/>
        <w:rPr>
          <w:rFonts w:ascii="Times New Roman" w:hAnsi="Times New Roman"/>
          <w:color w:val="auto"/>
          <w:sz w:val="24"/>
          <w:szCs w:val="24"/>
          <w:highlight w:val="none"/>
        </w:rPr>
      </w:pPr>
      <w:r>
        <w:rPr>
          <w:rFonts w:hint="eastAsia" w:ascii="Times New Roman" w:hAnsi="Times New Roman"/>
          <w:color w:val="auto"/>
          <w:sz w:val="24"/>
          <w:szCs w:val="24"/>
          <w:highlight w:val="none"/>
        </w:rPr>
        <w:t>注：</w:t>
      </w:r>
      <w:r>
        <w:rPr>
          <w:rFonts w:ascii="Times New Roman" w:hAnsi="Times New Roman"/>
          <w:color w:val="auto"/>
          <w:sz w:val="24"/>
          <w:szCs w:val="24"/>
          <w:highlight w:val="none"/>
        </w:rPr>
        <w:t>1</w:t>
      </w:r>
      <w:r>
        <w:rPr>
          <w:rFonts w:hint="eastAsia" w:ascii="Times New Roman" w:hAnsi="Times New Roman"/>
          <w:color w:val="auto"/>
          <w:sz w:val="24"/>
          <w:szCs w:val="24"/>
          <w:highlight w:val="none"/>
        </w:rPr>
        <w:t>、“近年发生的诉讼及仲裁情况”应说明供应商败诉的设备买卖合同的相关情况，并附法院或仲裁机构作出的判决、裁决等有关法律文书扫描件，具体时间要求详见供应商须知。</w:t>
      </w:r>
      <w:r>
        <w:rPr>
          <w:rFonts w:ascii="Times New Roman" w:hAnsi="Times New Roman"/>
          <w:color w:val="auto"/>
          <w:sz w:val="24"/>
          <w:szCs w:val="24"/>
          <w:highlight w:val="none"/>
        </w:rPr>
        <w:t xml:space="preserve"> </w:t>
      </w:r>
    </w:p>
    <w:p w14:paraId="1921F1BB">
      <w:pPr>
        <w:autoSpaceDE w:val="0"/>
        <w:autoSpaceDN w:val="0"/>
        <w:adjustRightInd w:val="0"/>
        <w:spacing w:line="450" w:lineRule="exact"/>
        <w:ind w:firstLine="960" w:firstLineChars="400"/>
        <w:jc w:val="left"/>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、若无诉讼及仲裁情况供应商自行承诺，格式自拟。</w:t>
      </w:r>
    </w:p>
    <w:p w14:paraId="5E837BA5">
      <w:pPr>
        <w:numPr>
          <w:ilvl w:val="0"/>
          <w:numId w:val="6"/>
        </w:numPr>
        <w:spacing w:before="53" w:line="360" w:lineRule="auto"/>
        <w:jc w:val="center"/>
        <w:outlineLvl w:val="2"/>
        <w:rPr>
          <w:rFonts w:ascii="Times New Roman" w:hAnsi="Times New Roman"/>
          <w:b/>
          <w:bCs/>
          <w:color w:val="auto"/>
          <w:sz w:val="24"/>
          <w:szCs w:val="30"/>
          <w:highlight w:val="none"/>
          <w:lang w:val="zh-CN" w:bidi="zh-CN"/>
        </w:rPr>
      </w:pPr>
      <w:r>
        <w:rPr>
          <w:rFonts w:hint="eastAsia" w:ascii="宋体" w:hAnsi="宋体" w:eastAsia="宋体" w:cs="宋体"/>
          <w:b/>
          <w:bCs/>
          <w:color w:val="auto"/>
          <w:sz w:val="32"/>
          <w:szCs w:val="32"/>
          <w:highlight w:val="none"/>
          <w:lang w:eastAsia="zh-CN"/>
        </w:rPr>
        <w:br w:type="page"/>
      </w:r>
      <w:bookmarkStart w:id="372" w:name="_Toc151210178"/>
      <w:bookmarkStart w:id="373" w:name="_Toc96965864"/>
      <w:bookmarkStart w:id="374" w:name="_Toc94092131"/>
      <w:bookmarkStart w:id="375" w:name="_Toc176358386"/>
      <w:r>
        <w:rPr>
          <w:rFonts w:hint="eastAsia" w:ascii="Times New Roman" w:hAnsi="Times New Roman"/>
          <w:b/>
          <w:bCs/>
          <w:color w:val="auto"/>
          <w:sz w:val="24"/>
          <w:szCs w:val="30"/>
          <w:highlight w:val="none"/>
          <w:lang w:val="zh-CN" w:bidi="zh-CN"/>
        </w:rPr>
        <w:t>近年完成的类似项目情况表</w:t>
      </w:r>
      <w:bookmarkEnd w:id="372"/>
      <w:bookmarkEnd w:id="373"/>
      <w:bookmarkEnd w:id="374"/>
      <w:bookmarkEnd w:id="375"/>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7"/>
        <w:gridCol w:w="6662"/>
      </w:tblGrid>
      <w:tr w14:paraId="61D3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5CCB70C7">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序号</w:t>
            </w:r>
          </w:p>
        </w:tc>
        <w:tc>
          <w:tcPr>
            <w:tcW w:w="6662" w:type="dxa"/>
            <w:noWrap w:val="0"/>
            <w:vAlign w:val="top"/>
          </w:tcPr>
          <w:p w14:paraId="2C0A5ECD">
            <w:pPr>
              <w:spacing w:before="53" w:line="360" w:lineRule="auto"/>
              <w:outlineLvl w:val="2"/>
              <w:rPr>
                <w:rFonts w:ascii="Times New Roman" w:hAnsi="Times New Roman"/>
                <w:b/>
                <w:bCs/>
                <w:color w:val="auto"/>
                <w:sz w:val="24"/>
                <w:szCs w:val="30"/>
                <w:highlight w:val="none"/>
                <w:lang w:val="zh-CN" w:bidi="zh-CN"/>
              </w:rPr>
            </w:pPr>
          </w:p>
        </w:tc>
      </w:tr>
      <w:tr w14:paraId="0AA7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047DA99C">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项目名称</w:t>
            </w:r>
          </w:p>
        </w:tc>
        <w:tc>
          <w:tcPr>
            <w:tcW w:w="6662" w:type="dxa"/>
            <w:noWrap w:val="0"/>
            <w:vAlign w:val="top"/>
          </w:tcPr>
          <w:p w14:paraId="2CB66597">
            <w:pPr>
              <w:spacing w:before="53" w:line="360" w:lineRule="auto"/>
              <w:outlineLvl w:val="2"/>
              <w:rPr>
                <w:rFonts w:ascii="Times New Roman" w:hAnsi="Times New Roman"/>
                <w:b/>
                <w:bCs/>
                <w:color w:val="auto"/>
                <w:sz w:val="24"/>
                <w:szCs w:val="30"/>
                <w:highlight w:val="none"/>
                <w:lang w:val="zh-CN" w:bidi="zh-CN"/>
              </w:rPr>
            </w:pPr>
          </w:p>
        </w:tc>
      </w:tr>
      <w:tr w14:paraId="5623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31A36D3E">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合同金额</w:t>
            </w:r>
          </w:p>
        </w:tc>
        <w:tc>
          <w:tcPr>
            <w:tcW w:w="6662" w:type="dxa"/>
            <w:noWrap w:val="0"/>
            <w:vAlign w:val="top"/>
          </w:tcPr>
          <w:p w14:paraId="7F302144">
            <w:pPr>
              <w:spacing w:before="53" w:line="360" w:lineRule="auto"/>
              <w:outlineLvl w:val="2"/>
              <w:rPr>
                <w:rFonts w:ascii="Times New Roman" w:hAnsi="Times New Roman"/>
                <w:b/>
                <w:bCs/>
                <w:color w:val="auto"/>
                <w:sz w:val="24"/>
                <w:szCs w:val="30"/>
                <w:highlight w:val="none"/>
                <w:lang w:val="zh-CN" w:bidi="zh-CN"/>
              </w:rPr>
            </w:pPr>
          </w:p>
        </w:tc>
      </w:tr>
      <w:tr w14:paraId="675E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143663C2">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合同时间</w:t>
            </w:r>
          </w:p>
        </w:tc>
        <w:tc>
          <w:tcPr>
            <w:tcW w:w="6662" w:type="dxa"/>
            <w:noWrap w:val="0"/>
            <w:vAlign w:val="top"/>
          </w:tcPr>
          <w:p w14:paraId="63486CE6">
            <w:pPr>
              <w:spacing w:before="53" w:line="360" w:lineRule="auto"/>
              <w:outlineLvl w:val="2"/>
              <w:rPr>
                <w:rFonts w:ascii="Times New Roman" w:hAnsi="Times New Roman"/>
                <w:b/>
                <w:bCs/>
                <w:color w:val="auto"/>
                <w:sz w:val="24"/>
                <w:szCs w:val="30"/>
                <w:highlight w:val="none"/>
                <w:lang w:val="zh-CN" w:bidi="zh-CN"/>
              </w:rPr>
            </w:pPr>
          </w:p>
        </w:tc>
      </w:tr>
      <w:tr w14:paraId="674D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6FBD83EA">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委托人名称</w:t>
            </w:r>
          </w:p>
        </w:tc>
        <w:tc>
          <w:tcPr>
            <w:tcW w:w="6662" w:type="dxa"/>
            <w:noWrap w:val="0"/>
            <w:vAlign w:val="top"/>
          </w:tcPr>
          <w:p w14:paraId="69D5C902">
            <w:pPr>
              <w:spacing w:before="53" w:line="360" w:lineRule="auto"/>
              <w:outlineLvl w:val="2"/>
              <w:rPr>
                <w:rFonts w:ascii="Times New Roman" w:hAnsi="Times New Roman"/>
                <w:b/>
                <w:bCs/>
                <w:color w:val="auto"/>
                <w:sz w:val="24"/>
                <w:szCs w:val="30"/>
                <w:highlight w:val="none"/>
                <w:lang w:val="zh-CN" w:bidi="zh-CN"/>
              </w:rPr>
            </w:pPr>
          </w:p>
        </w:tc>
      </w:tr>
      <w:tr w14:paraId="366C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291547E4">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委托人联系方式</w:t>
            </w:r>
          </w:p>
        </w:tc>
        <w:tc>
          <w:tcPr>
            <w:tcW w:w="6662" w:type="dxa"/>
            <w:noWrap w:val="0"/>
            <w:vAlign w:val="top"/>
          </w:tcPr>
          <w:p w14:paraId="65878C5A">
            <w:pPr>
              <w:spacing w:before="53" w:line="360" w:lineRule="auto"/>
              <w:outlineLvl w:val="2"/>
              <w:rPr>
                <w:rFonts w:ascii="Times New Roman" w:hAnsi="Times New Roman"/>
                <w:b/>
                <w:bCs/>
                <w:color w:val="auto"/>
                <w:sz w:val="24"/>
                <w:szCs w:val="30"/>
                <w:highlight w:val="none"/>
                <w:lang w:val="zh-CN" w:bidi="zh-CN"/>
              </w:rPr>
            </w:pPr>
          </w:p>
        </w:tc>
      </w:tr>
      <w:tr w14:paraId="32A5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2277" w:type="dxa"/>
            <w:noWrap w:val="0"/>
            <w:vAlign w:val="center"/>
          </w:tcPr>
          <w:p w14:paraId="6081D6D1">
            <w:pPr>
              <w:spacing w:before="53" w:line="360" w:lineRule="auto"/>
              <w:jc w:val="center"/>
              <w:outlineLvl w:val="2"/>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备注</w:t>
            </w:r>
          </w:p>
        </w:tc>
        <w:tc>
          <w:tcPr>
            <w:tcW w:w="6662" w:type="dxa"/>
            <w:noWrap w:val="0"/>
            <w:vAlign w:val="top"/>
          </w:tcPr>
          <w:p w14:paraId="15C1DEB2">
            <w:pPr>
              <w:spacing w:before="53" w:line="360" w:lineRule="auto"/>
              <w:outlineLvl w:val="2"/>
              <w:rPr>
                <w:rFonts w:ascii="Times New Roman" w:hAnsi="Times New Roman"/>
                <w:b/>
                <w:bCs/>
                <w:color w:val="auto"/>
                <w:sz w:val="24"/>
                <w:szCs w:val="30"/>
                <w:highlight w:val="none"/>
                <w:lang w:val="zh-CN" w:bidi="zh-CN"/>
              </w:rPr>
            </w:pPr>
          </w:p>
        </w:tc>
      </w:tr>
    </w:tbl>
    <w:p w14:paraId="41FB633A">
      <w:pPr>
        <w:spacing w:line="450" w:lineRule="exact"/>
        <w:rPr>
          <w:rFonts w:hint="default" w:ascii="Times New Roman" w:hAnsi="Times New Roman" w:eastAsia="宋体"/>
          <w:color w:val="auto"/>
          <w:sz w:val="24"/>
          <w:szCs w:val="24"/>
          <w:highlight w:val="none"/>
          <w:lang w:val="en-US" w:eastAsia="zh-CN"/>
        </w:rPr>
      </w:pPr>
      <w:r>
        <w:rPr>
          <w:rFonts w:hint="eastAsia" w:ascii="Times New Roman" w:hAnsi="Times New Roman"/>
          <w:color w:val="auto"/>
          <w:kern w:val="0"/>
          <w:sz w:val="24"/>
          <w:szCs w:val="24"/>
          <w:highlight w:val="none"/>
        </w:rPr>
        <w:t>注：</w:t>
      </w:r>
      <w:r>
        <w:rPr>
          <w:rFonts w:hint="eastAsia" w:ascii="Times New Roman" w:hAnsi="Times New Roman"/>
          <w:color w:val="auto"/>
          <w:sz w:val="24"/>
          <w:szCs w:val="24"/>
          <w:highlight w:val="none"/>
        </w:rPr>
        <w:t>标明序号，每张表格只填写一个项目，具体年份要求详见供应商须知。</w:t>
      </w:r>
      <w:r>
        <w:rPr>
          <w:rFonts w:hint="eastAsia" w:ascii="Times New Roman" w:hAnsi="Times New Roman"/>
          <w:color w:val="auto"/>
          <w:sz w:val="24"/>
          <w:szCs w:val="24"/>
          <w:highlight w:val="none"/>
          <w:lang w:val="en-US" w:eastAsia="zh-CN"/>
        </w:rPr>
        <w:t>后附证明材料</w:t>
      </w:r>
    </w:p>
    <w:p w14:paraId="3F2931CD">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668A8A62">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0373960D">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42DC55C0">
      <w:p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br w:type="page"/>
      </w:r>
      <w:r>
        <w:rPr>
          <w:rFonts w:hint="eastAsia" w:ascii="宋体" w:hAnsi="宋体" w:eastAsia="宋体" w:cs="宋体"/>
          <w:b/>
          <w:bCs/>
          <w:color w:val="auto"/>
          <w:sz w:val="32"/>
          <w:szCs w:val="32"/>
          <w:highlight w:val="none"/>
          <w:lang w:val="en-US" w:eastAsia="zh-CN"/>
        </w:rPr>
        <w:t>六</w:t>
      </w:r>
      <w:r>
        <w:rPr>
          <w:rFonts w:hint="eastAsia" w:ascii="宋体" w:hAnsi="宋体" w:eastAsia="宋体" w:cs="宋体"/>
          <w:b/>
          <w:bCs/>
          <w:color w:val="auto"/>
          <w:sz w:val="32"/>
          <w:szCs w:val="32"/>
          <w:highlight w:val="none"/>
        </w:rPr>
        <w:t>.</w:t>
      </w:r>
      <w:bookmarkEnd w:id="366"/>
      <w:bookmarkEnd w:id="367"/>
      <w:bookmarkEnd w:id="368"/>
      <w:bookmarkEnd w:id="369"/>
      <w:r>
        <w:rPr>
          <w:rFonts w:hint="eastAsia" w:ascii="宋体" w:hAnsi="宋体" w:eastAsia="宋体" w:cs="宋体"/>
          <w:b/>
          <w:bCs/>
          <w:color w:val="auto"/>
          <w:sz w:val="32"/>
          <w:szCs w:val="32"/>
          <w:highlight w:val="none"/>
          <w:lang w:val="en-US" w:eastAsia="zh-CN"/>
        </w:rPr>
        <w:t>技术</w:t>
      </w:r>
      <w:r>
        <w:rPr>
          <w:rFonts w:hint="eastAsia" w:ascii="宋体" w:hAnsi="宋体" w:eastAsia="宋体" w:cs="宋体"/>
          <w:b/>
          <w:bCs/>
          <w:color w:val="auto"/>
          <w:sz w:val="32"/>
          <w:szCs w:val="32"/>
          <w:highlight w:val="none"/>
        </w:rPr>
        <w:t>部分资料</w:t>
      </w:r>
      <w:bookmarkEnd w:id="370"/>
      <w:bookmarkEnd w:id="371"/>
    </w:p>
    <w:p w14:paraId="7148A2B9">
      <w:pPr>
        <w:spacing w:line="360" w:lineRule="auto"/>
        <w:jc w:val="center"/>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（投标供应商根据招标文件评审细则，自行编拟）</w:t>
      </w:r>
    </w:p>
    <w:p w14:paraId="2DB129B1">
      <w:pPr>
        <w:spacing w:line="276" w:lineRule="auto"/>
        <w:ind w:firstLine="436" w:firstLineChars="182"/>
        <w:jc w:val="center"/>
        <w:rPr>
          <w:rFonts w:ascii="Times New Roman" w:hAnsi="Times New Roman"/>
          <w:color w:val="auto"/>
          <w:sz w:val="24"/>
          <w:szCs w:val="24"/>
          <w:highlight w:val="none"/>
          <w:lang w:val="zh-CN" w:bidi="zh-CN"/>
        </w:rPr>
      </w:pPr>
      <w:r>
        <w:rPr>
          <w:rFonts w:hint="eastAsia" w:ascii="Times New Roman" w:hAnsi="Times New Roman"/>
          <w:color w:val="auto"/>
          <w:sz w:val="24"/>
          <w:szCs w:val="24"/>
          <w:highlight w:val="none"/>
          <w:lang w:val="zh-CN" w:bidi="zh-CN"/>
        </w:rPr>
        <w:t>注：</w:t>
      </w:r>
      <w:r>
        <w:rPr>
          <w:rFonts w:ascii="Times New Roman" w:hAnsi="Times New Roman"/>
          <w:color w:val="auto"/>
          <w:sz w:val="24"/>
          <w:szCs w:val="24"/>
          <w:highlight w:val="none"/>
          <w:lang w:val="zh-CN" w:bidi="zh-CN"/>
        </w:rPr>
        <w:t>1.</w:t>
      </w:r>
      <w:r>
        <w:rPr>
          <w:rFonts w:hint="eastAsia" w:ascii="Times New Roman" w:hAnsi="Times New Roman"/>
          <w:color w:val="auto"/>
          <w:sz w:val="24"/>
          <w:szCs w:val="24"/>
          <w:highlight w:val="none"/>
          <w:lang w:val="zh-CN" w:bidi="zh-CN"/>
        </w:rPr>
        <w:t>投标供应商根据项目需求，自行提供技术证明资料。</w:t>
      </w:r>
    </w:p>
    <w:p w14:paraId="66BB0D84">
      <w:pPr>
        <w:spacing w:line="360" w:lineRule="auto"/>
        <w:jc w:val="center"/>
        <w:rPr>
          <w:rFonts w:hint="eastAsia" w:ascii="Times New Roman" w:hAnsi="Times New Roman" w:eastAsia="宋体" w:cs="Times New Roman"/>
          <w:color w:val="auto"/>
          <w:sz w:val="28"/>
          <w:szCs w:val="20"/>
          <w:highlight w:val="none"/>
        </w:rPr>
      </w:pPr>
    </w:p>
    <w:p w14:paraId="6930E915">
      <w:pPr>
        <w:ind w:firstLine="482" w:firstLineChars="200"/>
        <w:rPr>
          <w:rFonts w:hint="eastAsia" w:ascii="宋体" w:hAnsi="宋体" w:eastAsia="宋体" w:cs="宋体"/>
          <w:b/>
          <w:color w:val="auto"/>
          <w:sz w:val="24"/>
          <w:highlight w:val="none"/>
        </w:rPr>
      </w:pPr>
    </w:p>
    <w:p w14:paraId="26B327AE">
      <w:pPr>
        <w:rPr>
          <w:rFonts w:hint="eastAsia" w:ascii="宋体" w:hAnsi="宋体" w:eastAsia="宋体" w:cs="宋体"/>
          <w:color w:val="auto"/>
          <w:highlight w:val="none"/>
        </w:rPr>
      </w:pPr>
    </w:p>
    <w:p w14:paraId="5BBA22DC">
      <w:pPr>
        <w:shd w:val="clear" w:color="auto" w:fill="FFFFFF"/>
        <w:tabs>
          <w:tab w:val="right" w:pos="6077"/>
        </w:tabs>
        <w:autoSpaceDE w:val="0"/>
        <w:autoSpaceDN w:val="0"/>
        <w:spacing w:line="560" w:lineRule="exact"/>
        <w:jc w:val="center"/>
        <w:outlineLvl w:val="1"/>
        <w:rPr>
          <w:rFonts w:hint="default" w:ascii="宋体" w:hAnsi="宋体" w:eastAsia="宋体" w:cs="宋体"/>
          <w:b/>
          <w:bCs/>
          <w:color w:val="auto"/>
          <w:sz w:val="32"/>
          <w:szCs w:val="32"/>
          <w:highlight w:val="none"/>
          <w:lang w:val="en-US" w:eastAsia="zh-CN"/>
        </w:rPr>
      </w:pPr>
      <w:bookmarkStart w:id="376" w:name="_Toc15425"/>
      <w:bookmarkStart w:id="377" w:name="_Toc9034"/>
      <w:r>
        <w:rPr>
          <w:rFonts w:hint="eastAsia" w:ascii="宋体" w:hAnsi="宋体" w:eastAsia="宋体" w:cs="宋体"/>
          <w:b/>
          <w:bCs/>
          <w:color w:val="auto"/>
          <w:sz w:val="32"/>
          <w:szCs w:val="32"/>
          <w:highlight w:val="none"/>
          <w:lang w:val="en-US" w:eastAsia="zh-CN"/>
        </w:rPr>
        <w:br w:type="page"/>
      </w:r>
      <w:r>
        <w:rPr>
          <w:rFonts w:hint="eastAsia" w:ascii="宋体" w:hAnsi="宋体" w:eastAsia="宋体" w:cs="宋体"/>
          <w:b/>
          <w:bCs/>
          <w:color w:val="auto"/>
          <w:sz w:val="32"/>
          <w:szCs w:val="32"/>
          <w:highlight w:val="none"/>
          <w:lang w:val="en-US" w:eastAsia="zh-CN"/>
        </w:rPr>
        <w:t>七、商务部分资料</w:t>
      </w:r>
      <w:bookmarkEnd w:id="376"/>
      <w:bookmarkEnd w:id="377"/>
    </w:p>
    <w:p w14:paraId="30B6423E">
      <w:pPr>
        <w:rPr>
          <w:rFonts w:hint="eastAsia" w:ascii="宋体" w:hAnsi="宋体" w:eastAsia="宋体" w:cs="宋体"/>
          <w:color w:val="auto"/>
          <w:highlight w:val="none"/>
        </w:rPr>
      </w:pPr>
    </w:p>
    <w:p w14:paraId="398DE35A">
      <w:pPr>
        <w:spacing w:line="360" w:lineRule="auto"/>
        <w:ind w:firstLine="1132" w:firstLineChars="472"/>
        <w:jc w:val="left"/>
        <w:rPr>
          <w:rFonts w:ascii="Times New Roman" w:hAnsi="Times New Roman"/>
          <w:color w:val="auto"/>
          <w:sz w:val="24"/>
          <w:szCs w:val="24"/>
          <w:highlight w:val="none"/>
          <w:shd w:val="clear" w:color="auto" w:fill="FFFFFF"/>
          <w:lang w:bidi="ar"/>
        </w:rPr>
      </w:pPr>
    </w:p>
    <w:p w14:paraId="029B5ED7">
      <w:pPr>
        <w:spacing w:line="360" w:lineRule="auto"/>
        <w:jc w:val="center"/>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（投标供应商根据招标文件评审细则，自行编拟）</w:t>
      </w:r>
    </w:p>
    <w:p w14:paraId="0A125EF4">
      <w:pPr>
        <w:spacing w:line="276" w:lineRule="auto"/>
        <w:ind w:firstLine="436" w:firstLineChars="182"/>
        <w:jc w:val="center"/>
        <w:rPr>
          <w:rFonts w:ascii="Times New Roman" w:hAnsi="Times New Roman"/>
          <w:color w:val="auto"/>
          <w:sz w:val="24"/>
          <w:szCs w:val="24"/>
          <w:highlight w:val="none"/>
          <w:lang w:val="zh-CN" w:bidi="zh-CN"/>
        </w:rPr>
      </w:pPr>
      <w:r>
        <w:rPr>
          <w:rFonts w:hint="eastAsia" w:ascii="Times New Roman" w:hAnsi="Times New Roman"/>
          <w:color w:val="auto"/>
          <w:sz w:val="24"/>
          <w:szCs w:val="24"/>
          <w:highlight w:val="none"/>
          <w:lang w:val="zh-CN" w:bidi="zh-CN"/>
        </w:rPr>
        <w:t>注：</w:t>
      </w:r>
      <w:r>
        <w:rPr>
          <w:rFonts w:ascii="Times New Roman" w:hAnsi="Times New Roman"/>
          <w:color w:val="auto"/>
          <w:sz w:val="24"/>
          <w:szCs w:val="24"/>
          <w:highlight w:val="none"/>
          <w:lang w:val="zh-CN" w:bidi="zh-CN"/>
        </w:rPr>
        <w:t>1.</w:t>
      </w:r>
      <w:r>
        <w:rPr>
          <w:rFonts w:hint="eastAsia" w:ascii="Times New Roman" w:hAnsi="Times New Roman"/>
          <w:color w:val="auto"/>
          <w:sz w:val="24"/>
          <w:szCs w:val="24"/>
          <w:highlight w:val="none"/>
          <w:lang w:val="zh-CN" w:bidi="zh-CN"/>
        </w:rPr>
        <w:t>投标供应商根据项目需求，自行提供技术证明资料。</w:t>
      </w:r>
    </w:p>
    <w:p w14:paraId="162C0912">
      <w:pPr>
        <w:rPr>
          <w:rFonts w:hint="eastAsia" w:ascii="宋体" w:hAnsi="宋体" w:eastAsia="宋体" w:cs="宋体"/>
          <w:color w:val="auto"/>
          <w:highlight w:val="none"/>
        </w:rPr>
      </w:pPr>
    </w:p>
    <w:p w14:paraId="45437C7B">
      <w:pPr>
        <w:rPr>
          <w:rFonts w:hint="eastAsia" w:ascii="宋体" w:hAnsi="宋体" w:eastAsia="宋体" w:cs="宋体"/>
          <w:color w:val="auto"/>
          <w:highlight w:val="none"/>
        </w:rPr>
      </w:pPr>
    </w:p>
    <w:p w14:paraId="1E1AF5FC">
      <w:pPr>
        <w:rPr>
          <w:rFonts w:hint="eastAsia" w:ascii="宋体" w:hAnsi="宋体" w:eastAsia="宋体" w:cs="宋体"/>
          <w:color w:val="auto"/>
          <w:highlight w:val="none"/>
        </w:rPr>
      </w:pPr>
    </w:p>
    <w:p w14:paraId="0119D2C2">
      <w:pPr>
        <w:rPr>
          <w:rFonts w:hint="eastAsia" w:ascii="宋体" w:hAnsi="宋体" w:eastAsia="宋体" w:cs="宋体"/>
          <w:color w:val="auto"/>
          <w:highlight w:val="none"/>
        </w:rPr>
      </w:pPr>
    </w:p>
    <w:p w14:paraId="627B6C42">
      <w:pPr>
        <w:rPr>
          <w:rFonts w:hint="eastAsia" w:ascii="宋体" w:hAnsi="宋体" w:eastAsia="宋体" w:cs="宋体"/>
          <w:color w:val="auto"/>
          <w:highlight w:val="none"/>
        </w:rPr>
      </w:pPr>
    </w:p>
    <w:p w14:paraId="1BE0635E">
      <w:pPr>
        <w:rPr>
          <w:rFonts w:hint="eastAsia" w:ascii="宋体" w:hAnsi="宋体" w:eastAsia="宋体" w:cs="宋体"/>
          <w:color w:val="auto"/>
          <w:highlight w:val="none"/>
        </w:rPr>
      </w:pPr>
    </w:p>
    <w:p w14:paraId="489A2B28">
      <w:pPr>
        <w:rPr>
          <w:rFonts w:hint="eastAsia" w:ascii="宋体" w:hAnsi="宋体" w:eastAsia="宋体" w:cs="宋体"/>
          <w:color w:val="auto"/>
          <w:highlight w:val="none"/>
        </w:rPr>
      </w:pPr>
    </w:p>
    <w:p w14:paraId="090F07EC">
      <w:pPr>
        <w:rPr>
          <w:rFonts w:hint="eastAsia" w:ascii="宋体" w:hAnsi="宋体" w:eastAsia="宋体" w:cs="宋体"/>
          <w:color w:val="auto"/>
          <w:highlight w:val="none"/>
        </w:rPr>
      </w:pPr>
    </w:p>
    <w:p w14:paraId="5B7C0F1A">
      <w:pPr>
        <w:autoSpaceDE w:val="0"/>
        <w:autoSpaceDN w:val="0"/>
        <w:adjustRightInd w:val="0"/>
        <w:spacing w:line="360" w:lineRule="auto"/>
        <w:jc w:val="center"/>
        <w:textAlignment w:val="baseline"/>
        <w:outlineLvl w:val="9"/>
        <w:rPr>
          <w:rFonts w:hint="eastAsia" w:ascii="宋体" w:hAnsi="宋体" w:eastAsia="宋体" w:cs="宋体"/>
          <w:color w:val="auto"/>
          <w:kern w:val="0"/>
          <w:sz w:val="24"/>
          <w:highlight w:val="none"/>
        </w:rPr>
      </w:pPr>
      <w:r>
        <w:rPr>
          <w:rFonts w:hint="eastAsia" w:ascii="宋体" w:hAnsi="宋体" w:cs="宋体"/>
          <w:b/>
          <w:bCs/>
          <w:color w:val="auto"/>
          <w:sz w:val="24"/>
          <w:szCs w:val="24"/>
          <w:highlight w:val="none"/>
          <w:lang w:eastAsia="zh-CN"/>
        </w:rPr>
        <w:br w:type="page"/>
      </w:r>
      <w:bookmarkStart w:id="378" w:name="_Toc478"/>
      <w:bookmarkEnd w:id="378"/>
      <w:bookmarkStart w:id="379" w:name="_Toc173946437"/>
      <w:bookmarkEnd w:id="379"/>
      <w:bookmarkStart w:id="380" w:name="_Toc174034470"/>
      <w:bookmarkEnd w:id="380"/>
      <w:bookmarkStart w:id="381" w:name="_Toc174693328"/>
      <w:bookmarkStart w:id="382" w:name="OLE_LINK5"/>
      <w:bookmarkStart w:id="383" w:name="_Toc16835344"/>
      <w:bookmarkStart w:id="384" w:name="_Toc90623997"/>
      <w:bookmarkStart w:id="385" w:name="_Toc524967867"/>
      <w:bookmarkStart w:id="386" w:name="_Toc5377"/>
      <w:bookmarkStart w:id="387" w:name="_Toc89334775"/>
    </w:p>
    <w:p w14:paraId="72B40921">
      <w:pPr>
        <w:shd w:val="clear" w:color="auto" w:fill="FFFFFF"/>
        <w:tabs>
          <w:tab w:val="right" w:pos="6077"/>
        </w:tabs>
        <w:autoSpaceDE w:val="0"/>
        <w:autoSpaceDN w:val="0"/>
        <w:spacing w:line="560" w:lineRule="exact"/>
        <w:jc w:val="center"/>
        <w:outlineLvl w:val="1"/>
        <w:rPr>
          <w:rFonts w:ascii="宋体" w:hAnsi="宋体" w:eastAsia="宋体" w:cs="宋体"/>
          <w:color w:val="auto"/>
          <w:kern w:val="0"/>
          <w:sz w:val="28"/>
          <w:szCs w:val="28"/>
          <w:highlight w:val="none"/>
        </w:rPr>
      </w:pPr>
      <w:bookmarkStart w:id="388" w:name="_Toc12128"/>
      <w:bookmarkStart w:id="389" w:name="_Toc19729"/>
      <w:r>
        <w:rPr>
          <w:rFonts w:hint="eastAsia" w:ascii="宋体" w:hAnsi="宋体" w:eastAsia="宋体" w:cs="宋体"/>
          <w:b/>
          <w:bCs/>
          <w:color w:val="auto"/>
          <w:sz w:val="32"/>
          <w:szCs w:val="32"/>
          <w:highlight w:val="none"/>
          <w:lang w:val="en-US" w:eastAsia="zh-CN"/>
        </w:rPr>
        <w:t>八</w:t>
      </w:r>
      <w:r>
        <w:rPr>
          <w:rFonts w:hint="eastAsia" w:ascii="宋体" w:hAnsi="宋体" w:eastAsia="宋体" w:cs="宋体"/>
          <w:b/>
          <w:bCs/>
          <w:color w:val="auto"/>
          <w:sz w:val="32"/>
          <w:szCs w:val="32"/>
          <w:highlight w:val="none"/>
          <w:lang w:eastAsia="zh-CN"/>
        </w:rPr>
        <w:t>、拟投入本项目的人员情况</w:t>
      </w:r>
      <w:bookmarkEnd w:id="381"/>
      <w:bookmarkEnd w:id="388"/>
      <w:bookmarkEnd w:id="389"/>
    </w:p>
    <w:p w14:paraId="6EA634B0">
      <w:pPr>
        <w:adjustRightInd w:val="0"/>
        <w:snapToGrid w:val="0"/>
        <w:spacing w:line="360" w:lineRule="auto"/>
        <w:jc w:val="center"/>
        <w:outlineLvl w:val="9"/>
        <w:rPr>
          <w:rFonts w:ascii="宋体" w:hAnsi="宋体" w:cs="宋体"/>
          <w:b w:val="0"/>
          <w:bCs/>
          <w:color w:val="auto"/>
          <w:kern w:val="0"/>
          <w:sz w:val="28"/>
          <w:szCs w:val="28"/>
          <w:highlight w:val="none"/>
          <w:lang w:val="zh-CN"/>
        </w:rPr>
      </w:pPr>
      <w:r>
        <w:rPr>
          <w:rFonts w:hint="eastAsia" w:ascii="宋体" w:hAnsi="宋体" w:cs="宋体"/>
          <w:b/>
          <w:bCs w:val="0"/>
          <w:color w:val="auto"/>
          <w:kern w:val="0"/>
          <w:sz w:val="28"/>
          <w:szCs w:val="28"/>
          <w:highlight w:val="none"/>
          <w:lang w:val="zh-CN"/>
        </w:rPr>
        <w:t>（一）拟投入本项目的主要人员汇总表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661"/>
        <w:gridCol w:w="1189"/>
        <w:gridCol w:w="1381"/>
        <w:gridCol w:w="1600"/>
        <w:gridCol w:w="1331"/>
      </w:tblGrid>
      <w:tr w14:paraId="716A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4B4AE69F">
            <w:pPr>
              <w:adjustRightInd w:val="0"/>
              <w:snapToGrid w:val="0"/>
              <w:spacing w:line="360" w:lineRule="auto"/>
              <w:jc w:val="center"/>
              <w:outlineLvl w:val="9"/>
              <w:rPr>
                <w:rFonts w:ascii="宋体"/>
                <w:b w:val="0"/>
                <w:bCs/>
                <w:color w:val="auto"/>
                <w:sz w:val="24"/>
                <w:szCs w:val="24"/>
                <w:highlight w:val="none"/>
              </w:rPr>
            </w:pPr>
            <w:r>
              <w:rPr>
                <w:rFonts w:hint="eastAsia" w:ascii="宋体" w:hAnsi="宋体"/>
                <w:b w:val="0"/>
                <w:bCs/>
                <w:color w:val="auto"/>
                <w:sz w:val="24"/>
                <w:szCs w:val="24"/>
                <w:highlight w:val="none"/>
              </w:rPr>
              <w:t>姓名</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81FCC3E">
            <w:pPr>
              <w:adjustRightInd w:val="0"/>
              <w:snapToGrid w:val="0"/>
              <w:spacing w:line="360" w:lineRule="auto"/>
              <w:jc w:val="center"/>
              <w:outlineLvl w:val="9"/>
              <w:rPr>
                <w:rFonts w:ascii="宋体"/>
                <w:b w:val="0"/>
                <w:bCs/>
                <w:color w:val="auto"/>
                <w:sz w:val="24"/>
                <w:szCs w:val="24"/>
                <w:highlight w:val="none"/>
              </w:rPr>
            </w:pPr>
            <w:r>
              <w:rPr>
                <w:rFonts w:hint="eastAsia" w:ascii="宋体" w:hAnsi="宋体"/>
                <w:b w:val="0"/>
                <w:bCs/>
                <w:color w:val="auto"/>
                <w:sz w:val="24"/>
                <w:szCs w:val="24"/>
                <w:highlight w:val="none"/>
              </w:rPr>
              <w:t>本项目中职务</w:t>
            </w:r>
          </w:p>
        </w:tc>
        <w:tc>
          <w:tcPr>
            <w:tcW w:w="1189" w:type="dxa"/>
            <w:tcBorders>
              <w:top w:val="single" w:color="auto" w:sz="4" w:space="0"/>
              <w:left w:val="single" w:color="auto" w:sz="4" w:space="0"/>
              <w:bottom w:val="single" w:color="auto" w:sz="4" w:space="0"/>
              <w:right w:val="single" w:color="auto" w:sz="4" w:space="0"/>
            </w:tcBorders>
            <w:noWrap w:val="0"/>
            <w:vAlign w:val="center"/>
          </w:tcPr>
          <w:p w14:paraId="4C102EAC">
            <w:pPr>
              <w:adjustRightInd w:val="0"/>
              <w:snapToGrid w:val="0"/>
              <w:spacing w:line="360" w:lineRule="auto"/>
              <w:jc w:val="center"/>
              <w:outlineLvl w:val="9"/>
              <w:rPr>
                <w:rFonts w:hint="eastAsia" w:ascii="宋体" w:eastAsia="宋体"/>
                <w:b w:val="0"/>
                <w:bCs/>
                <w:color w:val="auto"/>
                <w:sz w:val="24"/>
                <w:szCs w:val="24"/>
                <w:highlight w:val="none"/>
                <w:lang w:val="en-US" w:eastAsia="zh-CN"/>
              </w:rPr>
            </w:pPr>
            <w:r>
              <w:rPr>
                <w:rFonts w:hint="eastAsia" w:ascii="宋体"/>
                <w:b w:val="0"/>
                <w:bCs/>
                <w:color w:val="auto"/>
                <w:sz w:val="24"/>
                <w:szCs w:val="24"/>
                <w:highlight w:val="none"/>
                <w:lang w:val="en-US" w:eastAsia="zh-CN"/>
              </w:rPr>
              <w:t>职称</w:t>
            </w: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C8B58F2">
            <w:pPr>
              <w:adjustRightInd w:val="0"/>
              <w:snapToGrid w:val="0"/>
              <w:spacing w:line="360" w:lineRule="auto"/>
              <w:jc w:val="center"/>
              <w:outlineLvl w:val="9"/>
              <w:rPr>
                <w:rFonts w:ascii="宋体"/>
                <w:b w:val="0"/>
                <w:bCs/>
                <w:color w:val="auto"/>
                <w:sz w:val="24"/>
                <w:szCs w:val="24"/>
                <w:highlight w:val="none"/>
              </w:rPr>
            </w:pPr>
            <w:r>
              <w:rPr>
                <w:rFonts w:hint="eastAsia" w:ascii="宋体" w:hAnsi="宋体"/>
                <w:b w:val="0"/>
                <w:bCs/>
                <w:color w:val="auto"/>
                <w:sz w:val="24"/>
                <w:szCs w:val="24"/>
                <w:highlight w:val="none"/>
              </w:rPr>
              <w:t>证件名称</w:t>
            </w:r>
          </w:p>
        </w:tc>
        <w:tc>
          <w:tcPr>
            <w:tcW w:w="1600" w:type="dxa"/>
            <w:tcBorders>
              <w:top w:val="single" w:color="auto" w:sz="4" w:space="0"/>
              <w:left w:val="single" w:color="auto" w:sz="4" w:space="0"/>
              <w:bottom w:val="single" w:color="auto" w:sz="4" w:space="0"/>
              <w:right w:val="single" w:color="auto" w:sz="4" w:space="0"/>
            </w:tcBorders>
            <w:noWrap w:val="0"/>
            <w:vAlign w:val="center"/>
          </w:tcPr>
          <w:p w14:paraId="08ACB445">
            <w:pPr>
              <w:adjustRightInd w:val="0"/>
              <w:snapToGrid w:val="0"/>
              <w:spacing w:line="360" w:lineRule="auto"/>
              <w:jc w:val="center"/>
              <w:outlineLvl w:val="9"/>
              <w:rPr>
                <w:rFonts w:ascii="宋体"/>
                <w:b w:val="0"/>
                <w:bCs/>
                <w:color w:val="auto"/>
                <w:sz w:val="24"/>
                <w:szCs w:val="24"/>
                <w:highlight w:val="none"/>
              </w:rPr>
            </w:pPr>
            <w:r>
              <w:rPr>
                <w:rFonts w:hint="eastAsia" w:ascii="宋体"/>
                <w:b w:val="0"/>
                <w:bCs/>
                <w:color w:val="auto"/>
                <w:sz w:val="24"/>
                <w:szCs w:val="24"/>
                <w:highlight w:val="none"/>
              </w:rPr>
              <w:t>证件编号</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BB9DBF2">
            <w:pPr>
              <w:adjustRightInd w:val="0"/>
              <w:snapToGrid w:val="0"/>
              <w:spacing w:line="360" w:lineRule="auto"/>
              <w:jc w:val="center"/>
              <w:outlineLvl w:val="9"/>
              <w:rPr>
                <w:rFonts w:ascii="宋体"/>
                <w:b w:val="0"/>
                <w:bCs/>
                <w:color w:val="auto"/>
                <w:sz w:val="24"/>
                <w:szCs w:val="24"/>
                <w:highlight w:val="none"/>
              </w:rPr>
            </w:pPr>
            <w:r>
              <w:rPr>
                <w:rFonts w:hint="eastAsia" w:ascii="宋体" w:hAnsi="宋体"/>
                <w:b w:val="0"/>
                <w:bCs/>
                <w:color w:val="auto"/>
                <w:sz w:val="24"/>
                <w:szCs w:val="24"/>
                <w:highlight w:val="none"/>
              </w:rPr>
              <w:t>备注</w:t>
            </w:r>
          </w:p>
        </w:tc>
      </w:tr>
      <w:tr w14:paraId="5E79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71587588">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4260A99E">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56F02D83">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0194C25E">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4E2B37B6">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B12DFAF">
            <w:pPr>
              <w:adjustRightInd w:val="0"/>
              <w:snapToGrid w:val="0"/>
              <w:spacing w:line="360" w:lineRule="auto"/>
              <w:jc w:val="center"/>
              <w:outlineLvl w:val="9"/>
              <w:rPr>
                <w:rFonts w:ascii="宋体"/>
                <w:color w:val="auto"/>
                <w:sz w:val="24"/>
                <w:szCs w:val="24"/>
                <w:highlight w:val="none"/>
              </w:rPr>
            </w:pPr>
          </w:p>
        </w:tc>
      </w:tr>
      <w:tr w14:paraId="1D25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748C6462">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18056363">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1D65F244">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6C07C7EE">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6BC5F4D2">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FE6B155">
            <w:pPr>
              <w:adjustRightInd w:val="0"/>
              <w:snapToGrid w:val="0"/>
              <w:spacing w:line="360" w:lineRule="auto"/>
              <w:jc w:val="center"/>
              <w:outlineLvl w:val="9"/>
              <w:rPr>
                <w:rFonts w:ascii="宋体"/>
                <w:color w:val="auto"/>
                <w:sz w:val="24"/>
                <w:szCs w:val="24"/>
                <w:highlight w:val="none"/>
              </w:rPr>
            </w:pPr>
          </w:p>
        </w:tc>
      </w:tr>
      <w:tr w14:paraId="2B22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6FCDB746">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C18EA06">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0E58C34B">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1CEBAB0E">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5BD0B5F4">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2AD1E52">
            <w:pPr>
              <w:adjustRightInd w:val="0"/>
              <w:snapToGrid w:val="0"/>
              <w:spacing w:line="360" w:lineRule="auto"/>
              <w:jc w:val="center"/>
              <w:outlineLvl w:val="9"/>
              <w:rPr>
                <w:rFonts w:ascii="宋体"/>
                <w:color w:val="auto"/>
                <w:sz w:val="24"/>
                <w:szCs w:val="24"/>
                <w:highlight w:val="none"/>
              </w:rPr>
            </w:pPr>
          </w:p>
        </w:tc>
      </w:tr>
      <w:tr w14:paraId="7FED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6869E8F5">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17D1AD8">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187053F9">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6D5BF6F9">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4D9ABA54">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FF7AEDB">
            <w:pPr>
              <w:adjustRightInd w:val="0"/>
              <w:snapToGrid w:val="0"/>
              <w:spacing w:line="360" w:lineRule="auto"/>
              <w:jc w:val="center"/>
              <w:outlineLvl w:val="9"/>
              <w:rPr>
                <w:rFonts w:ascii="宋体"/>
                <w:color w:val="auto"/>
                <w:sz w:val="24"/>
                <w:szCs w:val="24"/>
                <w:highlight w:val="none"/>
              </w:rPr>
            </w:pPr>
          </w:p>
        </w:tc>
      </w:tr>
      <w:tr w14:paraId="5437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1F144F83">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4EA50C24">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4BD76481">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D507589">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292B611E">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3E90D0A">
            <w:pPr>
              <w:adjustRightInd w:val="0"/>
              <w:snapToGrid w:val="0"/>
              <w:spacing w:line="360" w:lineRule="auto"/>
              <w:jc w:val="center"/>
              <w:outlineLvl w:val="9"/>
              <w:rPr>
                <w:rFonts w:ascii="宋体"/>
                <w:color w:val="auto"/>
                <w:sz w:val="24"/>
                <w:szCs w:val="24"/>
                <w:highlight w:val="none"/>
              </w:rPr>
            </w:pPr>
          </w:p>
        </w:tc>
      </w:tr>
      <w:tr w14:paraId="6BEE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3133F951">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10CA18D">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3B6016EE">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01BCC0F7">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771DF645">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BE8F070">
            <w:pPr>
              <w:adjustRightInd w:val="0"/>
              <w:snapToGrid w:val="0"/>
              <w:spacing w:line="360" w:lineRule="auto"/>
              <w:jc w:val="center"/>
              <w:outlineLvl w:val="9"/>
              <w:rPr>
                <w:rFonts w:ascii="宋体"/>
                <w:color w:val="auto"/>
                <w:sz w:val="24"/>
                <w:szCs w:val="24"/>
                <w:highlight w:val="none"/>
              </w:rPr>
            </w:pPr>
          </w:p>
        </w:tc>
      </w:tr>
      <w:tr w14:paraId="5237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7D18C85B">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53DE3B73">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7529D7EE">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4E3206B3">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14FABAC4">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A4867A0">
            <w:pPr>
              <w:adjustRightInd w:val="0"/>
              <w:snapToGrid w:val="0"/>
              <w:spacing w:line="360" w:lineRule="auto"/>
              <w:jc w:val="center"/>
              <w:outlineLvl w:val="9"/>
              <w:rPr>
                <w:rFonts w:ascii="宋体"/>
                <w:color w:val="auto"/>
                <w:sz w:val="24"/>
                <w:szCs w:val="24"/>
                <w:highlight w:val="none"/>
              </w:rPr>
            </w:pPr>
          </w:p>
        </w:tc>
      </w:tr>
    </w:tbl>
    <w:p w14:paraId="44B43155">
      <w:pPr>
        <w:widowControl/>
        <w:adjustRightInd w:val="0"/>
        <w:snapToGrid w:val="0"/>
        <w:spacing w:line="360" w:lineRule="auto"/>
        <w:ind w:firstLine="723" w:firstLineChars="300"/>
        <w:jc w:val="left"/>
        <w:outlineLvl w:val="9"/>
        <w:rPr>
          <w:rFonts w:ascii="宋体" w:hAnsi="宋体" w:cs="宋体"/>
          <w:b/>
          <w:bCs/>
          <w:color w:val="auto"/>
          <w:sz w:val="24"/>
          <w:szCs w:val="24"/>
          <w:highlight w:val="none"/>
        </w:rPr>
      </w:pPr>
      <w:r>
        <w:rPr>
          <w:rFonts w:hint="eastAsia" w:ascii="宋体" w:hAnsi="宋体" w:cs="宋体"/>
          <w:b/>
          <w:bCs/>
          <w:color w:val="auto"/>
          <w:sz w:val="24"/>
          <w:szCs w:val="24"/>
          <w:highlight w:val="none"/>
        </w:rPr>
        <w:t>注：后附身份证、</w:t>
      </w:r>
      <w:r>
        <w:rPr>
          <w:rFonts w:hint="eastAsia" w:ascii="宋体" w:hAnsi="宋体" w:cs="宋体"/>
          <w:b/>
          <w:bCs/>
          <w:color w:val="auto"/>
          <w:sz w:val="24"/>
          <w:szCs w:val="24"/>
          <w:highlight w:val="none"/>
          <w:lang w:eastAsia="zh-CN"/>
        </w:rPr>
        <w:t>职称证</w:t>
      </w:r>
      <w:r>
        <w:rPr>
          <w:rFonts w:hint="eastAsia" w:ascii="宋体" w:hAnsi="宋体" w:cs="宋体"/>
          <w:b/>
          <w:bCs/>
          <w:color w:val="auto"/>
          <w:sz w:val="24"/>
          <w:szCs w:val="24"/>
          <w:highlight w:val="none"/>
        </w:rPr>
        <w:t>等相关证件资料。</w:t>
      </w:r>
    </w:p>
    <w:p w14:paraId="7C1324D0">
      <w:pPr>
        <w:adjustRightInd w:val="0"/>
        <w:snapToGrid w:val="0"/>
        <w:spacing w:line="360" w:lineRule="auto"/>
        <w:jc w:val="center"/>
        <w:outlineLvl w:val="9"/>
        <w:rPr>
          <w:rFonts w:ascii="宋体" w:hAnsi="宋体" w:cs="宋体"/>
          <w:b/>
          <w:color w:val="auto"/>
          <w:kern w:val="0"/>
          <w:sz w:val="28"/>
          <w:szCs w:val="28"/>
          <w:highlight w:val="none"/>
          <w:lang w:val="zh-CN"/>
        </w:rPr>
      </w:pPr>
      <w:r>
        <w:rPr>
          <w:rFonts w:hint="eastAsia" w:ascii="宋体" w:hAnsi="宋体" w:cs="宋体"/>
          <w:b/>
          <w:color w:val="auto"/>
          <w:kern w:val="0"/>
          <w:sz w:val="28"/>
          <w:szCs w:val="28"/>
          <w:highlight w:val="none"/>
        </w:rPr>
        <w:br w:type="page"/>
      </w:r>
      <w:r>
        <w:rPr>
          <w:rFonts w:hint="eastAsia" w:ascii="宋体" w:hAnsi="宋体" w:cs="宋体"/>
          <w:b/>
          <w:color w:val="auto"/>
          <w:kern w:val="0"/>
          <w:sz w:val="28"/>
          <w:szCs w:val="28"/>
          <w:highlight w:val="none"/>
        </w:rPr>
        <w:t>（二）项目负责人</w:t>
      </w:r>
      <w:r>
        <w:rPr>
          <w:rFonts w:hint="eastAsia" w:ascii="宋体" w:hAnsi="宋体" w:cs="宋体"/>
          <w:b/>
          <w:color w:val="auto"/>
          <w:kern w:val="0"/>
          <w:sz w:val="28"/>
          <w:szCs w:val="28"/>
          <w:highlight w:val="none"/>
          <w:lang w:val="zh-CN"/>
        </w:rPr>
        <w:t>简历表</w:t>
      </w:r>
    </w:p>
    <w:tbl>
      <w:tblPr>
        <w:tblStyle w:val="17"/>
        <w:tblW w:w="0" w:type="auto"/>
        <w:jc w:val="center"/>
        <w:tblLayout w:type="fixed"/>
        <w:tblCellMar>
          <w:top w:w="0" w:type="dxa"/>
          <w:left w:w="0" w:type="dxa"/>
          <w:bottom w:w="0" w:type="dxa"/>
          <w:right w:w="0" w:type="dxa"/>
        </w:tblCellMar>
      </w:tblPr>
      <w:tblGrid>
        <w:gridCol w:w="1438"/>
        <w:gridCol w:w="369"/>
        <w:gridCol w:w="740"/>
        <w:gridCol w:w="950"/>
        <w:gridCol w:w="1094"/>
        <w:gridCol w:w="725"/>
        <w:gridCol w:w="1293"/>
        <w:gridCol w:w="167"/>
        <w:gridCol w:w="2192"/>
      </w:tblGrid>
      <w:tr w14:paraId="11ECA8F1">
        <w:tblPrEx>
          <w:tblCellMar>
            <w:top w:w="0" w:type="dxa"/>
            <w:left w:w="0" w:type="dxa"/>
            <w:bottom w:w="0" w:type="dxa"/>
            <w:right w:w="0" w:type="dxa"/>
          </w:tblCellMar>
        </w:tblPrEx>
        <w:trPr>
          <w:trHeight w:val="903" w:hRule="atLeast"/>
          <w:jc w:val="center"/>
        </w:trPr>
        <w:tc>
          <w:tcPr>
            <w:tcW w:w="1438" w:type="dxa"/>
            <w:tcBorders>
              <w:top w:val="single" w:color="000000" w:sz="4" w:space="0"/>
              <w:left w:val="single" w:color="000000" w:sz="4" w:space="0"/>
              <w:bottom w:val="single" w:color="000000" w:sz="4" w:space="0"/>
              <w:right w:val="single" w:color="000000" w:sz="4" w:space="0"/>
            </w:tcBorders>
            <w:noWrap w:val="0"/>
            <w:vAlign w:val="center"/>
          </w:tcPr>
          <w:p w14:paraId="75FF835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姓</w:t>
            </w:r>
            <w:r>
              <w:rPr>
                <w:color w:val="auto"/>
                <w:highlight w:val="none"/>
              </w:rPr>
              <w:tab/>
            </w:r>
            <w:r>
              <w:rPr>
                <w:rFonts w:hint="eastAsia" w:ascii="宋体" w:hAnsi="宋体"/>
                <w:color w:val="auto"/>
                <w:spacing w:val="1"/>
                <w:kern w:val="0"/>
                <w:szCs w:val="21"/>
                <w:highlight w:val="none"/>
              </w:rPr>
              <w:t>名</w:t>
            </w:r>
          </w:p>
        </w:tc>
        <w:tc>
          <w:tcPr>
            <w:tcW w:w="1109" w:type="dxa"/>
            <w:gridSpan w:val="2"/>
            <w:tcBorders>
              <w:top w:val="single" w:color="000000" w:sz="4" w:space="0"/>
              <w:left w:val="nil"/>
              <w:bottom w:val="single" w:color="000000" w:sz="4" w:space="0"/>
              <w:right w:val="single" w:color="000000" w:sz="4" w:space="0"/>
            </w:tcBorders>
            <w:noWrap w:val="0"/>
            <w:vAlign w:val="center"/>
          </w:tcPr>
          <w:p w14:paraId="75DA5BFB">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950" w:type="dxa"/>
            <w:tcBorders>
              <w:top w:val="single" w:color="000000" w:sz="4" w:space="0"/>
              <w:left w:val="nil"/>
              <w:bottom w:val="single" w:color="000000" w:sz="4" w:space="0"/>
              <w:right w:val="single" w:color="000000" w:sz="4" w:space="0"/>
            </w:tcBorders>
            <w:noWrap w:val="0"/>
            <w:vAlign w:val="center"/>
          </w:tcPr>
          <w:p w14:paraId="6F0F43E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年  龄</w:t>
            </w:r>
          </w:p>
        </w:tc>
        <w:tc>
          <w:tcPr>
            <w:tcW w:w="1094" w:type="dxa"/>
            <w:tcBorders>
              <w:top w:val="single" w:color="000000" w:sz="4" w:space="0"/>
              <w:left w:val="nil"/>
              <w:bottom w:val="single" w:color="000000" w:sz="4" w:space="0"/>
              <w:right w:val="single" w:color="000000" w:sz="4" w:space="0"/>
            </w:tcBorders>
            <w:noWrap w:val="0"/>
            <w:vAlign w:val="center"/>
          </w:tcPr>
          <w:p w14:paraId="2D46F794">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185" w:type="dxa"/>
            <w:gridSpan w:val="3"/>
            <w:tcBorders>
              <w:top w:val="single" w:color="000000" w:sz="4" w:space="0"/>
              <w:left w:val="nil"/>
              <w:bottom w:val="single" w:color="000000" w:sz="4" w:space="0"/>
              <w:right w:val="single" w:color="000000" w:sz="4" w:space="0"/>
            </w:tcBorders>
            <w:noWrap w:val="0"/>
            <w:vAlign w:val="center"/>
          </w:tcPr>
          <w:p w14:paraId="6BB55C34">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学历</w:t>
            </w:r>
          </w:p>
        </w:tc>
        <w:tc>
          <w:tcPr>
            <w:tcW w:w="2192" w:type="dxa"/>
            <w:tcBorders>
              <w:top w:val="single" w:color="000000" w:sz="4" w:space="0"/>
              <w:left w:val="nil"/>
              <w:bottom w:val="single" w:color="000000" w:sz="4" w:space="0"/>
              <w:right w:val="single" w:color="000000" w:sz="4" w:space="0"/>
            </w:tcBorders>
            <w:noWrap w:val="0"/>
            <w:vAlign w:val="center"/>
          </w:tcPr>
          <w:p w14:paraId="16BD8FD0">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28244A8F">
        <w:tblPrEx>
          <w:tblCellMar>
            <w:top w:w="0" w:type="dxa"/>
            <w:left w:w="0" w:type="dxa"/>
            <w:bottom w:w="0" w:type="dxa"/>
            <w:right w:w="0" w:type="dxa"/>
          </w:tblCellMar>
        </w:tblPrEx>
        <w:trPr>
          <w:trHeight w:val="903" w:hRule="atLeast"/>
          <w:jc w:val="center"/>
        </w:trPr>
        <w:tc>
          <w:tcPr>
            <w:tcW w:w="1438" w:type="dxa"/>
            <w:tcBorders>
              <w:top w:val="single" w:color="000000" w:sz="4" w:space="0"/>
              <w:left w:val="single" w:color="000000" w:sz="4" w:space="0"/>
              <w:bottom w:val="single" w:color="000000" w:sz="4" w:space="0"/>
              <w:right w:val="single" w:color="000000" w:sz="4" w:space="0"/>
            </w:tcBorders>
            <w:noWrap w:val="0"/>
            <w:vAlign w:val="center"/>
          </w:tcPr>
          <w:p w14:paraId="3F2A535C">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职</w:t>
            </w:r>
            <w:r>
              <w:rPr>
                <w:color w:val="auto"/>
                <w:highlight w:val="none"/>
              </w:rPr>
              <w:tab/>
            </w:r>
            <w:r>
              <w:rPr>
                <w:rFonts w:hint="eastAsia" w:ascii="宋体" w:hAnsi="宋体"/>
                <w:color w:val="auto"/>
                <w:spacing w:val="1"/>
                <w:kern w:val="0"/>
                <w:szCs w:val="21"/>
                <w:highlight w:val="none"/>
              </w:rPr>
              <w:t>称</w:t>
            </w:r>
          </w:p>
        </w:tc>
        <w:tc>
          <w:tcPr>
            <w:tcW w:w="1109" w:type="dxa"/>
            <w:gridSpan w:val="2"/>
            <w:tcBorders>
              <w:top w:val="single" w:color="000000" w:sz="4" w:space="0"/>
              <w:left w:val="nil"/>
              <w:bottom w:val="single" w:color="000000" w:sz="4" w:space="0"/>
              <w:right w:val="single" w:color="000000" w:sz="4" w:space="0"/>
            </w:tcBorders>
            <w:noWrap w:val="0"/>
            <w:vAlign w:val="center"/>
          </w:tcPr>
          <w:p w14:paraId="3045E383">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950" w:type="dxa"/>
            <w:tcBorders>
              <w:top w:val="single" w:color="000000" w:sz="4" w:space="0"/>
              <w:left w:val="nil"/>
              <w:bottom w:val="single" w:color="000000" w:sz="4" w:space="0"/>
              <w:right w:val="single" w:color="000000" w:sz="4" w:space="0"/>
            </w:tcBorders>
            <w:noWrap w:val="0"/>
            <w:vAlign w:val="center"/>
          </w:tcPr>
          <w:p w14:paraId="1D1973B2">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职  务</w:t>
            </w:r>
          </w:p>
        </w:tc>
        <w:tc>
          <w:tcPr>
            <w:tcW w:w="1094" w:type="dxa"/>
            <w:tcBorders>
              <w:top w:val="single" w:color="000000" w:sz="4" w:space="0"/>
              <w:left w:val="nil"/>
              <w:bottom w:val="single" w:color="000000" w:sz="4" w:space="0"/>
              <w:right w:val="single" w:color="000000" w:sz="4" w:space="0"/>
            </w:tcBorders>
            <w:noWrap w:val="0"/>
            <w:vAlign w:val="center"/>
          </w:tcPr>
          <w:p w14:paraId="34770AA3">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185" w:type="dxa"/>
            <w:gridSpan w:val="3"/>
            <w:tcBorders>
              <w:top w:val="single" w:color="000000" w:sz="4" w:space="0"/>
              <w:left w:val="nil"/>
              <w:bottom w:val="single" w:color="000000" w:sz="4" w:space="0"/>
              <w:right w:val="single" w:color="000000" w:sz="4" w:space="0"/>
            </w:tcBorders>
            <w:noWrap w:val="0"/>
            <w:vAlign w:val="center"/>
          </w:tcPr>
          <w:p w14:paraId="3DF692A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拟在本项目任职</w:t>
            </w:r>
          </w:p>
        </w:tc>
        <w:tc>
          <w:tcPr>
            <w:tcW w:w="2192" w:type="dxa"/>
            <w:tcBorders>
              <w:top w:val="single" w:color="000000" w:sz="4" w:space="0"/>
              <w:left w:val="nil"/>
              <w:bottom w:val="single" w:color="000000" w:sz="4" w:space="0"/>
              <w:right w:val="single" w:color="000000" w:sz="4" w:space="0"/>
            </w:tcBorders>
            <w:noWrap w:val="0"/>
            <w:vAlign w:val="center"/>
          </w:tcPr>
          <w:p w14:paraId="795AD593">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7EDB741D">
        <w:tblPrEx>
          <w:tblCellMar>
            <w:top w:w="0" w:type="dxa"/>
            <w:left w:w="0" w:type="dxa"/>
            <w:bottom w:w="0" w:type="dxa"/>
            <w:right w:w="0" w:type="dxa"/>
          </w:tblCellMar>
        </w:tblPrEx>
        <w:trPr>
          <w:trHeight w:val="903" w:hRule="atLeast"/>
          <w:jc w:val="center"/>
        </w:trPr>
        <w:tc>
          <w:tcPr>
            <w:tcW w:w="1438" w:type="dxa"/>
            <w:tcBorders>
              <w:top w:val="single" w:color="000000" w:sz="4" w:space="0"/>
              <w:left w:val="single" w:color="000000" w:sz="4" w:space="0"/>
              <w:bottom w:val="single" w:color="000000" w:sz="4" w:space="0"/>
              <w:right w:val="single" w:color="000000" w:sz="4" w:space="0"/>
            </w:tcBorders>
            <w:noWrap w:val="0"/>
            <w:vAlign w:val="center"/>
          </w:tcPr>
          <w:p w14:paraId="002AB74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毕业学校</w:t>
            </w:r>
          </w:p>
        </w:tc>
        <w:tc>
          <w:tcPr>
            <w:tcW w:w="7530" w:type="dxa"/>
            <w:gridSpan w:val="8"/>
            <w:tcBorders>
              <w:top w:val="single" w:color="000000" w:sz="4" w:space="0"/>
              <w:left w:val="nil"/>
              <w:bottom w:val="single" w:color="000000" w:sz="4" w:space="0"/>
              <w:right w:val="single" w:color="000000" w:sz="4" w:space="0"/>
            </w:tcBorders>
            <w:noWrap w:val="0"/>
            <w:vAlign w:val="center"/>
          </w:tcPr>
          <w:p w14:paraId="60CC927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年毕业于</w:t>
            </w:r>
            <w:r>
              <w:rPr>
                <w:color w:val="auto"/>
                <w:highlight w:val="none"/>
              </w:rPr>
              <w:tab/>
            </w:r>
            <w:r>
              <w:rPr>
                <w:rFonts w:hint="eastAsia" w:ascii="宋体" w:hAnsi="宋体"/>
                <w:color w:val="auto"/>
                <w:spacing w:val="1"/>
                <w:kern w:val="0"/>
                <w:szCs w:val="21"/>
                <w:highlight w:val="none"/>
              </w:rPr>
              <w:t>学校</w:t>
            </w:r>
            <w:r>
              <w:rPr>
                <w:color w:val="auto"/>
                <w:highlight w:val="none"/>
              </w:rPr>
              <w:tab/>
            </w:r>
            <w:r>
              <w:rPr>
                <w:rFonts w:hint="eastAsia" w:ascii="宋体" w:hAnsi="宋体"/>
                <w:color w:val="auto"/>
                <w:spacing w:val="1"/>
                <w:kern w:val="0"/>
                <w:szCs w:val="21"/>
                <w:highlight w:val="none"/>
              </w:rPr>
              <w:t>专业</w:t>
            </w:r>
          </w:p>
        </w:tc>
      </w:tr>
      <w:tr w14:paraId="194581A2">
        <w:tblPrEx>
          <w:tblCellMar>
            <w:top w:w="0" w:type="dxa"/>
            <w:left w:w="0" w:type="dxa"/>
            <w:bottom w:w="0" w:type="dxa"/>
            <w:right w:w="0" w:type="dxa"/>
          </w:tblCellMar>
        </w:tblPrEx>
        <w:trPr>
          <w:trHeight w:val="865" w:hRule="atLeast"/>
          <w:jc w:val="center"/>
        </w:trPr>
        <w:tc>
          <w:tcPr>
            <w:tcW w:w="8968" w:type="dxa"/>
            <w:gridSpan w:val="9"/>
            <w:tcBorders>
              <w:top w:val="single" w:color="000000" w:sz="4" w:space="0"/>
              <w:left w:val="single" w:color="000000" w:sz="4" w:space="0"/>
              <w:bottom w:val="single" w:color="000000" w:sz="4" w:space="0"/>
              <w:right w:val="single" w:color="000000" w:sz="4" w:space="0"/>
            </w:tcBorders>
            <w:noWrap w:val="0"/>
            <w:vAlign w:val="center"/>
          </w:tcPr>
          <w:p w14:paraId="48C7A4A3">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主要工作经历</w:t>
            </w:r>
          </w:p>
        </w:tc>
      </w:tr>
      <w:tr w14:paraId="442D49DE">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04642B9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时</w:t>
            </w:r>
            <w:r>
              <w:rPr>
                <w:color w:val="auto"/>
                <w:highlight w:val="none"/>
              </w:rPr>
              <w:tab/>
            </w:r>
            <w:r>
              <w:rPr>
                <w:rFonts w:hint="eastAsia" w:ascii="宋体" w:hAnsi="宋体"/>
                <w:color w:val="auto"/>
                <w:spacing w:val="1"/>
                <w:kern w:val="0"/>
                <w:szCs w:val="21"/>
                <w:highlight w:val="none"/>
              </w:rPr>
              <w:t>间</w:t>
            </w:r>
          </w:p>
        </w:tc>
        <w:tc>
          <w:tcPr>
            <w:tcW w:w="3509" w:type="dxa"/>
            <w:gridSpan w:val="4"/>
            <w:tcBorders>
              <w:top w:val="single" w:color="000000" w:sz="4" w:space="0"/>
              <w:left w:val="nil"/>
              <w:bottom w:val="single" w:color="000000" w:sz="4" w:space="0"/>
              <w:right w:val="single" w:color="000000" w:sz="4" w:space="0"/>
            </w:tcBorders>
            <w:noWrap w:val="0"/>
            <w:vAlign w:val="center"/>
          </w:tcPr>
          <w:p w14:paraId="351D6DEB">
            <w:pPr>
              <w:autoSpaceDE w:val="0"/>
              <w:autoSpaceDN w:val="0"/>
              <w:adjustRightInd w:val="0"/>
              <w:snapToGrid w:val="0"/>
              <w:spacing w:line="360" w:lineRule="auto"/>
              <w:ind w:firstLine="148" w:firstLineChars="70"/>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参加过的类似项目</w:t>
            </w:r>
          </w:p>
        </w:tc>
        <w:tc>
          <w:tcPr>
            <w:tcW w:w="1293" w:type="dxa"/>
            <w:tcBorders>
              <w:top w:val="single" w:color="000000" w:sz="4" w:space="0"/>
              <w:left w:val="nil"/>
              <w:bottom w:val="single" w:color="000000" w:sz="4" w:space="0"/>
              <w:right w:val="single" w:color="000000" w:sz="4" w:space="0"/>
            </w:tcBorders>
            <w:noWrap w:val="0"/>
            <w:vAlign w:val="center"/>
          </w:tcPr>
          <w:p w14:paraId="5EB9A256">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担任职务</w:t>
            </w:r>
          </w:p>
        </w:tc>
        <w:tc>
          <w:tcPr>
            <w:tcW w:w="2359" w:type="dxa"/>
            <w:gridSpan w:val="2"/>
            <w:tcBorders>
              <w:top w:val="single" w:color="000000" w:sz="4" w:space="0"/>
              <w:left w:val="nil"/>
              <w:bottom w:val="single" w:color="000000" w:sz="4" w:space="0"/>
              <w:right w:val="single" w:color="000000" w:sz="4" w:space="0"/>
            </w:tcBorders>
            <w:noWrap w:val="0"/>
            <w:vAlign w:val="center"/>
          </w:tcPr>
          <w:p w14:paraId="6EF8B62B">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证明人</w:t>
            </w:r>
          </w:p>
        </w:tc>
      </w:tr>
      <w:tr w14:paraId="360572AB">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5F1253A1">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68A9F0B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6420CF0D">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17E827C4">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18B014DE">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7EE481C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5454C604">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5E4FEA3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070A23AA">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33BA2DC2">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65C7520C">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32E5057C">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77ACC439">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1F06434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44C6B393">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11341AF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7BC8E8D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7B78A2CE">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16A58557">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59F78D49">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43C5F2FD">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0F4C1EAA">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1364BEC7">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4674F1E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70BE8C45">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2CC4754C">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37E93C82">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7F8DCA8B">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7A66AD8D">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564E8CC1">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61E77ED8">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0555D7B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4354AF60">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42C39FC8">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bl>
    <w:p w14:paraId="141AD44C">
      <w:pPr>
        <w:pStyle w:val="20"/>
        <w:numPr>
          <w:ilvl w:val="0"/>
          <w:numId w:val="0"/>
        </w:numPr>
        <w:jc w:val="center"/>
        <w:rPr>
          <w:rFonts w:hint="eastAsia" w:ascii="宋体" w:hAnsi="宋体"/>
          <w:b/>
          <w:bCs/>
          <w:color w:val="auto"/>
          <w:highlight w:val="none"/>
        </w:rPr>
      </w:pPr>
      <w:bookmarkStart w:id="390" w:name="_Toc8890"/>
      <w:bookmarkStart w:id="391" w:name="_Toc5849"/>
      <w:r>
        <w:rPr>
          <w:rFonts w:hint="eastAsia" w:ascii="宋体" w:hAnsi="宋体" w:eastAsia="宋体" w:cs="宋体"/>
          <w:b/>
          <w:bCs/>
          <w:color w:val="auto"/>
          <w:kern w:val="0"/>
          <w:sz w:val="28"/>
          <w:szCs w:val="28"/>
          <w:highlight w:val="none"/>
          <w:lang w:val="en-US" w:eastAsia="zh-CN" w:bidi="zh-CN"/>
        </w:rPr>
        <w:br w:type="page"/>
      </w:r>
      <w:r>
        <w:rPr>
          <w:rFonts w:hint="eastAsia" w:ascii="宋体" w:hAnsi="宋体" w:eastAsia="宋体" w:cs="宋体"/>
          <w:b/>
          <w:bCs/>
          <w:color w:val="auto"/>
          <w:kern w:val="0"/>
          <w:sz w:val="28"/>
          <w:szCs w:val="28"/>
          <w:highlight w:val="none"/>
          <w:lang w:val="en-US" w:eastAsia="zh-CN" w:bidi="zh-CN"/>
        </w:rPr>
        <w:t>九</w:t>
      </w:r>
      <w:r>
        <w:rPr>
          <w:rFonts w:hint="eastAsia" w:ascii="宋体" w:hAnsi="宋体" w:eastAsia="宋体" w:cs="宋体"/>
          <w:b/>
          <w:bCs/>
          <w:color w:val="auto"/>
          <w:kern w:val="0"/>
          <w:sz w:val="28"/>
          <w:szCs w:val="28"/>
          <w:highlight w:val="none"/>
          <w:lang w:val="zh-CN" w:eastAsia="zh-CN" w:bidi="zh-CN"/>
        </w:rPr>
        <w:t>、供应商认为需要提供的其他资料</w:t>
      </w:r>
      <w:bookmarkEnd w:id="390"/>
      <w:bookmarkEnd w:id="391"/>
    </w:p>
    <w:p w14:paraId="61C21A83">
      <w:pPr>
        <w:shd w:val="clear" w:color="auto" w:fill="FFFFFF"/>
        <w:tabs>
          <w:tab w:val="right" w:pos="6077"/>
        </w:tabs>
        <w:autoSpaceDE w:val="0"/>
        <w:autoSpaceDN w:val="0"/>
        <w:spacing w:line="560" w:lineRule="exact"/>
        <w:ind w:firstLine="1606" w:firstLineChars="500"/>
        <w:rPr>
          <w:rFonts w:hint="eastAsia" w:ascii="宋体" w:hAnsi="宋体" w:eastAsia="宋体" w:cs="宋体"/>
          <w:b/>
          <w:bCs/>
          <w:color w:val="auto"/>
          <w:sz w:val="32"/>
          <w:szCs w:val="32"/>
          <w:highlight w:val="none"/>
          <w:lang w:val="en-US" w:eastAsia="zh-CN"/>
        </w:rPr>
      </w:pPr>
    </w:p>
    <w:p w14:paraId="43FAF359">
      <w:pPr>
        <w:shd w:val="clear" w:color="auto" w:fill="FFFFFF"/>
        <w:tabs>
          <w:tab w:val="right" w:pos="6077"/>
        </w:tabs>
        <w:autoSpaceDE w:val="0"/>
        <w:autoSpaceDN w:val="0"/>
        <w:spacing w:line="560" w:lineRule="exact"/>
        <w:ind w:firstLine="1606" w:firstLineChars="500"/>
        <w:rPr>
          <w:rFonts w:hint="eastAsia" w:ascii="宋体" w:hAnsi="宋体" w:eastAsia="宋体" w:cs="宋体"/>
          <w:b/>
          <w:bCs/>
          <w:color w:val="auto"/>
          <w:sz w:val="32"/>
          <w:szCs w:val="32"/>
          <w:highlight w:val="none"/>
          <w:lang w:val="en-US" w:eastAsia="zh-CN"/>
        </w:rPr>
      </w:pPr>
    </w:p>
    <w:p w14:paraId="1335A700">
      <w:pPr>
        <w:shd w:val="clear" w:color="auto" w:fill="FFFFFF"/>
        <w:tabs>
          <w:tab w:val="right" w:pos="6077"/>
        </w:tabs>
        <w:autoSpaceDE w:val="0"/>
        <w:autoSpaceDN w:val="0"/>
        <w:spacing w:line="560" w:lineRule="exact"/>
        <w:ind w:firstLine="1606" w:firstLineChars="500"/>
        <w:rPr>
          <w:rFonts w:hint="eastAsia" w:ascii="宋体" w:hAnsi="宋体" w:eastAsia="宋体" w:cs="宋体"/>
          <w:b/>
          <w:bCs/>
          <w:color w:val="auto"/>
          <w:sz w:val="32"/>
          <w:szCs w:val="32"/>
          <w:highlight w:val="none"/>
          <w:lang w:val="en-US" w:eastAsia="zh-CN"/>
        </w:rPr>
      </w:pPr>
    </w:p>
    <w:p w14:paraId="44E248D4">
      <w:pPr>
        <w:shd w:val="clear" w:color="auto" w:fill="FFFFFF"/>
        <w:tabs>
          <w:tab w:val="right" w:pos="6077"/>
        </w:tabs>
        <w:autoSpaceDE w:val="0"/>
        <w:autoSpaceDN w:val="0"/>
        <w:spacing w:line="560" w:lineRule="exact"/>
        <w:ind w:firstLine="1606" w:firstLineChars="500"/>
        <w:rPr>
          <w:rFonts w:hint="eastAsia" w:ascii="宋体" w:hAnsi="宋体" w:eastAsia="宋体" w:cs="宋体"/>
          <w:b/>
          <w:bCs/>
          <w:color w:val="auto"/>
          <w:sz w:val="32"/>
          <w:szCs w:val="32"/>
          <w:highlight w:val="none"/>
          <w:lang w:val="en-US" w:eastAsia="zh-CN"/>
        </w:rPr>
      </w:pPr>
    </w:p>
    <w:bookmarkEnd w:id="382"/>
    <w:bookmarkEnd w:id="383"/>
    <w:bookmarkEnd w:id="384"/>
    <w:bookmarkEnd w:id="385"/>
    <w:bookmarkEnd w:id="386"/>
    <w:bookmarkEnd w:id="387"/>
    <w:p w14:paraId="3F493263">
      <w:pPr>
        <w:widowControl/>
        <w:spacing w:line="360" w:lineRule="auto"/>
        <w:jc w:val="left"/>
        <w:rPr>
          <w:rFonts w:hint="eastAsia" w:ascii="宋体" w:hAnsi="宋体" w:eastAsia="宋体" w:cs="宋体"/>
          <w:b/>
          <w:bCs/>
          <w:color w:val="auto"/>
          <w:sz w:val="32"/>
          <w:szCs w:val="32"/>
          <w:highlight w:val="none"/>
          <w:lang w:eastAsia="zh-CN"/>
        </w:rPr>
      </w:pPr>
      <w:r>
        <w:rPr>
          <w:rFonts w:hint="eastAsia" w:ascii="宋体" w:hAnsi="宋体" w:eastAsia="宋体" w:cs="宋体"/>
          <w:color w:val="auto"/>
          <w:highlight w:val="none"/>
        </w:rPr>
        <w:br w:type="page"/>
      </w:r>
      <w:bookmarkStart w:id="392" w:name="_Hlk136874878"/>
      <w:r>
        <w:rPr>
          <w:rFonts w:hint="eastAsia" w:ascii="宋体" w:hAnsi="宋体" w:eastAsia="宋体" w:cs="宋体"/>
          <w:b/>
          <w:bCs/>
          <w:color w:val="auto"/>
          <w:sz w:val="32"/>
          <w:szCs w:val="32"/>
          <w:highlight w:val="none"/>
        </w:rPr>
        <w:t>附件</w:t>
      </w:r>
      <w:r>
        <w:rPr>
          <w:rFonts w:hint="eastAsia" w:ascii="宋体" w:hAnsi="宋体" w:eastAsia="宋体" w:cs="宋体"/>
          <w:b/>
          <w:bCs/>
          <w:color w:val="auto"/>
          <w:sz w:val="32"/>
          <w:szCs w:val="32"/>
          <w:highlight w:val="none"/>
          <w:lang w:eastAsia="zh-CN"/>
        </w:rPr>
        <w:t>：</w:t>
      </w:r>
    </w:p>
    <w:p w14:paraId="2A7C18CF">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满足《中华人民共和国政府采购法》第二十二条规定的承诺书</w:t>
      </w:r>
    </w:p>
    <w:p w14:paraId="16DBC7C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致（采购单位）：</w:t>
      </w:r>
    </w:p>
    <w:p w14:paraId="4DDBF49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我单位自愿参加本次采购活动，严格遵守《中华人民共和国政府采购法》及相关法律法规，依法诚信经营，依法遵守本次政府采购活动的各项规定。我单位郑重承诺声明如下：</w:t>
      </w:r>
    </w:p>
    <w:p w14:paraId="6336FF0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一、我单位全称为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，注册地点为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，统一社会信用代码为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法定代表人（主要负责人）为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联系方式为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7D06EE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二、我单位具有独立承担民事责任的能力(如分公司参加投标的，其民事责任由总公司承担)。</w:t>
      </w:r>
    </w:p>
    <w:p w14:paraId="7FA6DB0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三、我单位具有良好的商业信誉和健全的财务会计制度。 </w:t>
      </w:r>
    </w:p>
    <w:p w14:paraId="3ACB740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四、我单位具有履行合同所必需的设备和专业技术能力。 </w:t>
      </w:r>
    </w:p>
    <w:p w14:paraId="4A08D15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五、我单位有依法缴纳税收和社会保障资金的良好记录。</w:t>
      </w:r>
    </w:p>
    <w:p w14:paraId="4A54C63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六、我单位参加政府采购活动前三年内，在经营活动中没有重大违法记录。（重大违法记录，是指供应商因违法经营受到刑事处罚或者责令停产停业、吊销许可证或者执照、较大数额罚款等行政处罚。）</w:t>
      </w:r>
    </w:p>
    <w:p w14:paraId="09ACB327">
      <w:pPr>
        <w:spacing w:line="360" w:lineRule="auto"/>
        <w:ind w:firstLine="480" w:firstLineChars="200"/>
        <w:outlineLvl w:val="9"/>
        <w:rPr>
          <w:rFonts w:hint="eastAsia" w:ascii="宋体" w:hAnsi="宋体" w:eastAsia="宋体" w:cs="宋体"/>
          <w:color w:val="auto"/>
          <w:sz w:val="24"/>
          <w:szCs w:val="24"/>
          <w:highlight w:val="none"/>
        </w:rPr>
      </w:pPr>
      <w:bookmarkStart w:id="393" w:name="_Toc27798"/>
      <w:bookmarkStart w:id="394" w:name="_Toc4968"/>
      <w:bookmarkStart w:id="395" w:name="_Toc12051"/>
      <w:r>
        <w:rPr>
          <w:rFonts w:hint="eastAsia" w:ascii="宋体" w:hAnsi="宋体" w:eastAsia="宋体" w:cs="宋体"/>
          <w:color w:val="auto"/>
          <w:sz w:val="24"/>
          <w:szCs w:val="24"/>
          <w:highlight w:val="none"/>
        </w:rPr>
        <w:t>七、我单位具备法律、行政法规规定的其他条件。</w:t>
      </w:r>
      <w:bookmarkEnd w:id="393"/>
      <w:bookmarkEnd w:id="394"/>
      <w:bookmarkEnd w:id="395"/>
    </w:p>
    <w:p w14:paraId="076E10E1">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保证上述声明的事项都是真实的，符合《中华人民共和国政府采购法》规定的供应商资格条件。如有弄虚作假，我单位愿意按照“提供虚假材料谋取中标”承担相应的法律责任，同意将违背承诺行为作为失信行为记录到社会信用信息平台，并承担因此所造成的一切损失。</w:t>
      </w:r>
    </w:p>
    <w:p w14:paraId="5CE8BF4F">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2033315A">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13A97411">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04742464">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注：1.供应商须在投标文件中按此模板提供承诺函，未提供视为未实质性响应招标文件要求，按无效投标处理。</w:t>
      </w:r>
    </w:p>
    <w:p w14:paraId="72F8969C">
      <w:pPr>
        <w:numPr>
          <w:ilvl w:val="0"/>
          <w:numId w:val="7"/>
        </w:num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供应商的法定代表人（主要负责人）或者授权代表的签字或盖章应真实、有效。</w:t>
      </w:r>
      <w:bookmarkEnd w:id="392"/>
    </w:p>
    <w:p w14:paraId="11DAD96B">
      <w:pPr>
        <w:spacing w:line="360" w:lineRule="auto"/>
        <w:jc w:val="center"/>
        <w:outlineLvl w:val="9"/>
        <w:rPr>
          <w:rFonts w:hint="eastAsia" w:ascii="宋体" w:hAnsi="宋体" w:eastAsia="宋体" w:cs="宋体"/>
          <w:bCs/>
          <w:color w:val="auto"/>
          <w:kern w:val="0"/>
          <w:sz w:val="18"/>
          <w:szCs w:val="18"/>
          <w:highlight w:val="none"/>
        </w:rPr>
      </w:pPr>
      <w:r>
        <w:rPr>
          <w:rFonts w:hint="eastAsia" w:ascii="宋体" w:hAnsi="宋体" w:eastAsia="宋体" w:cs="宋体"/>
          <w:b/>
          <w:color w:val="auto"/>
          <w:sz w:val="32"/>
          <w:szCs w:val="32"/>
          <w:highlight w:val="none"/>
        </w:rPr>
        <w:br w:type="page"/>
      </w:r>
      <w:r>
        <w:rPr>
          <w:rFonts w:hint="eastAsia" w:ascii="宋体" w:hAnsi="宋体" w:eastAsia="宋体" w:cs="宋体"/>
          <w:b/>
          <w:color w:val="auto"/>
          <w:kern w:val="0"/>
          <w:sz w:val="24"/>
          <w:szCs w:val="28"/>
          <w:highlight w:val="none"/>
        </w:rPr>
        <w:t>1、中小企业声明函（</w:t>
      </w:r>
      <w:r>
        <w:rPr>
          <w:rFonts w:hint="eastAsia" w:ascii="宋体" w:hAnsi="宋体" w:eastAsia="宋体" w:cs="宋体"/>
          <w:b/>
          <w:color w:val="auto"/>
          <w:kern w:val="0"/>
          <w:sz w:val="24"/>
          <w:szCs w:val="28"/>
          <w:highlight w:val="none"/>
          <w:lang w:val="en-US" w:eastAsia="zh-CN"/>
        </w:rPr>
        <w:t>服务</w:t>
      </w:r>
      <w:r>
        <w:rPr>
          <w:rFonts w:hint="eastAsia" w:ascii="宋体" w:hAnsi="宋体" w:eastAsia="宋体" w:cs="宋体"/>
          <w:b/>
          <w:color w:val="auto"/>
          <w:kern w:val="0"/>
          <w:sz w:val="24"/>
          <w:szCs w:val="28"/>
          <w:highlight w:val="none"/>
        </w:rPr>
        <w:t>）</w:t>
      </w:r>
    </w:p>
    <w:p w14:paraId="18296016">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本公司（联合体）郑重声明，根据《政府采购促进中小企业发展管理办法》（财库﹝2020﹞46 号）的规定，本公司（联合体）参加</w:t>
      </w:r>
      <w:r>
        <w:rPr>
          <w:rFonts w:hint="eastAsia" w:ascii="宋体" w:hAnsi="宋体" w:eastAsia="宋体" w:cs="宋体"/>
          <w:bCs/>
          <w:color w:val="auto"/>
          <w:kern w:val="0"/>
          <w:sz w:val="24"/>
          <w:szCs w:val="24"/>
          <w:highlight w:val="none"/>
          <w:u w:val="single"/>
        </w:rPr>
        <w:t>（单位名称）</w:t>
      </w:r>
      <w:r>
        <w:rPr>
          <w:rFonts w:hint="eastAsia" w:ascii="宋体" w:hAnsi="宋体" w:eastAsia="宋体" w:cs="宋体"/>
          <w:bCs/>
          <w:color w:val="auto"/>
          <w:kern w:val="0"/>
          <w:sz w:val="24"/>
          <w:szCs w:val="24"/>
          <w:highlight w:val="none"/>
        </w:rPr>
        <w:t>的</w:t>
      </w:r>
      <w:r>
        <w:rPr>
          <w:rFonts w:hint="eastAsia" w:ascii="宋体" w:hAnsi="宋体" w:eastAsia="宋体" w:cs="宋体"/>
          <w:bCs/>
          <w:color w:val="auto"/>
          <w:kern w:val="0"/>
          <w:sz w:val="24"/>
          <w:szCs w:val="24"/>
          <w:highlight w:val="none"/>
          <w:u w:val="single"/>
        </w:rPr>
        <w:t>（项目名称）</w:t>
      </w:r>
      <w:r>
        <w:rPr>
          <w:rFonts w:hint="eastAsia" w:ascii="宋体" w:hAnsi="宋体" w:eastAsia="宋体" w:cs="宋体"/>
          <w:bCs/>
          <w:color w:val="auto"/>
          <w:kern w:val="0"/>
          <w:sz w:val="24"/>
          <w:szCs w:val="24"/>
          <w:highlight w:val="none"/>
        </w:rPr>
        <w:t>采购活动，服务全部由符合政策要求的中小企业承接。相关企业（含联合体中的中小企业、签订分包意向协议的中小企业）的具体情况如下：</w:t>
      </w:r>
    </w:p>
    <w:p w14:paraId="0EEED8F3">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 xml:space="preserve">1. </w:t>
      </w:r>
      <w:r>
        <w:rPr>
          <w:rFonts w:hint="eastAsia" w:ascii="宋体" w:hAnsi="宋体" w:eastAsia="宋体" w:cs="宋体"/>
          <w:bCs/>
          <w:color w:val="auto"/>
          <w:kern w:val="0"/>
          <w:sz w:val="24"/>
          <w:szCs w:val="24"/>
          <w:highlight w:val="none"/>
          <w:u w:val="single"/>
        </w:rPr>
        <w:t>（标的名称）</w:t>
      </w:r>
      <w:r>
        <w:rPr>
          <w:rFonts w:hint="eastAsia" w:ascii="宋体" w:hAnsi="宋体" w:eastAsia="宋体" w:cs="宋体"/>
          <w:bCs/>
          <w:color w:val="auto"/>
          <w:kern w:val="0"/>
          <w:sz w:val="24"/>
          <w:szCs w:val="24"/>
          <w:highlight w:val="none"/>
        </w:rPr>
        <w:t xml:space="preserve"> ，属于</w:t>
      </w:r>
      <w:r>
        <w:rPr>
          <w:rFonts w:hint="eastAsia" w:ascii="宋体" w:hAnsi="宋体" w:eastAsia="宋体" w:cs="宋体"/>
          <w:bCs/>
          <w:color w:val="auto"/>
          <w:kern w:val="0"/>
          <w:sz w:val="24"/>
          <w:szCs w:val="24"/>
          <w:highlight w:val="none"/>
          <w:u w:val="single"/>
        </w:rPr>
        <w:t>（采购文件中明确的所属行业）</w:t>
      </w:r>
      <w:r>
        <w:rPr>
          <w:rFonts w:hint="eastAsia" w:ascii="宋体" w:hAnsi="宋体" w:eastAsia="宋体" w:cs="宋体"/>
          <w:bCs/>
          <w:color w:val="auto"/>
          <w:kern w:val="0"/>
          <w:sz w:val="24"/>
          <w:szCs w:val="24"/>
          <w:highlight w:val="none"/>
        </w:rPr>
        <w:t>行业；承建（承接）企业为</w:t>
      </w:r>
      <w:r>
        <w:rPr>
          <w:rFonts w:hint="eastAsia" w:ascii="宋体" w:hAnsi="宋体" w:eastAsia="宋体" w:cs="宋体"/>
          <w:bCs/>
          <w:color w:val="auto"/>
          <w:kern w:val="0"/>
          <w:sz w:val="24"/>
          <w:szCs w:val="24"/>
          <w:highlight w:val="none"/>
          <w:u w:val="single"/>
        </w:rPr>
        <w:t>（企业名称）</w:t>
      </w:r>
      <w:r>
        <w:rPr>
          <w:rFonts w:hint="eastAsia" w:ascii="宋体" w:hAnsi="宋体" w:eastAsia="宋体" w:cs="宋体"/>
          <w:bCs/>
          <w:color w:val="auto"/>
          <w:kern w:val="0"/>
          <w:sz w:val="24"/>
          <w:szCs w:val="24"/>
          <w:highlight w:val="none"/>
        </w:rPr>
        <w:t>，从业人员人，营业收入为万元，资产总额为万元，属于（中型企业、小型企业、微型企业）；</w:t>
      </w:r>
    </w:p>
    <w:p w14:paraId="37639D2E">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 xml:space="preserve">2. </w:t>
      </w:r>
      <w:r>
        <w:rPr>
          <w:rFonts w:hint="eastAsia" w:ascii="宋体" w:hAnsi="宋体" w:eastAsia="宋体" w:cs="宋体"/>
          <w:bCs/>
          <w:color w:val="auto"/>
          <w:kern w:val="0"/>
          <w:sz w:val="24"/>
          <w:szCs w:val="24"/>
          <w:highlight w:val="none"/>
          <w:u w:val="single"/>
        </w:rPr>
        <w:t>（标的名称）</w:t>
      </w:r>
      <w:r>
        <w:rPr>
          <w:rFonts w:hint="eastAsia" w:ascii="宋体" w:hAnsi="宋体" w:eastAsia="宋体" w:cs="宋体"/>
          <w:bCs/>
          <w:color w:val="auto"/>
          <w:kern w:val="0"/>
          <w:sz w:val="24"/>
          <w:szCs w:val="24"/>
          <w:highlight w:val="none"/>
        </w:rPr>
        <w:t xml:space="preserve"> ，属于</w:t>
      </w:r>
      <w:r>
        <w:rPr>
          <w:rFonts w:hint="eastAsia" w:ascii="宋体" w:hAnsi="宋体" w:eastAsia="宋体" w:cs="宋体"/>
          <w:bCs/>
          <w:color w:val="auto"/>
          <w:kern w:val="0"/>
          <w:sz w:val="24"/>
          <w:szCs w:val="24"/>
          <w:highlight w:val="none"/>
          <w:u w:val="single"/>
        </w:rPr>
        <w:t>（采购文件中明确的所属行业）</w:t>
      </w:r>
      <w:r>
        <w:rPr>
          <w:rFonts w:hint="eastAsia" w:ascii="宋体" w:hAnsi="宋体" w:eastAsia="宋体" w:cs="宋体"/>
          <w:bCs/>
          <w:color w:val="auto"/>
          <w:kern w:val="0"/>
          <w:sz w:val="24"/>
          <w:szCs w:val="24"/>
          <w:highlight w:val="none"/>
        </w:rPr>
        <w:t>行业；承建（承接）企业为</w:t>
      </w:r>
      <w:r>
        <w:rPr>
          <w:rFonts w:hint="eastAsia" w:ascii="宋体" w:hAnsi="宋体" w:eastAsia="宋体" w:cs="宋体"/>
          <w:bCs/>
          <w:color w:val="auto"/>
          <w:kern w:val="0"/>
          <w:sz w:val="24"/>
          <w:szCs w:val="24"/>
          <w:highlight w:val="none"/>
          <w:u w:val="single"/>
        </w:rPr>
        <w:t>（企业名称）</w:t>
      </w:r>
      <w:r>
        <w:rPr>
          <w:rFonts w:hint="eastAsia" w:ascii="宋体" w:hAnsi="宋体" w:eastAsia="宋体" w:cs="宋体"/>
          <w:bCs/>
          <w:color w:val="auto"/>
          <w:kern w:val="0"/>
          <w:sz w:val="24"/>
          <w:szCs w:val="24"/>
          <w:highlight w:val="none"/>
        </w:rPr>
        <w:t>，从业人员人，营业收入为万元，资产总额为万元，属于（中型企业、小型企业、微型企业）；</w:t>
      </w:r>
    </w:p>
    <w:p w14:paraId="061A2475">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w:t>
      </w:r>
    </w:p>
    <w:p w14:paraId="35EE47E4">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以上企业，不属于大企业的分支机构，不存在控股股东为大企业的情形，也不存在与大企业的负责人为同一人的情形。</w:t>
      </w:r>
    </w:p>
    <w:p w14:paraId="24E39371">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本企业对上述声明内容的真实性负责。如有虚假，将依法承担相应责任。</w:t>
      </w:r>
    </w:p>
    <w:p w14:paraId="4FD5D060">
      <w:pPr>
        <w:spacing w:line="360" w:lineRule="auto"/>
        <w:outlineLvl w:val="9"/>
        <w:rPr>
          <w:rFonts w:hint="eastAsia" w:ascii="宋体" w:hAnsi="宋体" w:eastAsia="宋体" w:cs="宋体"/>
          <w:color w:val="auto"/>
          <w:sz w:val="24"/>
          <w:szCs w:val="24"/>
          <w:highlight w:val="none"/>
        </w:rPr>
      </w:pPr>
    </w:p>
    <w:p w14:paraId="7BF44C1F">
      <w:pPr>
        <w:wordWrap w:val="0"/>
        <w:spacing w:line="360" w:lineRule="auto"/>
        <w:ind w:right="210" w:firstLine="360" w:firstLineChars="150"/>
        <w:jc w:val="right"/>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企业名称（盖章）：</w:t>
      </w:r>
    </w:p>
    <w:p w14:paraId="7D6FB302">
      <w:pPr>
        <w:spacing w:line="360" w:lineRule="auto"/>
        <w:ind w:right="1260" w:firstLine="5760" w:firstLineChars="2400"/>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日 期：</w:t>
      </w:r>
    </w:p>
    <w:p w14:paraId="436833DA">
      <w:pPr>
        <w:spacing w:line="360" w:lineRule="auto"/>
        <w:outlineLvl w:val="9"/>
        <w:rPr>
          <w:rFonts w:hint="eastAsia" w:ascii="宋体" w:hAnsi="宋体" w:eastAsia="宋体" w:cs="宋体"/>
          <w:color w:val="auto"/>
          <w:sz w:val="24"/>
          <w:szCs w:val="24"/>
          <w:highlight w:val="none"/>
        </w:rPr>
      </w:pPr>
    </w:p>
    <w:p w14:paraId="552510F9">
      <w:pPr>
        <w:spacing w:line="360" w:lineRule="auto"/>
        <w:ind w:firstLine="361" w:firstLineChars="15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注：1、从业人员、营业收入、资产总额填报上一年度数据，无上一年度数据的新成立企业可不填报。</w:t>
      </w:r>
    </w:p>
    <w:p w14:paraId="7E9FC8B1">
      <w:pPr>
        <w:numPr>
          <w:ilvl w:val="0"/>
          <w:numId w:val="8"/>
        </w:numPr>
        <w:spacing w:line="360" w:lineRule="auto"/>
        <w:ind w:firstLine="361" w:firstLineChars="15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中小企业划分标准见工业和信息化部国家统计局国家发展和改革委员财政部《关于印发中小企业划型标准规定的通知》（工信部联企业【2011】300号）。</w:t>
      </w:r>
    </w:p>
    <w:p w14:paraId="7AD630D0">
      <w:pPr>
        <w:spacing w:line="360" w:lineRule="auto"/>
        <w:jc w:val="center"/>
        <w:outlineLvl w:val="9"/>
        <w:rPr>
          <w:rFonts w:hint="eastAsia" w:ascii="宋体" w:hAnsi="宋体" w:eastAsia="宋体" w:cs="宋体"/>
          <w:b/>
          <w:bCs/>
          <w:color w:val="auto"/>
          <w:sz w:val="24"/>
          <w:szCs w:val="24"/>
          <w:highlight w:val="none"/>
        </w:rPr>
      </w:pPr>
      <w:bookmarkStart w:id="396" w:name="_Toc45"/>
      <w:bookmarkEnd w:id="396"/>
      <w:bookmarkStart w:id="397" w:name="_Toc15612"/>
      <w:bookmarkEnd w:id="397"/>
      <w:bookmarkStart w:id="398" w:name="_Toc14181"/>
      <w:bookmarkEnd w:id="398"/>
      <w:bookmarkStart w:id="399" w:name="_Toc23107"/>
      <w:bookmarkEnd w:id="399"/>
      <w:r>
        <w:rPr>
          <w:rFonts w:hint="eastAsia" w:ascii="宋体" w:hAnsi="宋体" w:eastAsia="宋体" w:cs="宋体"/>
          <w:b/>
          <w:bCs/>
          <w:color w:val="auto"/>
          <w:sz w:val="24"/>
          <w:szCs w:val="24"/>
          <w:highlight w:val="none"/>
        </w:rPr>
        <w:t>未按上述要求提供、填写的，评审时不予以考虑。（属于中小微企业的填写，不属于的无需填写此项内容）</w:t>
      </w:r>
    </w:p>
    <w:p w14:paraId="40FB2AF6">
      <w:pPr>
        <w:widowControl w:val="0"/>
        <w:spacing w:line="360" w:lineRule="auto"/>
        <w:ind w:firstLine="482" w:firstLineChars="200"/>
        <w:jc w:val="both"/>
        <w:rPr>
          <w:rFonts w:hint="eastAsia" w:ascii="宋体" w:hAnsi="宋体" w:eastAsia="宋体" w:cs="宋体"/>
          <w:color w:val="auto"/>
          <w:kern w:val="2"/>
          <w:sz w:val="24"/>
          <w:szCs w:val="24"/>
          <w:highlight w:val="none"/>
          <w:lang w:eastAsia="zh-CN"/>
        </w:rPr>
      </w:pPr>
      <w:r>
        <w:rPr>
          <w:rFonts w:hint="eastAsia" w:ascii="宋体" w:hAnsi="宋体" w:eastAsia="宋体" w:cs="宋体"/>
          <w:b/>
          <w:bCs/>
          <w:color w:val="auto"/>
          <w:sz w:val="24"/>
          <w:szCs w:val="24"/>
          <w:highlight w:val="none"/>
        </w:rPr>
        <w:br w:type="page"/>
      </w:r>
      <w:r>
        <w:rPr>
          <w:rFonts w:hint="eastAsia" w:ascii="宋体" w:hAnsi="宋体" w:eastAsia="宋体" w:cs="宋体"/>
          <w:color w:val="auto"/>
          <w:kern w:val="2"/>
          <w:sz w:val="24"/>
          <w:szCs w:val="24"/>
          <w:highlight w:val="none"/>
          <w:lang w:eastAsia="zh-CN"/>
        </w:rPr>
        <w:drawing>
          <wp:inline distT="0" distB="0" distL="114300" distR="114300">
            <wp:extent cx="6085205" cy="8607425"/>
            <wp:effectExtent l="0" t="0" r="10795" b="3175"/>
            <wp:docPr id="2" name="图片 2" descr="工信部300号文关于印发中小企业划型标准规定的通知 （工信部联企业〔20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信部300号文关于印发中小企业划型标准规定的通知 （工信部联企业〔2011..._01"/>
                    <pic:cNvPicPr>
                      <a:picLocks noChangeAspect="1"/>
                    </pic:cNvPicPr>
                  </pic:nvPicPr>
                  <pic:blipFill>
                    <a:blip r:embed="rId8"/>
                    <a:stretch>
                      <a:fillRect/>
                    </a:stretch>
                  </pic:blipFill>
                  <pic:spPr>
                    <a:xfrm>
                      <a:off x="0" y="0"/>
                      <a:ext cx="6085205" cy="8607425"/>
                    </a:xfrm>
                    <a:prstGeom prst="rect">
                      <a:avLst/>
                    </a:prstGeom>
                  </pic:spPr>
                </pic:pic>
              </a:graphicData>
            </a:graphic>
          </wp:inline>
        </w:drawing>
      </w:r>
      <w:r>
        <w:rPr>
          <w:rFonts w:hint="eastAsia" w:ascii="宋体" w:hAnsi="宋体" w:eastAsia="宋体" w:cs="宋体"/>
          <w:color w:val="auto"/>
          <w:kern w:val="2"/>
          <w:sz w:val="24"/>
          <w:szCs w:val="24"/>
          <w:highlight w:val="none"/>
          <w:lang w:eastAsia="zh-CN"/>
        </w:rPr>
        <w:drawing>
          <wp:inline distT="0" distB="0" distL="114300" distR="114300">
            <wp:extent cx="6085205" cy="8607425"/>
            <wp:effectExtent l="0" t="0" r="10795" b="3175"/>
            <wp:docPr id="4" name="图片 4" descr="工信部300号文关于印发中小企业划型标准规定的通知 （工信部联企业〔20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信部300号文关于印发中小企业划型标准规定的通知 （工信部联企业〔2011..._02"/>
                    <pic:cNvPicPr>
                      <a:picLocks noChangeAspect="1"/>
                    </pic:cNvPicPr>
                  </pic:nvPicPr>
                  <pic:blipFill>
                    <a:blip r:embed="rId9"/>
                    <a:stretch>
                      <a:fillRect/>
                    </a:stretch>
                  </pic:blipFill>
                  <pic:spPr>
                    <a:xfrm>
                      <a:off x="0" y="0"/>
                      <a:ext cx="6085205" cy="8607425"/>
                    </a:xfrm>
                    <a:prstGeom prst="rect">
                      <a:avLst/>
                    </a:prstGeom>
                  </pic:spPr>
                </pic:pic>
              </a:graphicData>
            </a:graphic>
          </wp:inline>
        </w:drawing>
      </w:r>
      <w:r>
        <w:rPr>
          <w:rFonts w:hint="eastAsia" w:ascii="宋体" w:hAnsi="宋体" w:eastAsia="宋体" w:cs="宋体"/>
          <w:color w:val="auto"/>
          <w:kern w:val="2"/>
          <w:sz w:val="24"/>
          <w:szCs w:val="24"/>
          <w:highlight w:val="none"/>
          <w:lang w:eastAsia="zh-CN"/>
        </w:rPr>
        <w:drawing>
          <wp:inline distT="0" distB="0" distL="114300" distR="114300">
            <wp:extent cx="6085205" cy="8607425"/>
            <wp:effectExtent l="0" t="0" r="10795" b="3175"/>
            <wp:docPr id="5" name="图片 5" descr="工信部300号文关于印发中小企业划型标准规定的通知 （工信部联企业〔20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信部300号文关于印发中小企业划型标准规定的通知 （工信部联企业〔2011..._03"/>
                    <pic:cNvPicPr>
                      <a:picLocks noChangeAspect="1"/>
                    </pic:cNvPicPr>
                  </pic:nvPicPr>
                  <pic:blipFill>
                    <a:blip r:embed="rId10"/>
                    <a:stretch>
                      <a:fillRect/>
                    </a:stretch>
                  </pic:blipFill>
                  <pic:spPr>
                    <a:xfrm>
                      <a:off x="0" y="0"/>
                      <a:ext cx="6085205" cy="8607425"/>
                    </a:xfrm>
                    <a:prstGeom prst="rect">
                      <a:avLst/>
                    </a:prstGeom>
                  </pic:spPr>
                </pic:pic>
              </a:graphicData>
            </a:graphic>
          </wp:inline>
        </w:drawing>
      </w:r>
      <w:r>
        <w:rPr>
          <w:rFonts w:hint="eastAsia" w:ascii="宋体" w:hAnsi="宋体" w:eastAsia="宋体" w:cs="宋体"/>
          <w:color w:val="auto"/>
          <w:kern w:val="2"/>
          <w:sz w:val="24"/>
          <w:szCs w:val="24"/>
          <w:highlight w:val="none"/>
          <w:lang w:eastAsia="zh-CN"/>
        </w:rPr>
        <w:drawing>
          <wp:inline distT="0" distB="0" distL="114300" distR="114300">
            <wp:extent cx="6085205" cy="8607425"/>
            <wp:effectExtent l="0" t="0" r="10795" b="3175"/>
            <wp:docPr id="6" name="图片 6" descr="工信部300号文关于印发中小企业划型标准规定的通知 （工信部联企业〔20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信部300号文关于印发中小企业划型标准规定的通知 （工信部联企业〔2011..._04"/>
                    <pic:cNvPicPr>
                      <a:picLocks noChangeAspect="1"/>
                    </pic:cNvPicPr>
                  </pic:nvPicPr>
                  <pic:blipFill>
                    <a:blip r:embed="rId11"/>
                    <a:stretch>
                      <a:fillRect/>
                    </a:stretch>
                  </pic:blipFill>
                  <pic:spPr>
                    <a:xfrm>
                      <a:off x="0" y="0"/>
                      <a:ext cx="6085205" cy="8607425"/>
                    </a:xfrm>
                    <a:prstGeom prst="rect">
                      <a:avLst/>
                    </a:prstGeom>
                  </pic:spPr>
                </pic:pic>
              </a:graphicData>
            </a:graphic>
          </wp:inline>
        </w:drawing>
      </w:r>
    </w:p>
    <w:p w14:paraId="7BF0D327">
      <w:pPr>
        <w:spacing w:line="360" w:lineRule="auto"/>
        <w:jc w:val="center"/>
        <w:outlineLvl w:val="9"/>
        <w:rPr>
          <w:rFonts w:hint="eastAsia" w:ascii="宋体" w:hAnsi="宋体" w:eastAsia="宋体" w:cs="宋体"/>
          <w:b/>
          <w:color w:val="auto"/>
          <w:kern w:val="0"/>
          <w:sz w:val="24"/>
          <w:szCs w:val="28"/>
          <w:highlight w:val="none"/>
        </w:rPr>
      </w:pPr>
      <w:r>
        <w:rPr>
          <w:rFonts w:hint="eastAsia" w:ascii="宋体" w:hAnsi="宋体" w:eastAsia="宋体" w:cs="宋体"/>
          <w:b/>
          <w:color w:val="auto"/>
          <w:kern w:val="0"/>
          <w:sz w:val="24"/>
          <w:szCs w:val="28"/>
          <w:highlight w:val="none"/>
        </w:rPr>
        <w:br w:type="page"/>
      </w:r>
      <w:r>
        <w:rPr>
          <w:rFonts w:hint="eastAsia" w:ascii="宋体" w:hAnsi="宋体" w:eastAsia="宋体" w:cs="宋体"/>
          <w:b/>
          <w:color w:val="auto"/>
          <w:kern w:val="0"/>
          <w:sz w:val="24"/>
          <w:szCs w:val="28"/>
          <w:highlight w:val="none"/>
        </w:rPr>
        <w:t>2、监狱企业证明文件（非监狱企业可不附此表）</w:t>
      </w:r>
    </w:p>
    <w:p w14:paraId="444D06F4">
      <w:pPr>
        <w:spacing w:line="360" w:lineRule="auto"/>
        <w:jc w:val="center"/>
        <w:outlineLvl w:val="9"/>
        <w:rPr>
          <w:rFonts w:hint="eastAsia" w:ascii="宋体" w:hAnsi="宋体" w:eastAsia="宋体" w:cs="宋体"/>
          <w:color w:val="auto"/>
          <w:sz w:val="28"/>
          <w:szCs w:val="30"/>
          <w:highlight w:val="none"/>
        </w:rPr>
      </w:pPr>
    </w:p>
    <w:p w14:paraId="77C4724D">
      <w:pPr>
        <w:spacing w:line="360" w:lineRule="auto"/>
        <w:jc w:val="center"/>
        <w:outlineLvl w:val="9"/>
        <w:rPr>
          <w:rFonts w:hint="eastAsia" w:ascii="宋体" w:hAnsi="宋体" w:eastAsia="宋体" w:cs="宋体"/>
          <w:color w:val="auto"/>
          <w:sz w:val="28"/>
          <w:szCs w:val="30"/>
          <w:highlight w:val="none"/>
        </w:rPr>
      </w:pPr>
      <w:r>
        <w:rPr>
          <w:rFonts w:hint="eastAsia" w:ascii="宋体" w:hAnsi="宋体" w:eastAsia="宋体" w:cs="宋体"/>
          <w:color w:val="auto"/>
          <w:sz w:val="28"/>
          <w:szCs w:val="30"/>
          <w:highlight w:val="none"/>
        </w:rPr>
        <w:t>监狱企业证明文件（参考格式）</w:t>
      </w:r>
    </w:p>
    <w:p w14:paraId="5202E2EE">
      <w:pPr>
        <w:spacing w:line="360" w:lineRule="auto"/>
        <w:outlineLvl w:val="9"/>
        <w:rPr>
          <w:rFonts w:hint="eastAsia" w:ascii="宋体" w:hAnsi="宋体" w:eastAsia="宋体" w:cs="宋体"/>
          <w:color w:val="auto"/>
          <w:sz w:val="30"/>
          <w:szCs w:val="30"/>
          <w:highlight w:val="none"/>
        </w:rPr>
      </w:pPr>
    </w:p>
    <w:p w14:paraId="4D43DD87">
      <w:pPr>
        <w:spacing w:line="360" w:lineRule="auto"/>
        <w:ind w:firstLine="423" w:firstLineChars="168"/>
        <w:outlineLvl w:val="9"/>
        <w:rPr>
          <w:rFonts w:hint="eastAsia" w:ascii="宋体" w:hAnsi="宋体" w:eastAsia="宋体" w:cs="宋体"/>
          <w:color w:val="auto"/>
          <w:spacing w:val="6"/>
          <w:sz w:val="24"/>
          <w:highlight w:val="none"/>
        </w:rPr>
      </w:pPr>
    </w:p>
    <w:p w14:paraId="2BA52928">
      <w:pPr>
        <w:spacing w:line="360" w:lineRule="auto"/>
        <w:ind w:firstLine="423" w:firstLineChars="168"/>
        <w:outlineLvl w:val="9"/>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省级以上监狱管理局、戒毒管理局（含新疆生产建设兵团）出具的属于监狱企业的证明文件。</w:t>
      </w:r>
    </w:p>
    <w:p w14:paraId="3B748CC5">
      <w:pPr>
        <w:spacing w:line="360" w:lineRule="auto"/>
        <w:ind w:firstLine="720" w:firstLineChars="300"/>
        <w:jc w:val="left"/>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注：在响应文件中附扫描件。</w:t>
      </w:r>
    </w:p>
    <w:p w14:paraId="469C8890">
      <w:pPr>
        <w:widowControl/>
        <w:spacing w:line="360" w:lineRule="auto"/>
        <w:jc w:val="left"/>
        <w:outlineLvl w:val="9"/>
        <w:rPr>
          <w:rFonts w:hint="eastAsia" w:ascii="宋体" w:hAnsi="宋体" w:eastAsia="宋体" w:cs="宋体"/>
          <w:color w:val="auto"/>
          <w:highlight w:val="none"/>
        </w:rPr>
      </w:pPr>
    </w:p>
    <w:p w14:paraId="476901CA">
      <w:pPr>
        <w:widowControl/>
        <w:spacing w:line="360" w:lineRule="auto"/>
        <w:jc w:val="left"/>
        <w:outlineLvl w:val="9"/>
        <w:rPr>
          <w:rFonts w:hint="eastAsia" w:ascii="宋体" w:hAnsi="宋体" w:eastAsia="宋体" w:cs="宋体"/>
          <w:color w:val="auto"/>
          <w:highlight w:val="none"/>
        </w:rPr>
      </w:pPr>
    </w:p>
    <w:p w14:paraId="13FB3E93">
      <w:pPr>
        <w:widowControl/>
        <w:spacing w:line="360" w:lineRule="auto"/>
        <w:jc w:val="left"/>
        <w:outlineLvl w:val="9"/>
        <w:rPr>
          <w:rFonts w:hint="eastAsia" w:ascii="宋体" w:hAnsi="宋体" w:eastAsia="宋体" w:cs="宋体"/>
          <w:color w:val="auto"/>
          <w:highlight w:val="none"/>
        </w:rPr>
      </w:pPr>
    </w:p>
    <w:p w14:paraId="63597A1D">
      <w:pPr>
        <w:widowControl/>
        <w:spacing w:line="360" w:lineRule="auto"/>
        <w:jc w:val="left"/>
        <w:outlineLvl w:val="9"/>
        <w:rPr>
          <w:rFonts w:hint="eastAsia" w:ascii="宋体" w:hAnsi="宋体" w:eastAsia="宋体" w:cs="宋体"/>
          <w:color w:val="auto"/>
          <w:highlight w:val="none"/>
        </w:rPr>
      </w:pPr>
    </w:p>
    <w:p w14:paraId="7B95F12C">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4892B03E">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1E4285BB">
      <w:pPr>
        <w:widowControl/>
        <w:spacing w:line="360" w:lineRule="auto"/>
        <w:jc w:val="center"/>
        <w:outlineLvl w:val="9"/>
        <w:rPr>
          <w:rFonts w:hint="eastAsia" w:ascii="宋体" w:hAnsi="宋体" w:eastAsia="宋体" w:cs="宋体"/>
          <w:b/>
          <w:color w:val="auto"/>
          <w:kern w:val="0"/>
          <w:sz w:val="28"/>
          <w:szCs w:val="28"/>
          <w:highlight w:val="none"/>
        </w:rPr>
      </w:pPr>
      <w:r>
        <w:rPr>
          <w:rFonts w:hint="eastAsia" w:ascii="宋体" w:hAnsi="宋体" w:eastAsia="宋体" w:cs="宋体"/>
          <w:color w:val="auto"/>
          <w:highlight w:val="none"/>
        </w:rPr>
        <w:br w:type="page"/>
      </w:r>
      <w:r>
        <w:rPr>
          <w:rFonts w:hint="eastAsia" w:ascii="宋体" w:hAnsi="宋体" w:eastAsia="宋体" w:cs="宋体"/>
          <w:b/>
          <w:color w:val="auto"/>
          <w:kern w:val="0"/>
          <w:sz w:val="24"/>
          <w:szCs w:val="28"/>
          <w:highlight w:val="none"/>
        </w:rPr>
        <w:t>3、残疾人福利性单位声明函（非残疾人福利性单位可不附此表）</w:t>
      </w:r>
    </w:p>
    <w:p w14:paraId="66A40BF9">
      <w:pPr>
        <w:spacing w:line="360" w:lineRule="auto"/>
        <w:outlineLvl w:val="9"/>
        <w:rPr>
          <w:rFonts w:hint="eastAsia" w:ascii="宋体" w:hAnsi="宋体" w:eastAsia="宋体" w:cs="宋体"/>
          <w:b/>
          <w:color w:val="auto"/>
          <w:spacing w:val="6"/>
          <w:sz w:val="32"/>
          <w:szCs w:val="32"/>
          <w:highlight w:val="none"/>
        </w:rPr>
      </w:pPr>
    </w:p>
    <w:p w14:paraId="3FB97C2D">
      <w:pPr>
        <w:spacing w:line="360" w:lineRule="auto"/>
        <w:jc w:val="center"/>
        <w:outlineLvl w:val="9"/>
        <w:rPr>
          <w:rFonts w:hint="eastAsia" w:ascii="宋体" w:hAnsi="宋体" w:eastAsia="宋体" w:cs="宋体"/>
          <w:b/>
          <w:color w:val="auto"/>
          <w:spacing w:val="6"/>
          <w:sz w:val="28"/>
          <w:szCs w:val="32"/>
          <w:highlight w:val="none"/>
        </w:rPr>
      </w:pPr>
      <w:r>
        <w:rPr>
          <w:rFonts w:hint="eastAsia" w:ascii="宋体" w:hAnsi="宋体" w:eastAsia="宋体" w:cs="宋体"/>
          <w:b/>
          <w:color w:val="auto"/>
          <w:spacing w:val="6"/>
          <w:sz w:val="28"/>
          <w:szCs w:val="32"/>
          <w:highlight w:val="none"/>
        </w:rPr>
        <w:t>残疾人福利性单位声明函</w:t>
      </w:r>
    </w:p>
    <w:p w14:paraId="6943A656">
      <w:pPr>
        <w:spacing w:line="360" w:lineRule="auto"/>
        <w:outlineLvl w:val="9"/>
        <w:rPr>
          <w:rFonts w:hint="eastAsia" w:ascii="宋体" w:hAnsi="宋体" w:eastAsia="宋体" w:cs="宋体"/>
          <w:b/>
          <w:color w:val="auto"/>
          <w:spacing w:val="6"/>
          <w:sz w:val="30"/>
          <w:szCs w:val="30"/>
          <w:highlight w:val="none"/>
        </w:rPr>
      </w:pPr>
    </w:p>
    <w:p w14:paraId="2B1E236A">
      <w:pPr>
        <w:snapToGrid w:val="0"/>
        <w:spacing w:line="360" w:lineRule="auto"/>
        <w:ind w:left="1177" w:leftChars="-72" w:right="84" w:rightChars="40" w:hanging="1328" w:hangingChars="415"/>
        <w:jc w:val="center"/>
        <w:outlineLvl w:val="9"/>
        <w:rPr>
          <w:rFonts w:hint="eastAsia" w:ascii="宋体" w:hAnsi="宋体" w:eastAsia="宋体" w:cs="宋体"/>
          <w:color w:val="auto"/>
          <w:sz w:val="32"/>
          <w:szCs w:val="32"/>
          <w:highlight w:val="none"/>
        </w:rPr>
      </w:pPr>
    </w:p>
    <w:p w14:paraId="338AB251">
      <w:pPr>
        <w:adjustRightInd w:val="0"/>
        <w:snapToGrid w:val="0"/>
        <w:spacing w:line="360" w:lineRule="auto"/>
        <w:ind w:firstLine="504" w:firstLineChars="200"/>
        <w:outlineLvl w:val="9"/>
        <w:rPr>
          <w:rFonts w:hint="eastAsia" w:ascii="宋体" w:hAnsi="宋体" w:eastAsia="宋体" w:cs="宋体"/>
          <w:color w:val="auto"/>
          <w:spacing w:val="6"/>
          <w:sz w:val="24"/>
          <w:szCs w:val="24"/>
          <w:highlight w:val="none"/>
          <w:shd w:val="clear" w:color="auto" w:fill="FFFFFF"/>
        </w:rPr>
      </w:pPr>
      <w:r>
        <w:rPr>
          <w:rFonts w:hint="eastAsia" w:ascii="宋体" w:hAnsi="宋体" w:eastAsia="宋体" w:cs="宋体"/>
          <w:color w:val="auto"/>
          <w:spacing w:val="6"/>
          <w:sz w:val="24"/>
          <w:szCs w:val="24"/>
          <w:highlight w:val="none"/>
          <w:shd w:val="clear" w:color="auto" w:fill="FFFFFF"/>
        </w:rPr>
        <w:t>本单位郑重声明，根据《财政部 民政部 中国残疾人联合会关于促进残疾人就业政府采购政策的通知》（财库〔2017〕 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41A937FC">
      <w:pPr>
        <w:spacing w:line="360" w:lineRule="auto"/>
        <w:ind w:firstLine="480" w:firstLineChars="200"/>
        <w:outlineLvl w:val="9"/>
        <w:rPr>
          <w:rFonts w:hint="eastAsia" w:ascii="宋体" w:hAnsi="宋体" w:eastAsia="宋体" w:cs="宋体"/>
          <w:b/>
          <w:bCs/>
          <w:color w:val="auto"/>
          <w:sz w:val="32"/>
          <w:szCs w:val="32"/>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53523346">
      <w:pPr>
        <w:spacing w:line="360" w:lineRule="auto"/>
        <w:jc w:val="center"/>
        <w:outlineLvl w:val="9"/>
        <w:rPr>
          <w:rFonts w:hint="eastAsia" w:ascii="宋体" w:hAnsi="宋体" w:eastAsia="宋体" w:cs="宋体"/>
          <w:b/>
          <w:bCs/>
          <w:color w:val="auto"/>
          <w:sz w:val="32"/>
          <w:szCs w:val="32"/>
          <w:highlight w:val="none"/>
        </w:rPr>
      </w:pPr>
    </w:p>
    <w:p w14:paraId="4D4A2411">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78EF9E32">
      <w:pPr>
        <w:spacing w:line="360" w:lineRule="auto"/>
        <w:ind w:firstLine="480" w:firstLineChars="200"/>
        <w:outlineLvl w:val="9"/>
        <w:rPr>
          <w:rFonts w:hint="eastAsia" w:ascii="宋体" w:hAnsi="宋体" w:eastAsia="宋体" w:cs="宋体"/>
          <w:color w:val="auto"/>
          <w:highlight w:val="none"/>
        </w:rPr>
      </w:pPr>
      <w:r>
        <w:rPr>
          <w:rFonts w:hint="eastAsia" w:ascii="宋体" w:hAnsi="宋体" w:eastAsia="宋体" w:cs="宋体"/>
          <w:color w:val="auto"/>
          <w:sz w:val="24"/>
          <w:szCs w:val="24"/>
          <w:highlight w:val="none"/>
        </w:rPr>
        <w:t>日期：</w:t>
      </w:r>
      <w:bookmarkStart w:id="400" w:name="_Toc2193"/>
      <w:bookmarkEnd w:id="400"/>
    </w:p>
    <w:p w14:paraId="395BFEC9"/>
    <w:sectPr>
      <w:footerReference r:id="rId5" w:type="default"/>
      <w:pgSz w:w="11906" w:h="16838"/>
      <w:pgMar w:top="1361" w:right="1134" w:bottom="1247" w:left="1134" w:header="680" w:footer="624"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华文宋体">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4EBE1">
    <w:pPr>
      <w:pStyle w:val="12"/>
      <w:ind w:right="360"/>
      <w:rPr>
        <w:rFonts w:hint="eastAsia"/>
      </w:rPr>
    </w:pPr>
  </w:p>
  <w:p w14:paraId="45F31FC7">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5D480">
    <w:pPr>
      <w:pStyle w:val="12"/>
      <w:ind w:right="36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956CE6">
                          <w:pPr>
                            <w:pStyle w:val="12"/>
                          </w:pPr>
                          <w:r>
                            <w:t xml:space="preserve">第 </w:t>
                          </w:r>
                          <w:r>
                            <w:fldChar w:fldCharType="begin"/>
                          </w:r>
                          <w:r>
                            <w:instrText xml:space="preserve"> PAGE  \* MERGEFORMAT </w:instrText>
                          </w:r>
                          <w:r>
                            <w:fldChar w:fldCharType="separate"/>
                          </w:r>
                          <w:r>
                            <w:t>3</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9956CE6">
                    <w:pPr>
                      <w:pStyle w:val="12"/>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B822E">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792C9"/>
    <w:multiLevelType w:val="singleLevel"/>
    <w:tmpl w:val="85F792C9"/>
    <w:lvl w:ilvl="0" w:tentative="0">
      <w:start w:val="2"/>
      <w:numFmt w:val="decimal"/>
      <w:suff w:val="nothing"/>
      <w:lvlText w:val="%1、"/>
      <w:lvlJc w:val="left"/>
    </w:lvl>
  </w:abstractNum>
  <w:abstractNum w:abstractNumId="1">
    <w:nsid w:val="B671A952"/>
    <w:multiLevelType w:val="singleLevel"/>
    <w:tmpl w:val="B671A952"/>
    <w:lvl w:ilvl="0" w:tentative="0">
      <w:start w:val="1"/>
      <w:numFmt w:val="decimal"/>
      <w:suff w:val="nothing"/>
      <w:lvlText w:val="%1、"/>
      <w:lvlJc w:val="left"/>
    </w:lvl>
  </w:abstractNum>
  <w:abstractNum w:abstractNumId="2">
    <w:nsid w:val="C96AF910"/>
    <w:multiLevelType w:val="singleLevel"/>
    <w:tmpl w:val="C96AF910"/>
    <w:lvl w:ilvl="0" w:tentative="0">
      <w:start w:val="4"/>
      <w:numFmt w:val="chineseCounting"/>
      <w:suff w:val="nothing"/>
      <w:lvlText w:val="%1、"/>
      <w:lvlJc w:val="left"/>
      <w:rPr>
        <w:rFonts w:hint="eastAsia"/>
      </w:rPr>
    </w:lvl>
  </w:abstractNum>
  <w:abstractNum w:abstractNumId="3">
    <w:nsid w:val="F2D15DB4"/>
    <w:multiLevelType w:val="singleLevel"/>
    <w:tmpl w:val="F2D15DB4"/>
    <w:lvl w:ilvl="0" w:tentative="0">
      <w:start w:val="1"/>
      <w:numFmt w:val="decimal"/>
      <w:suff w:val="nothing"/>
      <w:lvlText w:val="%1、"/>
      <w:lvlJc w:val="left"/>
    </w:lvl>
  </w:abstractNum>
  <w:abstractNum w:abstractNumId="4">
    <w:nsid w:val="076C859D"/>
    <w:multiLevelType w:val="singleLevel"/>
    <w:tmpl w:val="076C859D"/>
    <w:lvl w:ilvl="0" w:tentative="0">
      <w:start w:val="4"/>
      <w:numFmt w:val="chineseCounting"/>
      <w:suff w:val="nothing"/>
      <w:lvlText w:val="（%1）"/>
      <w:lvlJc w:val="left"/>
      <w:rPr>
        <w:rFonts w:hint="eastAsia"/>
      </w:rPr>
    </w:lvl>
  </w:abstractNum>
  <w:abstractNum w:abstractNumId="5">
    <w:nsid w:val="1B0115EE"/>
    <w:multiLevelType w:val="singleLevel"/>
    <w:tmpl w:val="1B0115EE"/>
    <w:lvl w:ilvl="0" w:tentative="0">
      <w:start w:val="1"/>
      <w:numFmt w:val="decimal"/>
      <w:lvlText w:val="%1."/>
      <w:lvlJc w:val="left"/>
      <w:pPr>
        <w:ind w:left="425" w:hanging="425"/>
      </w:pPr>
      <w:rPr>
        <w:rFonts w:hint="default"/>
      </w:rPr>
    </w:lvl>
  </w:abstractNum>
  <w:abstractNum w:abstractNumId="6">
    <w:nsid w:val="33337DC9"/>
    <w:multiLevelType w:val="singleLevel"/>
    <w:tmpl w:val="33337DC9"/>
    <w:lvl w:ilvl="0" w:tentative="0">
      <w:start w:val="2"/>
      <w:numFmt w:val="decimal"/>
      <w:lvlText w:val="%1."/>
      <w:lvlJc w:val="left"/>
      <w:pPr>
        <w:tabs>
          <w:tab w:val="left" w:pos="312"/>
        </w:tabs>
      </w:pPr>
    </w:lvl>
  </w:abstractNum>
  <w:abstractNum w:abstractNumId="7">
    <w:nsid w:val="554135D1"/>
    <w:multiLevelType w:val="singleLevel"/>
    <w:tmpl w:val="554135D1"/>
    <w:lvl w:ilvl="0" w:tentative="0">
      <w:start w:val="1"/>
      <w:numFmt w:val="decimal"/>
      <w:suff w:val="nothing"/>
      <w:lvlText w:val="%1、"/>
      <w:lvlJc w:val="left"/>
    </w:lvl>
  </w:abstractNum>
  <w:num w:numId="1">
    <w:abstractNumId w:val="5"/>
  </w:num>
  <w:num w:numId="2">
    <w:abstractNumId w:val="7"/>
  </w:num>
  <w:num w:numId="3">
    <w:abstractNumId w:val="1"/>
  </w:num>
  <w:num w:numId="4">
    <w:abstractNumId w:val="3"/>
  </w:num>
  <w:num w:numId="5">
    <w:abstractNumId w:val="2"/>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E6810"/>
    <w:rsid w:val="00CD4DD2"/>
    <w:rsid w:val="01115B19"/>
    <w:rsid w:val="0293255D"/>
    <w:rsid w:val="02E903CF"/>
    <w:rsid w:val="060B15CC"/>
    <w:rsid w:val="07560BFA"/>
    <w:rsid w:val="0A204FA8"/>
    <w:rsid w:val="0C8B5578"/>
    <w:rsid w:val="0D044784"/>
    <w:rsid w:val="0F305BDE"/>
    <w:rsid w:val="11AE1162"/>
    <w:rsid w:val="151237B6"/>
    <w:rsid w:val="179130B8"/>
    <w:rsid w:val="1CA92C52"/>
    <w:rsid w:val="1D383FD6"/>
    <w:rsid w:val="1DAF24EA"/>
    <w:rsid w:val="1FBB33C8"/>
    <w:rsid w:val="205D7174"/>
    <w:rsid w:val="255A45B0"/>
    <w:rsid w:val="26356EEC"/>
    <w:rsid w:val="2705317A"/>
    <w:rsid w:val="2B00050B"/>
    <w:rsid w:val="2DBD719F"/>
    <w:rsid w:val="2FCE2CA3"/>
    <w:rsid w:val="2FD66DC4"/>
    <w:rsid w:val="30F71D86"/>
    <w:rsid w:val="39B12CEE"/>
    <w:rsid w:val="3B6225C2"/>
    <w:rsid w:val="3B6C15C2"/>
    <w:rsid w:val="3DF35237"/>
    <w:rsid w:val="3F4F7231"/>
    <w:rsid w:val="3F56036D"/>
    <w:rsid w:val="3F850EA5"/>
    <w:rsid w:val="40ED2B12"/>
    <w:rsid w:val="45A9275C"/>
    <w:rsid w:val="492730D6"/>
    <w:rsid w:val="4A1443F0"/>
    <w:rsid w:val="55F04E72"/>
    <w:rsid w:val="56386671"/>
    <w:rsid w:val="572A61EA"/>
    <w:rsid w:val="573C40E7"/>
    <w:rsid w:val="5A3317D1"/>
    <w:rsid w:val="60AF37B1"/>
    <w:rsid w:val="653B3C30"/>
    <w:rsid w:val="6609788A"/>
    <w:rsid w:val="676034DA"/>
    <w:rsid w:val="67DB497D"/>
    <w:rsid w:val="6C5D1008"/>
    <w:rsid w:val="6D94212F"/>
    <w:rsid w:val="70D94A29"/>
    <w:rsid w:val="72C870ED"/>
    <w:rsid w:val="72CA214F"/>
    <w:rsid w:val="7332494C"/>
    <w:rsid w:val="734A1F2E"/>
    <w:rsid w:val="73BC5F3C"/>
    <w:rsid w:val="78F80CE8"/>
    <w:rsid w:val="7E1F6B85"/>
    <w:rsid w:val="7E6023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99"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sz w:val="32"/>
    </w:rPr>
  </w:style>
  <w:style w:type="character" w:default="1" w:styleId="19">
    <w:name w:val="Default Paragraph Font"/>
    <w:semiHidden/>
    <w:qFormat/>
    <w:uiPriority w:val="0"/>
  </w:style>
  <w:style w:type="table" w:default="1" w:styleId="17">
    <w:name w:val="Normal Table"/>
    <w:semiHidden/>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Salutation"/>
    <w:basedOn w:val="1"/>
    <w:next w:val="1"/>
    <w:unhideWhenUsed/>
    <w:qFormat/>
    <w:uiPriority w:val="99"/>
    <w:rPr>
      <w:rFonts w:ascii="宋体" w:hAnsi="宋体" w:eastAsia="仿宋_GB2312" w:cs="Times New Roman"/>
      <w:kern w:val="0"/>
      <w:sz w:val="20"/>
      <w:szCs w:val="21"/>
    </w:rPr>
  </w:style>
  <w:style w:type="paragraph" w:styleId="5">
    <w:name w:val="Body Text"/>
    <w:basedOn w:val="1"/>
    <w:next w:val="6"/>
    <w:qFormat/>
    <w:uiPriority w:val="0"/>
    <w:pPr>
      <w:spacing w:after="120"/>
    </w:pPr>
  </w:style>
  <w:style w:type="paragraph" w:customStyle="1" w:styleId="6">
    <w:name w:val="style4"/>
    <w:basedOn w:val="1"/>
    <w:next w:val="7"/>
    <w:qFormat/>
    <w:uiPriority w:val="0"/>
    <w:pPr>
      <w:widowControl/>
      <w:autoSpaceDE/>
      <w:autoSpaceDN/>
      <w:spacing w:before="280" w:after="280"/>
      <w:jc w:val="both"/>
    </w:pPr>
    <w:rPr>
      <w:sz w:val="18"/>
    </w:rPr>
  </w:style>
  <w:style w:type="paragraph" w:customStyle="1" w:styleId="7">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styleId="8">
    <w:name w:val="Body Text Indent"/>
    <w:basedOn w:val="1"/>
    <w:next w:val="9"/>
    <w:unhideWhenUsed/>
    <w:qFormat/>
    <w:uiPriority w:val="99"/>
    <w:pPr>
      <w:spacing w:after="120"/>
      <w:ind w:left="420" w:leftChars="200"/>
    </w:pPr>
  </w:style>
  <w:style w:type="paragraph" w:styleId="9">
    <w:name w:val="envelope return"/>
    <w:basedOn w:val="1"/>
    <w:unhideWhenUsed/>
    <w:qFormat/>
    <w:uiPriority w:val="99"/>
    <w:pPr>
      <w:snapToGrid w:val="0"/>
    </w:pPr>
    <w:rPr>
      <w:rFonts w:ascii="等线 Light" w:hAnsi="等线 Light" w:eastAsia="等线 Light" w:cs="Times New Roman"/>
    </w:rPr>
  </w:style>
  <w:style w:type="paragraph" w:styleId="10">
    <w:name w:val="Plain Text"/>
    <w:basedOn w:val="1"/>
    <w:next w:val="11"/>
    <w:unhideWhenUsed/>
    <w:qFormat/>
    <w:uiPriority w:val="99"/>
    <w:rPr>
      <w:rFonts w:ascii="宋体" w:hAnsi="Courier New" w:eastAsia="华文宋体"/>
      <w:szCs w:val="20"/>
    </w:rPr>
  </w:style>
  <w:style w:type="paragraph" w:styleId="11">
    <w:name w:val="index 9"/>
    <w:basedOn w:val="1"/>
    <w:next w:val="1"/>
    <w:qFormat/>
    <w:uiPriority w:val="99"/>
    <w:pPr>
      <w:ind w:left="3360"/>
    </w:pPr>
    <w:rPr>
      <w:rFonts w:cs="等线"/>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rPr>
      <w:rFonts w:ascii="Times New Roman" w:hAnsi="Times New Roman" w:eastAsia="宋体" w:cs="Times New Roman"/>
    </w:rPr>
  </w:style>
  <w:style w:type="paragraph" w:styleId="15">
    <w:name w:val="Body Text First Indent"/>
    <w:basedOn w:val="5"/>
    <w:next w:val="16"/>
    <w:qFormat/>
    <w:uiPriority w:val="0"/>
    <w:pPr>
      <w:spacing w:line="360" w:lineRule="auto"/>
      <w:ind w:firstLine="420"/>
    </w:pPr>
    <w:rPr>
      <w:rFonts w:eastAsia="Arial Unicode MS"/>
      <w:color w:val="000000"/>
      <w:sz w:val="28"/>
      <w:szCs w:val="28"/>
    </w:rPr>
  </w:style>
  <w:style w:type="paragraph" w:styleId="16">
    <w:name w:val="Body Text First Indent 2"/>
    <w:basedOn w:val="8"/>
    <w:next w:val="1"/>
    <w:qFormat/>
    <w:uiPriority w:val="0"/>
    <w:pPr>
      <w:ind w:firstLine="420" w:firstLineChars="200"/>
    </w:pPr>
    <w:rPr>
      <w:rFonts w:ascii="Times New Roman"/>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样式 标题 2 + Times New Roman 四号 非加粗 段前: 5 磅 段后: 0 磅 行距: 固定值 20..."/>
    <w:basedOn w:val="2"/>
    <w:qFormat/>
    <w:uiPriority w:val="0"/>
    <w:pPr>
      <w:spacing w:before="100" w:line="400" w:lineRule="exact"/>
    </w:pPr>
    <w:rPr>
      <w:rFonts w:ascii="Times New Roman" w:hAnsi="Times New Roman"/>
      <w:b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23445</Words>
  <Characters>25601</Characters>
  <Lines>0</Lines>
  <Paragraphs>0</Paragraphs>
  <TotalTime>83</TotalTime>
  <ScaleCrop>false</ScaleCrop>
  <LinksUpToDate>false</LinksUpToDate>
  <CharactersWithSpaces>25773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2026-01-15T06:37:00Z</dcterms:created>
  <dc:creator>Administrator</dc:creator>
  <cp:lastModifiedBy>三门峡</cp:lastModifiedBy>
  <dcterms:modified xsi:type="dcterms:W3CDTF">2026-04-27T06:32:05Z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eyJoZGlkIjoiNDcxMzcxMzNkMjI2MDZlYjUwOWVmOGNkY2Q5NjE5ZjMiLCJ1c2VySWQiOiIxOTcyOTQ0NSJ9</vt:lpwstr>
  </property>
  <property fmtid="{D5CDD505-2E9C-101B-9397-08002B2CF9AE}" pid="4" name="ICV">
    <vt:lpwstr>38ABBDB8DE5A4A129F06AEC5A325D3C8_12</vt:lpwstr>
  </property>
</Properties>
</file>