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196" w:name="_GoBack"/>
      <w:bookmarkEnd w:id="196"/>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陕州区永久基本农田年度评估调整项目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069AC8BC">
      <w:pPr>
        <w:spacing w:line="360" w:lineRule="auto"/>
        <w:rPr>
          <w:rFonts w:hint="eastAsia" w:ascii="宋体" w:hAnsi="宋体" w:eastAsia="宋体" w:cs="宋体"/>
          <w:b/>
          <w:bCs/>
          <w:color w:val="000000" w:themeColor="text1"/>
          <w:sz w:val="56"/>
          <w:szCs w:val="56"/>
          <w14:textFill>
            <w14:solidFill>
              <w14:schemeClr w14:val="tx1"/>
            </w14:solidFill>
          </w14:textFill>
        </w:rPr>
      </w:pPr>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0" w:name="_Toc303"/>
      <w:bookmarkStart w:id="1" w:name="_Toc8687"/>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1"/>
        <w:rPr>
          <w:rFonts w:hint="eastAsia" w:ascii="宋体" w:hAnsi="宋体" w:eastAsia="宋体" w:cs="宋体"/>
          <w:sz w:val="24"/>
          <w:szCs w:val="24"/>
        </w:rPr>
      </w:pPr>
    </w:p>
    <w:p w14:paraId="31B6FD1B">
      <w:pPr>
        <w:pStyle w:val="6"/>
        <w:ind w:left="0" w:leftChars="0"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r>
        <w:rPr>
          <w:rFonts w:hint="eastAsia" w:hAnsi="宋体" w:eastAsia="宋体" w:cs="宋体"/>
          <w:color w:val="000000" w:themeColor="text1"/>
          <w:sz w:val="28"/>
          <w:szCs w:val="28"/>
          <w:highlight w:val="none"/>
          <w:lang w:eastAsia="zh-CN"/>
          <w14:textFill>
            <w14:solidFill>
              <w14:schemeClr w14:val="tx1"/>
            </w14:solidFill>
          </w14:textFill>
        </w:rPr>
        <w:t>陕州竞磋采购-2026-23、SZGZ[2026]049-ZC040</w:t>
      </w:r>
    </w:p>
    <w:p w14:paraId="1FF2340C">
      <w:pPr>
        <w:pStyle w:val="6"/>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2"/>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2"/>
        <w:rPr>
          <w:rFonts w:hint="eastAsia" w:ascii="宋体" w:hAnsi="宋体" w:eastAsia="宋体" w:cs="宋体"/>
          <w:sz w:val="24"/>
          <w:szCs w:val="24"/>
          <w:lang w:val="en-US" w:eastAsia="zh-CN"/>
        </w:rPr>
      </w:pPr>
    </w:p>
    <w:p w14:paraId="64F172D7">
      <w:pPr>
        <w:pStyle w:val="11"/>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2" w:name="_Toc19549"/>
      <w:bookmarkStart w:id="3" w:name="_Toc684"/>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三门峡市陕州区自然资源局</w:t>
      </w:r>
      <w:bookmarkEnd w:id="2"/>
      <w:bookmarkEnd w:id="3"/>
    </w:p>
    <w:p w14:paraId="56B35649">
      <w:pPr>
        <w:ind w:leftChars="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w:t>
      </w:r>
      <w:r>
        <w:rPr>
          <w:rFonts w:hint="eastAsia" w:ascii="宋体" w:hAnsi="宋体" w:eastAsia="宋体" w:cs="宋体"/>
          <w:color w:val="000000" w:themeColor="text1"/>
          <w:sz w:val="28"/>
          <w:szCs w:val="28"/>
          <w:lang w:eastAsia="zh-CN"/>
          <w14:textFill>
            <w14:solidFill>
              <w14:schemeClr w14:val="tx1"/>
            </w14:solidFill>
          </w14:textFill>
        </w:rPr>
        <w:t>中赋安工程项目管理(四川)有限公司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二〇二六年四月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14"/>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rPr>
            <w:t>技术要求以及相关服务内容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14"/>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2"/>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1"/>
        <w:rPr>
          <w:rFonts w:hint="eastAsia" w:ascii="宋体" w:hAnsi="宋体" w:eastAsia="宋体" w:cs="宋体"/>
          <w:sz w:val="24"/>
          <w:szCs w:val="24"/>
          <w:lang w:eastAsia="zh-CN"/>
        </w:rPr>
      </w:pPr>
    </w:p>
    <w:p w14:paraId="712B8644">
      <w:pPr>
        <w:pStyle w:val="3"/>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9"/>
        <w:bidi w:val="0"/>
        <w:jc w:val="center"/>
        <w:rPr>
          <w:rFonts w:hint="eastAsia"/>
        </w:rPr>
      </w:pPr>
      <w:bookmarkStart w:id="4" w:name="_Toc109675032"/>
      <w:bookmarkStart w:id="5" w:name="_Toc145065216"/>
      <w:bookmarkStart w:id="6" w:name="_Toc18375"/>
      <w:bookmarkStart w:id="7" w:name="_Toc145065050"/>
      <w:bookmarkStart w:id="8" w:name="_Toc29124"/>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陕州区永久基本农田年度评估调整项目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2026年5月12日8时20分</w:t>
      </w:r>
      <w:r>
        <w:rPr>
          <w:rFonts w:hint="eastAsia" w:ascii="宋体" w:hAnsi="宋体" w:eastAsia="宋体" w:cs="宋体"/>
          <w:color w:val="000000" w:themeColor="text1"/>
          <w:sz w:val="24"/>
          <w:szCs w:val="24"/>
          <w:highlight w:val="none"/>
          <w14:textFill>
            <w14:solidFill>
              <w14:schemeClr w14:val="tx1"/>
            </w14:solidFill>
          </w14:textFill>
        </w:rPr>
        <w:t>（北京时间）前递交响应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陕州竞磋采购-2026-23、SZGZ[2026]049-ZC040</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陕州区永久基本农田年度评估调整项目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380000.00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380000.00元</w:t>
      </w:r>
    </w:p>
    <w:tbl>
      <w:tblPr>
        <w:tblStyle w:val="17"/>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SZGZ[2026]049-ZC040</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陕州区永久基本农田年度评估调整项目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380000.00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380000.00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380000.00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陕州区永久基本农田年度评估调整项目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通过资料收集、整合分析、图斑提取与评价、外业核实、报告编制与成果提交等工作，掌握永久基本农田实际状况、识别问题地块、提出优化建议。具</w:t>
      </w:r>
      <w:r>
        <w:rPr>
          <w:rFonts w:hint="eastAsia" w:ascii="宋体" w:hAnsi="宋体" w:eastAsia="宋体" w:cs="宋体"/>
          <w:color w:val="000000" w:themeColor="text1"/>
          <w:sz w:val="24"/>
          <w:szCs w:val="24"/>
          <w14:textFill>
            <w14:solidFill>
              <w14:schemeClr w14:val="tx1"/>
            </w14:solidFill>
          </w14:textFill>
        </w:rPr>
        <w:t>体相关内容详见</w:t>
      </w:r>
      <w:r>
        <w:rPr>
          <w:rFonts w:hint="eastAsia" w:ascii="宋体" w:hAnsi="宋体" w:eastAsia="宋体" w:cs="宋体"/>
          <w:color w:val="000000" w:themeColor="text1"/>
          <w:sz w:val="24"/>
          <w:szCs w:val="24"/>
          <w:lang w:val="en-US" w:eastAsia="zh-CN"/>
          <w14:textFill>
            <w14:solidFill>
              <w14:schemeClr w14:val="tx1"/>
            </w14:solidFill>
          </w14:textFill>
        </w:rPr>
        <w:t>第三章</w:t>
      </w:r>
      <w:r>
        <w:rPr>
          <w:rFonts w:hint="eastAsia" w:ascii="宋体" w:hAnsi="宋体" w:eastAsia="宋体" w:cs="宋体"/>
          <w:color w:val="000000" w:themeColor="text1"/>
          <w:sz w:val="24"/>
          <w:szCs w:val="24"/>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.3服务期</w:t>
      </w:r>
      <w:r>
        <w:rPr>
          <w:rFonts w:hint="eastAsia" w:ascii="宋体" w:hAnsi="宋体" w:eastAsia="宋体" w:cs="宋体"/>
          <w:color w:val="000000" w:themeColor="text1"/>
          <w:sz w:val="24"/>
          <w:szCs w:val="24"/>
          <w:highlight w:val="none"/>
          <w:lang w:val="en-US" w:eastAsia="zh-CN"/>
          <w14:textFill>
            <w14:solidFill>
              <w14:schemeClr w14:val="tx1"/>
            </w14:solidFill>
          </w14:textFill>
        </w:rPr>
        <w:t>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lang w:val="en-US" w:eastAsia="zh-CN"/>
        </w:rPr>
        <w:t>30日历天</w:t>
      </w:r>
      <w:r>
        <w:rPr>
          <w:rFonts w:hint="eastAsia" w:ascii="宋体" w:hAnsi="宋体" w:eastAsia="宋体" w:cs="宋体"/>
          <w:color w:val="000000" w:themeColor="text1"/>
          <w:sz w:val="24"/>
          <w:szCs w:val="24"/>
          <w:highlight w:val="none"/>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eastAsia="zh-CN"/>
          <w14:textFill>
            <w14:solidFill>
              <w14:schemeClr w14:val="tx1"/>
            </w14:solidFill>
          </w14:textFill>
        </w:rPr>
        <w:t>供应商须具备行政主管部门颁发的测绘乙级及以上资质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2026年4月30日至2026年5月11日，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color w:val="000000" w:themeColor="text1"/>
          <w:sz w:val="24"/>
          <w:szCs w:val="24"/>
          <w14:textFill>
            <w14:solidFill>
              <w14:schemeClr w14:val="tx1"/>
            </w14:solidFill>
          </w14:textFill>
        </w:rPr>
        <w:t>。</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2026年5月12日8时20分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2026年5月12日8时20分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2、采购人：三门峡市陕州区自然资源局</w:t>
      </w:r>
      <w:bookmarkEnd w:id="27"/>
    </w:p>
    <w:p w14:paraId="190DF7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r>
        <w:rPr>
          <w:rFonts w:hint="eastAsia" w:ascii="宋体" w:hAnsi="宋体" w:eastAsia="宋体" w:cs="宋体"/>
          <w:color w:val="000000"/>
          <w:kern w:val="0"/>
          <w:sz w:val="24"/>
          <w:szCs w:val="24"/>
          <w:lang w:val="en-US" w:eastAsia="zh-CN" w:bidi="ar-SA"/>
        </w:rPr>
        <w:t>三门峡市陕州区高阳路与永乐街交叉口向西</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9" w:name="_Toc18871"/>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卢女士</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15939803116</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w:t>
      </w:r>
      <w:bookmarkEnd w:id="31"/>
      <w:r>
        <w:rPr>
          <w:rFonts w:hint="eastAsia" w:ascii="宋体" w:hAnsi="宋体" w:eastAsia="宋体" w:cs="宋体"/>
          <w:color w:val="000000"/>
          <w:kern w:val="0"/>
          <w:sz w:val="24"/>
          <w:szCs w:val="24"/>
          <w:lang w:val="en-US" w:eastAsia="zh-CN" w:bidi="ar-SA"/>
        </w:rPr>
        <w:t>中赋安工程项目管理(四川)有限公司</w:t>
      </w:r>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址：四川省成都市武侯区锦绣路1号1栋8层814号</w:t>
      </w:r>
      <w:bookmarkEnd w:id="32"/>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w:t>
      </w:r>
      <w:bookmarkEnd w:id="33"/>
      <w:r>
        <w:rPr>
          <w:rFonts w:hint="eastAsia" w:ascii="宋体" w:hAnsi="宋体" w:eastAsia="宋体" w:cs="宋体"/>
          <w:color w:val="000000"/>
          <w:kern w:val="0"/>
          <w:sz w:val="24"/>
          <w:szCs w:val="24"/>
          <w:lang w:val="en-US" w:eastAsia="zh-CN" w:bidi="ar-SA"/>
        </w:rPr>
        <w:t>刘广华</w:t>
      </w:r>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w:t>
      </w:r>
      <w:bookmarkEnd w:id="34"/>
      <w:r>
        <w:rPr>
          <w:rFonts w:hint="eastAsia" w:ascii="宋体" w:hAnsi="宋体" w:eastAsia="宋体" w:cs="宋体"/>
          <w:color w:val="000000"/>
          <w:kern w:val="0"/>
          <w:sz w:val="24"/>
          <w:szCs w:val="24"/>
          <w:lang w:val="en-US" w:eastAsia="zh-CN" w:bidi="ar-SA"/>
        </w:rPr>
        <w:t>18639784773</w:t>
      </w:r>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w:t>
      </w:r>
      <w:bookmarkEnd w:id="36"/>
      <w:r>
        <w:rPr>
          <w:rFonts w:hint="eastAsia" w:ascii="宋体" w:hAnsi="宋体" w:eastAsia="宋体" w:cs="宋体"/>
          <w:color w:val="000000"/>
          <w:kern w:val="0"/>
          <w:sz w:val="24"/>
          <w:szCs w:val="24"/>
          <w:lang w:val="en-US" w:eastAsia="zh-CN" w:bidi="ar-SA"/>
        </w:rPr>
        <w:t>刘广华</w:t>
      </w:r>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w:t>
      </w:r>
      <w:bookmarkEnd w:id="37"/>
      <w:r>
        <w:rPr>
          <w:rFonts w:hint="eastAsia" w:ascii="宋体" w:hAnsi="宋体" w:eastAsia="宋体" w:cs="宋体"/>
          <w:color w:val="000000"/>
          <w:kern w:val="0"/>
          <w:sz w:val="24"/>
          <w:szCs w:val="24"/>
          <w:lang w:val="en-US" w:eastAsia="zh-CN" w:bidi="ar-SA"/>
        </w:rPr>
        <w:t>18639784773</w:t>
      </w:r>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9"/>
        <w:bidi w:val="0"/>
        <w:rPr>
          <w:rFonts w:hint="eastAsia"/>
        </w:rPr>
      </w:pPr>
      <w:bookmarkStart w:id="38" w:name="_Toc30887"/>
      <w:bookmarkStart w:id="39" w:name="_Toc4092"/>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45065218"/>
      <w:bookmarkStart w:id="41" w:name="_Toc145065051"/>
      <w:bookmarkStart w:id="42" w:name="_Toc109675033"/>
      <w:bookmarkStart w:id="43" w:name="_Toc518571702"/>
      <w:bookmarkStart w:id="44" w:name="_Toc1270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17"/>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陕州区永久基本农田年度评估调整项目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585A211">
            <w:pPr>
              <w:pStyle w:val="2"/>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03AE04D">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7A382E4C">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63568A8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w w:val="97"/>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052"/>
      <w:bookmarkStart w:id="55" w:name="_Toc145065219"/>
      <w:bookmarkStart w:id="56" w:name="_Toc109675034"/>
      <w:bookmarkStart w:id="57" w:name="_Toc518571704"/>
      <w:bookmarkStart w:id="58" w:name="_Toc10982"/>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145065220"/>
      <w:bookmarkStart w:id="62" w:name="_Toc32344"/>
      <w:bookmarkStart w:id="63" w:name="_Toc145065053"/>
      <w:bookmarkStart w:id="64" w:name="_Toc518571705"/>
      <w:bookmarkStart w:id="65" w:name="_Toc109675035"/>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45065221"/>
      <w:bookmarkStart w:id="73" w:name="_Toc4031"/>
      <w:bookmarkStart w:id="74" w:name="_Toc109675036"/>
      <w:bookmarkStart w:id="75" w:name="_Toc145065054"/>
      <w:bookmarkStart w:id="76" w:name="_Toc518571706"/>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11287"/>
      <w:bookmarkStart w:id="81" w:name="_Toc145065222"/>
      <w:bookmarkStart w:id="82" w:name="_Toc518571707"/>
      <w:bookmarkStart w:id="83" w:name="_Toc109675037"/>
      <w:bookmarkStart w:id="84" w:name="_Toc145065055"/>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无需到开标现场参加开标会议，</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45065223"/>
      <w:bookmarkStart w:id="94" w:name="_Toc109675038"/>
      <w:bookmarkStart w:id="95" w:name="_Toc518571708"/>
      <w:bookmarkStart w:id="96" w:name="_Toc145065056"/>
      <w:bookmarkStart w:id="97" w:name="_Toc5050"/>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09675039"/>
      <w:bookmarkStart w:id="99" w:name="_Toc18358"/>
      <w:bookmarkStart w:id="100" w:name="_Toc145065057"/>
      <w:bookmarkStart w:id="101" w:name="_Toc518571709"/>
      <w:bookmarkStart w:id="102" w:name="_Toc145065224"/>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9"/>
        <w:bidi w:val="0"/>
        <w:rPr>
          <w:rFonts w:hint="eastAsia"/>
          <w:highlight w:val="none"/>
        </w:rPr>
      </w:pPr>
      <w:bookmarkStart w:id="103" w:name="_Toc6797"/>
      <w:bookmarkStart w:id="104" w:name="_Toc6883"/>
      <w:bookmarkStart w:id="105" w:name="_Toc145065225"/>
      <w:bookmarkStart w:id="106" w:name="_Toc145065058"/>
      <w:bookmarkStart w:id="107" w:name="_Toc109675040"/>
      <w:r>
        <w:rPr>
          <w:rFonts w:hint="eastAsia"/>
        </w:rPr>
        <w:t xml:space="preserve">第三章 </w:t>
      </w:r>
      <w:r>
        <w:rPr>
          <w:rFonts w:hint="eastAsia"/>
          <w:highlight w:val="none"/>
        </w:rPr>
        <w:t>技术要求以及相关服务内容</w:t>
      </w:r>
      <w:bookmarkEnd w:id="103"/>
      <w:bookmarkEnd w:id="104"/>
      <w:bookmarkEnd w:id="105"/>
      <w:bookmarkEnd w:id="106"/>
      <w:bookmarkEnd w:id="107"/>
      <w:bookmarkStart w:id="108" w:name="_Toc522547233"/>
    </w:p>
    <w:p w14:paraId="51B8C5A2">
      <w:pPr>
        <w:numPr>
          <w:ilvl w:val="0"/>
          <w:numId w:val="2"/>
        </w:numPr>
        <w:spacing w:line="48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陕州区永久基本农田年度评估调整项目</w:t>
      </w:r>
    </w:p>
    <w:p w14:paraId="6444FA4C">
      <w:pPr>
        <w:numPr>
          <w:ilvl w:val="0"/>
          <w:numId w:val="0"/>
        </w:numPr>
        <w:spacing w:line="48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30日历天。</w:t>
      </w:r>
    </w:p>
    <w:p w14:paraId="43D50142">
      <w:pPr>
        <w:pStyle w:val="15"/>
        <w:spacing w:beforeAutospacing="0" w:afterAutospacing="0" w:line="48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3、服务内容：</w:t>
      </w:r>
      <w:r>
        <w:rPr>
          <w:rFonts w:hint="eastAsia" w:ascii="宋体" w:hAnsi="宋体" w:eastAsia="宋体" w:cs="宋体"/>
          <w:color w:val="000000"/>
          <w:sz w:val="24"/>
          <w:szCs w:val="24"/>
          <w:lang w:eastAsia="zh-CN"/>
        </w:rPr>
        <w:t>陕州区永久基本农田年度评估调整项目，通过资料收集、整合分析、图斑提取与评价、外业核实、报告编制与成果提交等工作，掌握永久基本农田实际状况、识别问题地块、提出优化建议</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32352131">
      <w:pPr>
        <w:spacing w:line="480" w:lineRule="auto"/>
        <w:ind w:firstLine="484" w:firstLineChars="202"/>
        <w:jc w:val="left"/>
        <w:outlineLvl w:val="1"/>
        <w:rPr>
          <w:rFonts w:hint="eastAsia" w:ascii="宋体" w:hAnsi="宋体" w:eastAsia="宋体" w:cs="宋体"/>
          <w:color w:val="000000"/>
          <w:sz w:val="24"/>
          <w:szCs w:val="24"/>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9"/>
    </w:p>
    <w:p w14:paraId="4413ED8B">
      <w:pPr>
        <w:spacing w:line="480" w:lineRule="auto"/>
        <w:ind w:firstLine="484" w:firstLineChars="202"/>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5、具体工作内容：</w:t>
      </w:r>
    </w:p>
    <w:p w14:paraId="3C2B0B66">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eastAsia="宋体" w:cs="宋体"/>
          <w:color w:val="000000"/>
          <w:kern w:val="0"/>
          <w:sz w:val="24"/>
          <w:szCs w:val="24"/>
          <w:lang w:val="en-US" w:eastAsia="zh-CN" w:bidi="ar-SA"/>
        </w:rPr>
        <w:t>收集数据</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收集省厅下发的年度评估数据和辅助数据，同时收集各个乡镇的自提存量问题图斑和已明确位置的交通、水利、能源等基础设施项目。</w:t>
      </w:r>
    </w:p>
    <w:p w14:paraId="449F20F0">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w:t>
      </w:r>
      <w:r>
        <w:rPr>
          <w:rFonts w:hint="eastAsia" w:ascii="宋体" w:eastAsia="宋体" w:cs="宋体"/>
          <w:color w:val="000000"/>
          <w:kern w:val="0"/>
          <w:sz w:val="24"/>
          <w:szCs w:val="24"/>
          <w:lang w:val="en-US" w:eastAsia="zh-CN" w:bidi="ar-SA"/>
        </w:rPr>
        <w:t>数据分析</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对收集的资料进行标准化处理;运用GIS技术分析永久基本农田数量、分布、质量等级等。评估确定永久基本农田需调整规模。</w:t>
      </w:r>
    </w:p>
    <w:p w14:paraId="4BF7FD0A">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3）整合汇总</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内业初步制定调入调出图斑；与各乡镇对接图斑外业核实情况，建立核实台账。对调入调出图斑分类汇总。</w:t>
      </w:r>
    </w:p>
    <w:p w14:paraId="734181A8">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数据库建设：</w:t>
      </w:r>
      <w:r>
        <w:rPr>
          <w:rFonts w:hint="eastAsia" w:ascii="宋体" w:eastAsia="宋体" w:cs="宋体"/>
          <w:color w:val="000000"/>
          <w:kern w:val="0"/>
          <w:sz w:val="24"/>
          <w:szCs w:val="24"/>
          <w:lang w:val="en-US" w:eastAsia="zh-CN" w:bidi="ar-SA"/>
        </w:rPr>
        <w:t>基于省厅下发的年度评估数据和辅助数据，结合新增自主举证图斑，按照永久基本农田年度评估调整内容和要求制作永久基本农田调入调出数据库图层。</w:t>
      </w:r>
    </w:p>
    <w:p w14:paraId="1EECCAE5">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5）举证材料制作：逐图斑核实确认，制作连续六年影像的调出举证材料。根据中原云补划图斑的照片，制作调入举证材料。</w:t>
      </w:r>
    </w:p>
    <w:p w14:paraId="40FF6A38">
      <w:pPr>
        <w:pStyle w:val="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color w:val="000000"/>
          <w:kern w:val="0"/>
          <w:sz w:val="24"/>
          <w:szCs w:val="24"/>
          <w:lang w:val="en-US" w:eastAsia="zh-CN" w:bidi="ar-SA"/>
        </w:rPr>
        <w:sectPr>
          <w:footerReference r:id="rId4" w:type="default"/>
          <w:pgSz w:w="11910" w:h="16850"/>
          <w:pgMar w:top="1440" w:right="1800" w:bottom="1440" w:left="1800" w:header="706" w:footer="691" w:gutter="0"/>
          <w:pgNumType w:fmt="decimal" w:start="1"/>
          <w:cols w:space="720" w:num="1"/>
        </w:sectPr>
      </w:pPr>
      <w:r>
        <w:rPr>
          <w:rFonts w:hint="eastAsia" w:ascii="宋体" w:eastAsia="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w:t>
      </w:r>
      <w:r>
        <w:rPr>
          <w:rFonts w:hint="eastAsia" w:ascii="宋体" w:eastAsia="宋体" w:cs="宋体"/>
          <w:color w:val="000000"/>
          <w:kern w:val="0"/>
          <w:sz w:val="24"/>
          <w:szCs w:val="24"/>
          <w:lang w:val="en-US" w:eastAsia="zh-CN" w:bidi="ar-SA"/>
        </w:rPr>
        <w:t>调整补划方案编制</w:t>
      </w:r>
      <w:r>
        <w:rPr>
          <w:rFonts w:hint="eastAsia" w:ascii="宋体" w:hAnsi="宋体" w:eastAsia="宋体" w:cs="宋体"/>
          <w:color w:val="000000"/>
          <w:kern w:val="0"/>
          <w:sz w:val="24"/>
          <w:szCs w:val="24"/>
          <w:lang w:val="en-US" w:eastAsia="zh-CN" w:bidi="ar-SA"/>
        </w:rPr>
        <w:t>：结合调入调出的总规模，撰写《调整补划方案)》</w:t>
      </w:r>
    </w:p>
    <w:p w14:paraId="35AF184E">
      <w:pPr>
        <w:pStyle w:val="4"/>
        <w:spacing w:line="480" w:lineRule="auto"/>
        <w:rPr>
          <w:rFonts w:hint="default"/>
          <w:lang w:val="en-US" w:eastAsia="zh-CN"/>
        </w:rPr>
      </w:pPr>
    </w:p>
    <w:p w14:paraId="5F44DFAF">
      <w:pPr>
        <w:pStyle w:val="3"/>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成果质量检查：整理包括报告、原始数据、对照表等全套成果资料，提交给县级自然资源部门初审，按省市级意见修改完善并协助上报</w:t>
      </w:r>
      <w:r>
        <w:rPr>
          <w:rFonts w:hint="eastAsia" w:ascii="宋体" w:eastAsia="宋体" w:cs="宋体"/>
          <w:color w:val="000000"/>
          <w:kern w:val="0"/>
          <w:sz w:val="24"/>
          <w:szCs w:val="24"/>
          <w:lang w:val="en-US" w:eastAsia="zh-CN" w:bidi="ar-SA"/>
        </w:rPr>
        <w:t>。</w:t>
      </w:r>
    </w:p>
    <w:p w14:paraId="346DC598">
      <w:pPr>
        <w:pStyle w:val="5"/>
        <w:jc w:val="both"/>
        <w:rPr>
          <w:rFonts w:hint="eastAsia" w:ascii="宋体" w:eastAsia="宋体" w:cs="宋体"/>
          <w:color w:val="000000"/>
          <w:kern w:val="0"/>
          <w:sz w:val="24"/>
          <w:szCs w:val="24"/>
          <w:lang w:val="en-US" w:eastAsia="zh-CN" w:bidi="ar-SA"/>
        </w:rPr>
      </w:pPr>
    </w:p>
    <w:p w14:paraId="72F8BFB8">
      <w:pPr>
        <w:rPr>
          <w:rFonts w:hint="eastAsia"/>
          <w:lang w:val="en-US" w:eastAsia="zh-CN"/>
        </w:rPr>
      </w:pPr>
    </w:p>
    <w:p w14:paraId="0632D63D">
      <w:pPr>
        <w:pStyle w:val="9"/>
        <w:bidi w:val="0"/>
        <w:rPr>
          <w:rFonts w:hint="eastAsia"/>
        </w:rPr>
      </w:pPr>
      <w:bookmarkStart w:id="110" w:name="_Toc145065226"/>
      <w:bookmarkStart w:id="111" w:name="_Toc25076"/>
      <w:bookmarkStart w:id="112" w:name="_Toc31476"/>
      <w:r>
        <w:rPr>
          <w:rFonts w:hint="eastAsia"/>
        </w:rPr>
        <w:t>第四章  合同条款及合同文件格式</w:t>
      </w:r>
      <w:bookmarkEnd w:id="108"/>
      <w:bookmarkEnd w:id="110"/>
      <w:bookmarkEnd w:id="111"/>
      <w:bookmarkEnd w:id="112"/>
    </w:p>
    <w:p w14:paraId="7F91C46C">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3"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3"/>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4" w:name="_Toc6910"/>
      <w:r>
        <w:rPr>
          <w:rFonts w:hint="eastAsia" w:ascii="宋体" w:hAnsi="宋体" w:eastAsia="宋体" w:cs="宋体"/>
          <w:b/>
          <w:bCs/>
          <w:spacing w:val="-2"/>
          <w:sz w:val="24"/>
          <w:szCs w:val="24"/>
        </w:rPr>
        <w:t>第一条服务对象基本情况</w:t>
      </w:r>
      <w:bookmarkEnd w:id="114"/>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5" w:name="_Toc23812"/>
      <w:r>
        <w:rPr>
          <w:rFonts w:hint="eastAsia" w:ascii="宋体" w:hAnsi="宋体" w:eastAsia="宋体" w:cs="宋体"/>
          <w:b/>
          <w:bCs/>
          <w:spacing w:val="-3"/>
          <w:sz w:val="24"/>
          <w:szCs w:val="24"/>
        </w:rPr>
        <w:t>第二条具体服务事项</w:t>
      </w:r>
      <w:bookmarkEnd w:id="115"/>
    </w:p>
    <w:p w14:paraId="20063E1F">
      <w:pPr>
        <w:pStyle w:val="3"/>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6" w:name="_Toc18095"/>
      <w:r>
        <w:rPr>
          <w:rFonts w:hint="eastAsia" w:ascii="宋体" w:hAnsi="宋体" w:eastAsia="宋体" w:cs="宋体"/>
          <w:b/>
          <w:bCs/>
          <w:spacing w:val="-8"/>
          <w:sz w:val="24"/>
          <w:szCs w:val="24"/>
        </w:rPr>
        <w:t>第四条甲方权利义务</w:t>
      </w:r>
      <w:bookmarkEnd w:id="116"/>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12D64E80">
      <w:pPr>
        <w:spacing w:before="43" w:line="360" w:lineRule="auto"/>
        <w:ind w:left="492"/>
        <w:outlineLvl w:val="1"/>
        <w:rPr>
          <w:rFonts w:hint="eastAsia" w:ascii="宋体" w:hAnsi="宋体" w:eastAsia="宋体" w:cs="宋体"/>
          <w:b/>
          <w:bCs/>
          <w:spacing w:val="-8"/>
          <w:sz w:val="24"/>
          <w:szCs w:val="24"/>
        </w:rPr>
      </w:pPr>
      <w:bookmarkStart w:id="117" w:name="_Toc491"/>
      <w:r>
        <w:rPr>
          <w:rFonts w:hint="eastAsia" w:ascii="宋体" w:hAnsi="宋体" w:eastAsia="宋体" w:cs="宋体"/>
          <w:b/>
          <w:bCs/>
          <w:spacing w:val="-8"/>
          <w:sz w:val="24"/>
          <w:szCs w:val="24"/>
        </w:rPr>
        <w:t>第五条乙方权利义务</w:t>
      </w:r>
      <w:bookmarkEnd w:id="117"/>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18"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18"/>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19" w:name="_Toc25467"/>
      <w:r>
        <w:rPr>
          <w:rFonts w:hint="eastAsia" w:ascii="宋体" w:hAnsi="宋体" w:eastAsia="宋体" w:cs="宋体"/>
          <w:spacing w:val="-4"/>
          <w:sz w:val="24"/>
          <w:szCs w:val="24"/>
        </w:rPr>
        <w:t>第六条服务目标</w:t>
      </w:r>
      <w:bookmarkEnd w:id="119"/>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4"/>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0" w:name="_Toc25476"/>
      <w:r>
        <w:rPr>
          <w:rFonts w:hint="eastAsia" w:ascii="宋体" w:hAnsi="宋体" w:eastAsia="宋体" w:cs="宋体"/>
          <w:spacing w:val="-4"/>
          <w:sz w:val="24"/>
          <w:szCs w:val="24"/>
        </w:rPr>
        <w:t>第七条服务费用</w:t>
      </w:r>
      <w:bookmarkEnd w:id="120"/>
    </w:p>
    <w:p w14:paraId="0EA96A06">
      <w:pPr>
        <w:spacing w:before="39" w:line="360" w:lineRule="auto"/>
        <w:ind w:firstLine="480"/>
        <w:outlineLvl w:val="2"/>
        <w:rPr>
          <w:rFonts w:hint="eastAsia" w:ascii="宋体" w:hAnsi="宋体" w:eastAsia="宋体" w:cs="宋体"/>
          <w:spacing w:val="-4"/>
          <w:sz w:val="24"/>
          <w:szCs w:val="24"/>
        </w:rPr>
      </w:pPr>
      <w:bookmarkStart w:id="121" w:name="_Toc22780"/>
      <w:r>
        <w:rPr>
          <w:rFonts w:hint="eastAsia" w:ascii="宋体" w:hAnsi="宋体" w:eastAsia="宋体" w:cs="宋体"/>
          <w:spacing w:val="-4"/>
          <w:sz w:val="24"/>
          <w:szCs w:val="24"/>
        </w:rPr>
        <w:t>1、费用结算</w:t>
      </w:r>
      <w:bookmarkEnd w:id="121"/>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2" w:name="_Toc18568"/>
      <w:r>
        <w:rPr>
          <w:rFonts w:hint="eastAsia" w:ascii="宋体" w:hAnsi="宋体" w:eastAsia="宋体" w:cs="宋体"/>
          <w:spacing w:val="-4"/>
          <w:sz w:val="24"/>
          <w:szCs w:val="24"/>
        </w:rPr>
        <w:t>2、费用构成</w:t>
      </w:r>
      <w:bookmarkEnd w:id="122"/>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3" w:name="_Toc14331"/>
      <w:r>
        <w:rPr>
          <w:rFonts w:hint="eastAsia" w:ascii="宋体" w:hAnsi="宋体" w:eastAsia="宋体" w:cs="宋体"/>
          <w:b/>
          <w:bCs/>
          <w:spacing w:val="-3"/>
          <w:sz w:val="24"/>
          <w:szCs w:val="24"/>
        </w:rPr>
        <w:t>第八条验收方法</w:t>
      </w:r>
      <w:bookmarkEnd w:id="123"/>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24" w:name="_Toc25994"/>
      <w:r>
        <w:rPr>
          <w:rFonts w:hint="eastAsia" w:ascii="宋体" w:hAnsi="宋体" w:eastAsia="宋体" w:cs="宋体"/>
          <w:b/>
          <w:bCs/>
          <w:spacing w:val="-3"/>
          <w:sz w:val="24"/>
          <w:szCs w:val="24"/>
        </w:rPr>
        <w:t>第九条违约责任</w:t>
      </w:r>
      <w:bookmarkEnd w:id="124"/>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5" w:name="_Toc1684"/>
      <w:r>
        <w:rPr>
          <w:rFonts w:hint="eastAsia" w:ascii="宋体" w:hAnsi="宋体" w:eastAsia="宋体" w:cs="宋体"/>
          <w:spacing w:val="-8"/>
          <w:sz w:val="24"/>
          <w:szCs w:val="24"/>
        </w:rPr>
        <w:t>5、其他。</w:t>
      </w:r>
      <w:bookmarkEnd w:id="125"/>
    </w:p>
    <w:p w14:paraId="5EEE1A34">
      <w:pPr>
        <w:spacing w:before="294" w:line="360" w:lineRule="auto"/>
        <w:ind w:left="483"/>
        <w:outlineLvl w:val="1"/>
        <w:rPr>
          <w:rFonts w:hint="eastAsia" w:ascii="宋体" w:hAnsi="宋体" w:eastAsia="宋体" w:cs="宋体"/>
          <w:sz w:val="24"/>
          <w:szCs w:val="24"/>
        </w:rPr>
      </w:pPr>
      <w:bookmarkStart w:id="126" w:name="_Toc3588"/>
      <w:r>
        <w:rPr>
          <w:rFonts w:hint="eastAsia" w:ascii="宋体" w:hAnsi="宋体" w:eastAsia="宋体" w:cs="宋体"/>
          <w:b/>
          <w:bCs/>
          <w:spacing w:val="-3"/>
          <w:sz w:val="24"/>
          <w:szCs w:val="24"/>
        </w:rPr>
        <w:t>第十条其他事项</w:t>
      </w:r>
      <w:bookmarkEnd w:id="126"/>
    </w:p>
    <w:p w14:paraId="65A96458">
      <w:pPr>
        <w:spacing w:before="295" w:line="360" w:lineRule="auto"/>
        <w:ind w:left="499"/>
        <w:outlineLvl w:val="2"/>
        <w:rPr>
          <w:rFonts w:hint="eastAsia" w:ascii="宋体" w:hAnsi="宋体" w:eastAsia="宋体" w:cs="宋体"/>
          <w:sz w:val="24"/>
          <w:szCs w:val="24"/>
        </w:rPr>
      </w:pPr>
      <w:bookmarkStart w:id="127"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7"/>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5" w:type="default"/>
          <w:pgSz w:w="11907" w:h="16839"/>
          <w:pgMar w:top="1440" w:right="1800" w:bottom="1440" w:left="1800" w:header="0" w:footer="1060" w:gutter="0"/>
          <w:pgNumType w:fmt="decimal"/>
          <w:cols w:space="720" w:num="1"/>
        </w:sectPr>
      </w:pPr>
    </w:p>
    <w:p w14:paraId="76FECA3E">
      <w:pPr>
        <w:pStyle w:val="9"/>
        <w:bidi w:val="0"/>
        <w:rPr>
          <w:rFonts w:hint="eastAsia"/>
        </w:rPr>
      </w:pPr>
      <w:bookmarkStart w:id="128" w:name="_Toc145065227"/>
      <w:bookmarkStart w:id="129" w:name="_Toc1062"/>
      <w:bookmarkStart w:id="130" w:name="_Toc29036"/>
      <w:r>
        <w:rPr>
          <w:rFonts w:hint="eastAsia"/>
        </w:rPr>
        <w:t>第五章  评审标准</w:t>
      </w:r>
      <w:bookmarkEnd w:id="128"/>
      <w:bookmarkEnd w:id="129"/>
      <w:bookmarkEnd w:id="130"/>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697844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0C6D6F1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C9A3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1E2E72F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须提供《中小企业声明函》（监狱企业、残疾人福利性企业视同小微企业）；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供应商须具备行政主管部门颁发的测绘乙级及以上资质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30日历天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1"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1"/>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凡遇到响应文件中无界定或界定不清、前后不一致使评委会成员意见有分歧且又难于协商一致的问题，均由评委会予以表决，获半数以上同意的即为通过，未获半数同意的即为否决。</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2" w:name="_Toc7369"/>
      <w:r>
        <w:rPr>
          <w:rFonts w:hint="eastAsia" w:ascii="宋体" w:hAnsi="宋体" w:eastAsia="宋体" w:cs="宋体"/>
          <w:b/>
          <w:color w:val="000000" w:themeColor="text1"/>
          <w:sz w:val="24"/>
          <w:szCs w:val="24"/>
          <w14:textFill>
            <w14:solidFill>
              <w14:schemeClr w14:val="tx1"/>
            </w14:solidFill>
          </w14:textFill>
        </w:rPr>
        <w:t>2. 磋商程序</w:t>
      </w:r>
      <w:bookmarkEnd w:id="132"/>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3" w:name="_Toc17233"/>
      <w:r>
        <w:rPr>
          <w:rFonts w:hint="eastAsia" w:ascii="宋体" w:hAnsi="宋体" w:eastAsia="宋体" w:cs="宋体"/>
          <w:color w:val="000000" w:themeColor="text1"/>
          <w:sz w:val="24"/>
          <w:szCs w:val="24"/>
          <w14:textFill>
            <w14:solidFill>
              <w14:schemeClr w14:val="tx1"/>
            </w14:solidFill>
          </w14:textFill>
        </w:rPr>
        <w:t>2.1 资格审查</w:t>
      </w:r>
      <w:bookmarkEnd w:id="133"/>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4"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4"/>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17"/>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741C0033">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w:t>
            </w:r>
          </w:p>
          <w:p w14:paraId="295B7F5F">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报价</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 xml:space="preserve"> %×100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1"/>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2"/>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6"/>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6"/>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6"/>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6"/>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6"/>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6"/>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（8分）</w:t>
            </w:r>
          </w:p>
        </w:tc>
        <w:tc>
          <w:tcPr>
            <w:tcW w:w="4860" w:type="dxa"/>
            <w:tcBorders>
              <w:top w:val="single" w:color="auto" w:sz="4" w:space="0"/>
              <w:left w:val="single" w:color="auto" w:sz="4" w:space="0"/>
              <w:bottom w:val="single" w:color="auto" w:sz="4" w:space="0"/>
              <w:right w:val="single" w:color="auto" w:sz="4" w:space="0"/>
            </w:tcBorders>
            <w:vAlign w:val="center"/>
          </w:tcPr>
          <w:p w14:paraId="1430C920">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对本项目的整体理解透彻，认识充分的得8分；</w:t>
            </w:r>
          </w:p>
          <w:p w14:paraId="01C911C1">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对本项目的基本理解、认识的得5分；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319B6966">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项目总体工作</w:t>
            </w:r>
          </w:p>
          <w:p w14:paraId="2A9BBD65">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w:t>
            </w:r>
          </w:p>
          <w:p w14:paraId="1BC860A2">
            <w:pPr>
              <w:adjustRightInd w:val="0"/>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p w14:paraId="68C1B150">
            <w:pPr>
              <w:spacing w:line="360" w:lineRule="auto"/>
              <w:jc w:val="center"/>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2B2866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方案全面、合理性强、可行性高，工作规划清晰合理，得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14:textFill>
                  <w14:solidFill>
                    <w14:schemeClr w14:val="tx1"/>
                  </w14:solidFill>
                </w14:textFill>
              </w:rPr>
              <w:t>分；</w:t>
            </w:r>
          </w:p>
          <w:p w14:paraId="40DE37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方案基本全面、合理性较好、可行性较好，工作规划较为清晰合理，得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分；</w:t>
            </w:r>
          </w:p>
          <w:p w14:paraId="71E765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工作方案不全面、合理性一般、可行性一般，工作规划较相对一般，得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9D5147A">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D1A3627">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EF7EF1">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机构设置合理，职责分工明确，管理机构健全合理得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5B8F9CD">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人员安排</w:t>
            </w:r>
            <w:r>
              <w:rPr>
                <w:rFonts w:hint="eastAsia" w:ascii="宋体" w:hAnsi="宋体" w:eastAsia="宋体" w:cs="宋体"/>
                <w:color w:val="000000" w:themeColor="text1"/>
                <w:sz w:val="24"/>
                <w:szCs w:val="24"/>
                <w:highlight w:val="none"/>
                <w14:textFill>
                  <w14:solidFill>
                    <w14:schemeClr w14:val="tx1"/>
                  </w14:solidFill>
                </w14:textFill>
              </w:rPr>
              <w:t>基本合理得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3BB25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643BF00">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8分；</w:t>
            </w:r>
          </w:p>
          <w:p w14:paraId="5054DDCC">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5分；</w:t>
            </w:r>
          </w:p>
          <w:p w14:paraId="3A0A780C">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162758D4">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8分；</w:t>
            </w:r>
          </w:p>
          <w:p w14:paraId="360A70AB">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可操作性基本得当，有可行性得5分；</w:t>
            </w:r>
          </w:p>
          <w:p w14:paraId="2CED24C9">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1404753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7BFA5AA">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信息安全保密措施得当，可操作性强的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p w14:paraId="5DE1DE6E">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信息安全保密措施可行，可操作性基本得当的</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分；</w:t>
            </w:r>
          </w:p>
          <w:p w14:paraId="18A868D6">
            <w:pPr>
              <w:adjustRightInd w:val="0"/>
              <w:snapToGri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有措施得 2 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10"/>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5F8348A6">
            <w:pPr>
              <w:pStyle w:val="10"/>
              <w:numPr>
                <w:ilvl w:val="0"/>
                <w:numId w:val="5"/>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10"/>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10"/>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10"/>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10"/>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10"/>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10"/>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10"/>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10"/>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70" w:type="dxa"/>
            <w:vMerge w:val="continue"/>
            <w:tcBorders>
              <w:left w:val="single" w:color="auto" w:sz="4" w:space="0"/>
              <w:right w:val="single" w:color="auto" w:sz="4" w:space="0"/>
            </w:tcBorders>
            <w:vAlign w:val="center"/>
          </w:tcPr>
          <w:p w14:paraId="4401CD44">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3802E38F">
            <w:pPr>
              <w:adjustRightInd w:val="0"/>
              <w:spacing w:line="360" w:lineRule="auto"/>
              <w:jc w:val="center"/>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企业业绩</w:t>
            </w:r>
          </w:p>
          <w:p w14:paraId="11209340">
            <w:pPr>
              <w:pStyle w:val="2"/>
              <w:jc w:val="center"/>
              <w:rPr>
                <w:rFonts w:hint="default"/>
                <w:lang w:val="en-US" w:eastAsia="zh-CN"/>
              </w:rPr>
            </w:pPr>
            <w:r>
              <w:rPr>
                <w:rFonts w:hint="eastAsia" w:eastAsia="宋体" w:cs="宋体"/>
                <w:color w:val="000000"/>
                <w:kern w:val="2"/>
                <w:sz w:val="24"/>
                <w:szCs w:val="24"/>
                <w:highlight w:val="none"/>
                <w:lang w:val="en-US" w:eastAsia="zh-CN"/>
              </w:rPr>
              <w:t>（12分）</w:t>
            </w:r>
          </w:p>
        </w:tc>
        <w:tc>
          <w:tcPr>
            <w:tcW w:w="4860" w:type="dxa"/>
            <w:tcBorders>
              <w:top w:val="single" w:color="auto" w:sz="4" w:space="0"/>
              <w:left w:val="single" w:color="auto" w:sz="4" w:space="0"/>
              <w:right w:val="single" w:color="auto" w:sz="4" w:space="0"/>
            </w:tcBorders>
            <w:vAlign w:val="center"/>
          </w:tcPr>
          <w:p w14:paraId="03D2BC35">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供应商自2023年1月1日以来（以合同签订时间为准）独立承担过的与耕地类相关的项目业绩，每个得4分，最多得12分；</w:t>
            </w:r>
          </w:p>
          <w:p w14:paraId="17509135">
            <w:pPr>
              <w:pStyle w:val="2"/>
              <w:ind w:left="0" w:leftChars="0" w:firstLine="0" w:firstLineChars="0"/>
              <w:rPr>
                <w:rFonts w:hint="default"/>
                <w:lang w:val="en-US" w:eastAsia="zh-CN"/>
              </w:rPr>
            </w:pPr>
            <w:r>
              <w:rPr>
                <w:rFonts w:hint="eastAsia" w:ascii="宋体" w:eastAsia="宋体" w:cs="宋体"/>
                <w:bCs/>
                <w:color w:val="000000"/>
                <w:sz w:val="24"/>
                <w:szCs w:val="24"/>
                <w:highlight w:val="none"/>
                <w:lang w:val="en-US" w:eastAsia="zh-CN"/>
              </w:rPr>
              <w:t>（供应商须在响应文件中附业绩合同原件扫描件或中标通知书原件扫描件，否则不得分）</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55D49C09">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407E233E">
            <w:pPr>
              <w:adjustRightInd w:val="0"/>
              <w:spacing w:line="360" w:lineRule="auto"/>
              <w:jc w:val="center"/>
              <w:rPr>
                <w:rFonts w:hint="default"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优惠承诺（3分）</w:t>
            </w:r>
          </w:p>
        </w:tc>
        <w:tc>
          <w:tcPr>
            <w:tcW w:w="4860" w:type="dxa"/>
            <w:tcBorders>
              <w:top w:val="single" w:color="auto" w:sz="4" w:space="0"/>
              <w:left w:val="single" w:color="auto" w:sz="4" w:space="0"/>
              <w:right w:val="single" w:color="auto" w:sz="4" w:space="0"/>
            </w:tcBorders>
            <w:vAlign w:val="center"/>
          </w:tcPr>
          <w:p w14:paraId="085A31CB">
            <w:pPr>
              <w:spacing w:line="360" w:lineRule="auto"/>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rPr>
              <w:t>供应商作出的其他有利于采购人的</w:t>
            </w: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承诺，承诺切实可行</w:t>
            </w:r>
            <w:r>
              <w:rPr>
                <w:rFonts w:hint="eastAsia" w:eastAsia="宋体" w:cs="宋体"/>
                <w:color w:val="000000"/>
                <w:kern w:val="2"/>
                <w:sz w:val="24"/>
                <w:szCs w:val="24"/>
                <w:highlight w:val="none"/>
                <w:lang w:val="en-US" w:eastAsia="zh-CN"/>
              </w:rPr>
              <w:t>，落地性高</w:t>
            </w:r>
            <w:r>
              <w:rPr>
                <w:rFonts w:hint="eastAsia" w:ascii="宋体" w:hAnsi="宋体" w:eastAsia="宋体" w:cs="宋体"/>
                <w:color w:val="000000"/>
                <w:kern w:val="2"/>
                <w:sz w:val="24"/>
                <w:szCs w:val="24"/>
                <w:highlight w:val="none"/>
                <w:lang w:val="en-US" w:eastAsia="zh-CN"/>
              </w:rPr>
              <w:t>得 3分；承诺基本可行得 1分；无承诺不得分。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10A80AA1">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人员配备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25721EBC">
            <w:pPr>
              <w:numPr>
                <w:ilvl w:val="0"/>
                <w:numId w:val="6"/>
              </w:numPr>
              <w:spacing w:line="360" w:lineRule="auto"/>
              <w:jc w:val="left"/>
              <w:rPr>
                <w:rFonts w:hint="eastAsia"/>
                <w:highlight w:val="none"/>
              </w:rPr>
            </w:pPr>
            <w:r>
              <w:rPr>
                <w:rFonts w:hint="eastAsia" w:ascii="宋体" w:hAnsi="宋体" w:eastAsia="宋体" w:cs="宋体"/>
                <w:bCs/>
                <w:color w:val="000000" w:themeColor="text1"/>
                <w:sz w:val="24"/>
                <w:szCs w:val="24"/>
                <w:highlight w:val="none"/>
                <w14:textFill>
                  <w14:solidFill>
                    <w14:schemeClr w14:val="tx1"/>
                  </w14:solidFill>
                </w14:textFill>
              </w:rPr>
              <w:t>拟投入本项目人员（除负责人外）</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具有测绘类专业中级及以上技术职称的</w:t>
            </w:r>
            <w:r>
              <w:rPr>
                <w:rFonts w:hint="eastAsia" w:ascii="宋体" w:hAnsi="宋体" w:eastAsia="宋体" w:cs="宋体"/>
                <w:bCs/>
                <w:color w:val="000000" w:themeColor="text1"/>
                <w:sz w:val="24"/>
                <w:szCs w:val="24"/>
                <w:highlight w:val="none"/>
                <w14:textFill>
                  <w14:solidFill>
                    <w14:schemeClr w14:val="tx1"/>
                  </w14:solidFill>
                </w14:textFill>
              </w:rPr>
              <w:t>，每提供一人得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p>
          <w:p w14:paraId="4D54AF87">
            <w:pPr>
              <w:pStyle w:val="2"/>
              <w:ind w:left="0" w:leftChars="0" w:firstLine="0" w:firstLineChars="0"/>
              <w:rPr>
                <w:rFonts w:hint="eastAsia" w:eastAsia="宋体"/>
                <w:highlight w:val="none"/>
                <w:lang w:val="en-US" w:eastAsia="zh-CN"/>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2.拟</w:t>
            </w:r>
            <w:r>
              <w:rPr>
                <w:rFonts w:hint="eastAsia" w:ascii="宋体" w:hAnsi="宋体" w:eastAsia="宋体" w:cs="宋体"/>
                <w:bCs/>
                <w:color w:val="000000" w:themeColor="text1"/>
                <w:sz w:val="24"/>
                <w:szCs w:val="24"/>
                <w:highlight w:val="none"/>
                <w14:textFill>
                  <w14:solidFill>
                    <w14:schemeClr w14:val="tx1"/>
                  </w14:solidFill>
                </w14:textFill>
              </w:rPr>
              <w:t>投入本项目人员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具备规划专业中级及以上技术职称的，</w:t>
            </w:r>
            <w:r>
              <w:rPr>
                <w:rFonts w:hint="eastAsia" w:ascii="宋体" w:hAnsi="宋体" w:eastAsia="宋体" w:cs="宋体"/>
                <w:bCs/>
                <w:color w:val="000000" w:themeColor="text1"/>
                <w:sz w:val="24"/>
                <w:szCs w:val="24"/>
                <w:highlight w:val="none"/>
                <w14:textFill>
                  <w14:solidFill>
                    <w14:schemeClr w14:val="tx1"/>
                  </w14:solidFill>
                </w14:textFill>
              </w:rPr>
              <w:t>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3B3EB965">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备注：以上资料须附在标书中，否则不得分。（</w:t>
            </w: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未附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职称</w:t>
            </w:r>
            <w:r>
              <w:rPr>
                <w:rFonts w:hint="eastAsia" w:ascii="宋体" w:hAnsi="宋体" w:eastAsia="宋体" w:cs="宋体"/>
                <w:bCs/>
                <w:color w:val="000000" w:themeColor="text1"/>
                <w:sz w:val="24"/>
                <w:szCs w:val="24"/>
                <w:highlight w:val="none"/>
                <w14:textFill>
                  <w14:solidFill>
                    <w14:schemeClr w14:val="tx1"/>
                  </w14:solidFill>
                </w14:textFill>
              </w:rPr>
              <w:t>证书、扫描件不清晰或缺页，影响评标的不得分）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1A7CA4FD">
      <w:pPr>
        <w:pStyle w:val="9"/>
        <w:bidi w:val="0"/>
        <w:rPr>
          <w:rFonts w:hint="eastAsia"/>
        </w:rPr>
      </w:pPr>
      <w:bookmarkStart w:id="135" w:name="_Toc145065228"/>
      <w:bookmarkStart w:id="136" w:name="_Toc13135"/>
      <w:bookmarkStart w:id="137" w:name="_Toc16340"/>
      <w:r>
        <w:rPr>
          <w:rFonts w:hint="eastAsia"/>
        </w:rPr>
        <w:t>第六章 磋商文件格式</w:t>
      </w:r>
      <w:bookmarkEnd w:id="135"/>
      <w:bookmarkEnd w:id="136"/>
      <w:bookmarkEnd w:id="137"/>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38" w:name="_Toc17195"/>
      <w:r>
        <w:rPr>
          <w:rFonts w:hint="eastAsia" w:ascii="宋体" w:hAnsi="宋体" w:eastAsia="宋体" w:cs="宋体"/>
          <w:b/>
          <w:color w:val="000000" w:themeColor="text1"/>
          <w:sz w:val="24"/>
          <w:szCs w:val="24"/>
          <w14:textFill>
            <w14:solidFill>
              <w14:schemeClr w14:val="tx1"/>
            </w14:solidFill>
          </w14:textFill>
        </w:rPr>
        <w:t>封面</w:t>
      </w:r>
      <w:bookmarkEnd w:id="138"/>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39" w:name="_Toc169921407"/>
      <w:bookmarkEnd w:id="139"/>
      <w:bookmarkStart w:id="140" w:name="_Toc171073207"/>
      <w:bookmarkEnd w:id="140"/>
      <w:bookmarkStart w:id="141" w:name="_Toc223432387"/>
      <w:bookmarkEnd w:id="141"/>
      <w:bookmarkStart w:id="142" w:name="_Toc171073042"/>
      <w:bookmarkEnd w:id="142"/>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1"/>
        <w:ind w:left="0" w:leftChars="0" w:firstLine="0" w:firstLineChars="0"/>
        <w:rPr>
          <w:rFonts w:hint="eastAsia" w:ascii="宋体" w:hAnsi="宋体" w:eastAsia="宋体" w:cs="宋体"/>
          <w:sz w:val="24"/>
          <w:szCs w:val="24"/>
        </w:rPr>
      </w:pPr>
    </w:p>
    <w:p w14:paraId="353507FD">
      <w:pPr>
        <w:pStyle w:val="11"/>
        <w:rPr>
          <w:rFonts w:hint="eastAsia" w:ascii="宋体" w:hAnsi="宋体" w:eastAsia="宋体" w:cs="宋体"/>
          <w:sz w:val="24"/>
          <w:szCs w:val="24"/>
        </w:rPr>
      </w:pPr>
    </w:p>
    <w:p w14:paraId="033DD981">
      <w:pPr>
        <w:pStyle w:val="11"/>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3"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4" w:name="OLE_LINK11"/>
      <w:bookmarkEnd w:id="144"/>
      <w:bookmarkStart w:id="14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w:t>
      </w:r>
      <w:r>
        <w:rPr>
          <w:rFonts w:hint="eastAsia" w:ascii="宋体" w:hAnsi="宋体" w:eastAsia="宋体" w:cs="宋体"/>
          <w:color w:val="000000" w:themeColor="text1"/>
          <w:spacing w:val="6"/>
          <w:sz w:val="24"/>
          <w:szCs w:val="24"/>
          <w:u w:val="single"/>
          <w14:textFill>
            <w14:solidFill>
              <w14:schemeClr w14:val="tx1"/>
            </w14:solidFill>
          </w14:textFill>
        </w:rPr>
        <w:t>日历</w:t>
      </w:r>
      <w:r>
        <w:rPr>
          <w:rFonts w:hint="eastAsia" w:ascii="宋体" w:hAnsi="宋体" w:eastAsia="宋体" w:cs="宋体"/>
          <w:color w:val="000000" w:themeColor="text1"/>
          <w:kern w:val="0"/>
          <w:sz w:val="24"/>
          <w:szCs w:val="24"/>
          <w:lang w:val="en-US" w:eastAsia="zh-CN"/>
          <w14:textFill>
            <w14:solidFill>
              <w14:schemeClr w14:val="tx1"/>
            </w14:solidFill>
          </w14:textFill>
        </w:rPr>
        <w:t>天内有效，在此期间我方有可能成交，我方将受此约束。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6" w:name="_Toc145065059"/>
      <w:bookmarkStart w:id="147" w:name="_Toc14226"/>
      <w:bookmarkStart w:id="148" w:name="_Toc145065229"/>
      <w:bookmarkStart w:id="149" w:name="_Toc109675042"/>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6"/>
      <w:bookmarkEnd w:id="147"/>
      <w:bookmarkEnd w:id="148"/>
      <w:bookmarkEnd w:id="149"/>
    </w:p>
    <w:tbl>
      <w:tblPr>
        <w:tblStyle w:val="17"/>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0"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0"/>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1" w:name="_Toc109675041"/>
      <w:bookmarkStart w:id="152" w:name="_Toc21469"/>
      <w:bookmarkStart w:id="153" w:name="_Toc145065233"/>
      <w:bookmarkStart w:id="154" w:name="_Toc14506506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1"/>
      <w:bookmarkEnd w:id="152"/>
      <w:bookmarkEnd w:id="153"/>
      <w:bookmarkEnd w:id="154"/>
    </w:p>
    <w:p w14:paraId="403C4A1A">
      <w:pPr>
        <w:pStyle w:val="11"/>
        <w:rPr>
          <w:rFonts w:hint="eastAsia" w:ascii="宋体" w:hAnsi="宋体" w:eastAsia="宋体" w:cs="宋体"/>
          <w:sz w:val="24"/>
          <w:szCs w:val="24"/>
        </w:rPr>
      </w:pPr>
    </w:p>
    <w:p w14:paraId="1658F2C4">
      <w:pPr>
        <w:pStyle w:val="11"/>
        <w:rPr>
          <w:rFonts w:hint="eastAsia" w:ascii="宋体" w:hAnsi="宋体" w:eastAsia="宋体" w:cs="宋体"/>
          <w:sz w:val="24"/>
          <w:szCs w:val="24"/>
        </w:rPr>
      </w:pPr>
    </w:p>
    <w:p w14:paraId="3513B51D">
      <w:pPr>
        <w:pStyle w:val="11"/>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5"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5"/>
    </w:p>
    <w:p w14:paraId="25359AD7">
      <w:pPr>
        <w:pStyle w:val="19"/>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1"/>
        <w:rPr>
          <w:rFonts w:hint="eastAsia" w:ascii="宋体" w:hAnsi="宋体" w:eastAsia="宋体" w:cs="宋体"/>
          <w:sz w:val="24"/>
          <w:szCs w:val="24"/>
        </w:rPr>
      </w:pPr>
    </w:p>
    <w:p w14:paraId="767C7C55">
      <w:pPr>
        <w:pStyle w:val="11"/>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6" w:name="_Toc223432391"/>
      <w:bookmarkEnd w:id="156"/>
      <w:bookmarkStart w:id="157" w:name="_Toc169921411"/>
      <w:bookmarkEnd w:id="157"/>
      <w:bookmarkStart w:id="158" w:name="_Toc171073211"/>
      <w:bookmarkEnd w:id="158"/>
      <w:bookmarkStart w:id="159" w:name="_Toc171073046"/>
      <w:bookmarkEnd w:id="159"/>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0" w:name="_Toc438305223"/>
    </w:p>
    <w:bookmarkEnd w:id="160"/>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1"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1"/>
    </w:p>
    <w:p w14:paraId="2E83082A">
      <w:pPr>
        <w:spacing w:line="500" w:lineRule="exact"/>
        <w:jc w:val="center"/>
        <w:outlineLvl w:val="2"/>
        <w:rPr>
          <w:rFonts w:hint="eastAsia" w:ascii="宋体" w:hAnsi="宋体" w:eastAsia="宋体" w:cs="宋体"/>
          <w:b/>
          <w:bCs/>
          <w:color w:val="000000"/>
          <w:sz w:val="24"/>
          <w:szCs w:val="24"/>
        </w:rPr>
      </w:pPr>
      <w:bookmarkStart w:id="162"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2"/>
    </w:p>
    <w:tbl>
      <w:tblPr>
        <w:tblStyle w:val="17"/>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3" w:name="_Toc14177"/>
      <w:r>
        <w:rPr>
          <w:rFonts w:hint="eastAsia" w:ascii="宋体" w:hAnsi="宋体" w:eastAsia="宋体" w:cs="宋体"/>
          <w:b/>
          <w:bCs/>
          <w:color w:val="000000"/>
          <w:sz w:val="24"/>
          <w:szCs w:val="24"/>
        </w:rPr>
        <w:t>（2）类似项目业绩表</w:t>
      </w:r>
      <w:bookmarkEnd w:id="163"/>
    </w:p>
    <w:tbl>
      <w:tblPr>
        <w:tblStyle w:val="17"/>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w:t>
      </w:r>
      <w:r>
        <w:rPr>
          <w:rFonts w:hint="eastAsia" w:ascii="宋体" w:hAnsi="宋体" w:eastAsia="宋体" w:cs="宋体"/>
          <w:bCs/>
          <w:color w:val="000000"/>
          <w:sz w:val="24"/>
          <w:szCs w:val="24"/>
          <w:lang w:eastAsia="zh-CN"/>
        </w:rPr>
        <w:t>或</w:t>
      </w:r>
      <w:r>
        <w:rPr>
          <w:rFonts w:hint="eastAsia" w:ascii="宋体" w:hAnsi="宋体" w:eastAsia="宋体" w:cs="宋体"/>
          <w:bCs/>
          <w:color w:val="000000"/>
          <w:sz w:val="24"/>
          <w:szCs w:val="24"/>
        </w:rPr>
        <w:t>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4"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4"/>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5"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5"/>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供应商须具备行政主管部门颁发的测绘乙级及以上资质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须具备测绘相关专业中级及以上技术职称，并提供社保缴纳证明或劳动合同</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6"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6"/>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7" w:name="_Toc12739"/>
      <w:r>
        <w:rPr>
          <w:rFonts w:hint="eastAsia" w:ascii="宋体" w:hAnsi="宋体" w:eastAsia="宋体" w:cs="宋体"/>
          <w:b/>
          <w:color w:val="000000"/>
          <w:kern w:val="0"/>
          <w:sz w:val="28"/>
          <w:szCs w:val="28"/>
        </w:rPr>
        <w:t>七、服务承诺书</w:t>
      </w:r>
      <w:bookmarkEnd w:id="167"/>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16"/>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68" w:name="_Toc27680"/>
      <w:bookmarkStart w:id="169" w:name="_Toc145065234"/>
      <w:r>
        <w:rPr>
          <w:rFonts w:hint="eastAsia" w:ascii="宋体" w:hAnsi="宋体" w:eastAsia="宋体" w:cs="宋体"/>
          <w:kern w:val="0"/>
          <w:sz w:val="28"/>
          <w:szCs w:val="28"/>
        </w:rPr>
        <w:t>八、项目管理机构配备情况</w:t>
      </w:r>
      <w:bookmarkEnd w:id="168"/>
      <w:bookmarkEnd w:id="169"/>
    </w:p>
    <w:p w14:paraId="7766EBD9">
      <w:pPr>
        <w:widowControl/>
        <w:jc w:val="center"/>
        <w:outlineLvl w:val="2"/>
        <w:rPr>
          <w:rFonts w:hint="eastAsia" w:ascii="宋体" w:hAnsi="宋体" w:eastAsia="宋体" w:cs="宋体"/>
          <w:b/>
          <w:bCs/>
          <w:color w:val="000000"/>
          <w:kern w:val="0"/>
          <w:sz w:val="24"/>
          <w:szCs w:val="24"/>
        </w:rPr>
      </w:pPr>
      <w:bookmarkStart w:id="170" w:name="_Toc26908"/>
      <w:r>
        <w:rPr>
          <w:rFonts w:hint="eastAsia" w:ascii="宋体" w:hAnsi="宋体" w:eastAsia="宋体" w:cs="宋体"/>
          <w:b/>
          <w:bCs/>
          <w:color w:val="000000"/>
          <w:kern w:val="0"/>
          <w:sz w:val="24"/>
          <w:szCs w:val="24"/>
        </w:rPr>
        <w:t>（1）项目管理机构配备情况表</w:t>
      </w:r>
      <w:bookmarkEnd w:id="170"/>
    </w:p>
    <w:tbl>
      <w:tblPr>
        <w:tblStyle w:val="17"/>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17"/>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1"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1"/>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2"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2"/>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1"/>
        <w:rPr>
          <w:rFonts w:hint="eastAsia" w:ascii="宋体" w:hAnsi="宋体" w:eastAsia="宋体" w:cs="宋体"/>
          <w:sz w:val="24"/>
          <w:szCs w:val="24"/>
        </w:rPr>
      </w:pPr>
    </w:p>
    <w:p w14:paraId="7E35CC01">
      <w:pPr>
        <w:pStyle w:val="11"/>
        <w:rPr>
          <w:rFonts w:hint="eastAsia" w:ascii="宋体" w:hAnsi="宋体" w:eastAsia="宋体" w:cs="宋体"/>
          <w:sz w:val="24"/>
          <w:szCs w:val="24"/>
        </w:rPr>
      </w:pPr>
    </w:p>
    <w:p w14:paraId="616EF76B">
      <w:pPr>
        <w:pStyle w:val="11"/>
        <w:rPr>
          <w:rFonts w:hint="eastAsia" w:ascii="宋体" w:hAnsi="宋体" w:eastAsia="宋体" w:cs="宋体"/>
          <w:sz w:val="24"/>
          <w:szCs w:val="24"/>
        </w:rPr>
      </w:pPr>
    </w:p>
    <w:p w14:paraId="46285450">
      <w:pPr>
        <w:pStyle w:val="11"/>
        <w:rPr>
          <w:rFonts w:hint="eastAsia" w:ascii="宋体" w:hAnsi="宋体" w:eastAsia="宋体" w:cs="宋体"/>
          <w:sz w:val="24"/>
          <w:szCs w:val="24"/>
        </w:rPr>
      </w:pPr>
    </w:p>
    <w:p w14:paraId="41BBA2AA">
      <w:pPr>
        <w:pStyle w:val="11"/>
        <w:rPr>
          <w:rFonts w:hint="eastAsia" w:ascii="宋体" w:hAnsi="宋体" w:eastAsia="宋体" w:cs="宋体"/>
          <w:sz w:val="24"/>
          <w:szCs w:val="24"/>
        </w:rPr>
      </w:pPr>
    </w:p>
    <w:p w14:paraId="3AD671F0">
      <w:pPr>
        <w:pStyle w:val="11"/>
        <w:rPr>
          <w:rFonts w:hint="eastAsia" w:ascii="宋体" w:hAnsi="宋体" w:eastAsia="宋体" w:cs="宋体"/>
          <w:sz w:val="24"/>
          <w:szCs w:val="24"/>
        </w:rPr>
      </w:pPr>
    </w:p>
    <w:p w14:paraId="0D7D174B">
      <w:pPr>
        <w:pStyle w:val="11"/>
        <w:rPr>
          <w:rFonts w:hint="eastAsia" w:ascii="宋体" w:hAnsi="宋体" w:eastAsia="宋体" w:cs="宋体"/>
          <w:sz w:val="24"/>
          <w:szCs w:val="24"/>
        </w:rPr>
      </w:pPr>
    </w:p>
    <w:p w14:paraId="75A33B4F">
      <w:pPr>
        <w:pStyle w:val="11"/>
        <w:rPr>
          <w:rFonts w:hint="eastAsia" w:ascii="宋体" w:hAnsi="宋体" w:eastAsia="宋体" w:cs="宋体"/>
          <w:sz w:val="24"/>
          <w:szCs w:val="24"/>
        </w:rPr>
      </w:pPr>
    </w:p>
    <w:p w14:paraId="70A7B047">
      <w:pPr>
        <w:pStyle w:val="11"/>
        <w:rPr>
          <w:rFonts w:hint="eastAsia" w:ascii="宋体" w:hAnsi="宋体" w:eastAsia="宋体" w:cs="宋体"/>
          <w:sz w:val="24"/>
          <w:szCs w:val="24"/>
        </w:rPr>
      </w:pPr>
    </w:p>
    <w:p w14:paraId="43C350A2">
      <w:pPr>
        <w:pStyle w:val="11"/>
        <w:rPr>
          <w:rFonts w:hint="eastAsia" w:ascii="宋体" w:hAnsi="宋体" w:eastAsia="宋体" w:cs="宋体"/>
          <w:sz w:val="24"/>
          <w:szCs w:val="24"/>
        </w:rPr>
      </w:pPr>
    </w:p>
    <w:p w14:paraId="38DB2226">
      <w:pPr>
        <w:pStyle w:val="11"/>
        <w:rPr>
          <w:rFonts w:hint="eastAsia" w:ascii="宋体" w:hAnsi="宋体" w:eastAsia="宋体" w:cs="宋体"/>
          <w:sz w:val="24"/>
          <w:szCs w:val="24"/>
        </w:rPr>
      </w:pPr>
    </w:p>
    <w:p w14:paraId="52562E9F">
      <w:pPr>
        <w:pStyle w:val="11"/>
        <w:rPr>
          <w:rFonts w:hint="eastAsia" w:ascii="宋体" w:hAnsi="宋体" w:eastAsia="宋体" w:cs="宋体"/>
          <w:sz w:val="24"/>
          <w:szCs w:val="24"/>
        </w:rPr>
      </w:pPr>
    </w:p>
    <w:p w14:paraId="6F00EFE9">
      <w:pPr>
        <w:pStyle w:val="11"/>
        <w:rPr>
          <w:rFonts w:hint="eastAsia" w:ascii="宋体" w:hAnsi="宋体" w:eastAsia="宋体" w:cs="宋体"/>
          <w:sz w:val="24"/>
          <w:szCs w:val="24"/>
        </w:rPr>
      </w:pPr>
    </w:p>
    <w:p w14:paraId="7BB7B792">
      <w:pPr>
        <w:pStyle w:val="11"/>
        <w:rPr>
          <w:rFonts w:hint="eastAsia" w:ascii="宋体" w:hAnsi="宋体" w:eastAsia="宋体" w:cs="宋体"/>
          <w:sz w:val="24"/>
          <w:szCs w:val="24"/>
        </w:rPr>
      </w:pPr>
    </w:p>
    <w:p w14:paraId="6EF4D589">
      <w:pPr>
        <w:pStyle w:val="11"/>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3" w:name="_Toc4563"/>
      <w:bookmarkStart w:id="174" w:name="_Toc12830"/>
      <w:bookmarkStart w:id="175" w:name="_Toc27377"/>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3"/>
      <w:bookmarkEnd w:id="174"/>
      <w:bookmarkEnd w:id="175"/>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6" w:name="_Toc23336"/>
      <w:bookmarkStart w:id="177" w:name="OLE_LINK14"/>
      <w:bookmarkStart w:id="178" w:name="OLE_LINK13"/>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79" w:name="_Toc3434"/>
      <w:bookmarkStart w:id="180" w:name="_Toc145065064"/>
      <w:bookmarkStart w:id="181" w:name="_Toc145065235"/>
      <w:bookmarkStart w:id="182" w:name="_Toc23428"/>
      <w:r>
        <w:rPr>
          <w:rFonts w:hint="eastAsia" w:ascii="宋体" w:hAnsi="宋体" w:eastAsia="宋体" w:cs="宋体"/>
          <w:b/>
          <w:bCs/>
          <w:color w:val="000000" w:themeColor="text1"/>
          <w:kern w:val="0"/>
          <w:sz w:val="24"/>
          <w:szCs w:val="24"/>
          <w14:textFill>
            <w14:solidFill>
              <w14:schemeClr w14:val="tx1"/>
            </w14:solidFill>
          </w14:textFill>
        </w:rPr>
        <w:t>附件2：</w:t>
      </w:r>
      <w:bookmarkEnd w:id="179"/>
      <w:bookmarkEnd w:id="180"/>
      <w:bookmarkEnd w:id="181"/>
      <w:bookmarkEnd w:id="182"/>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3" w:name="_Toc145065065"/>
      <w:bookmarkStart w:id="184" w:name="_Toc1859"/>
      <w:bookmarkStart w:id="185" w:name="_Toc145065236"/>
      <w:bookmarkStart w:id="186" w:name="_Toc14422"/>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6"/>
      <w:bookmarkEnd w:id="177"/>
      <w:bookmarkEnd w:id="178"/>
      <w:bookmarkEnd w:id="183"/>
      <w:bookmarkEnd w:id="184"/>
      <w:bookmarkEnd w:id="185"/>
      <w:bookmarkEnd w:id="18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7" w:name="_Toc24557"/>
      <w:bookmarkStart w:id="188" w:name="_Toc145065066"/>
      <w:bookmarkStart w:id="189" w:name="_Toc145065237"/>
      <w:bookmarkStart w:id="190" w:name="_Toc13536"/>
      <w:bookmarkStart w:id="191"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7"/>
      <w:bookmarkEnd w:id="188"/>
      <w:bookmarkEnd w:id="189"/>
      <w:bookmarkEnd w:id="190"/>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2" w:name="_Toc24430"/>
      <w:bookmarkStart w:id="193" w:name="_Toc145065067"/>
      <w:bookmarkStart w:id="194" w:name="_Toc11207"/>
      <w:bookmarkStart w:id="195" w:name="_Toc145065238"/>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1"/>
      <w:bookmarkEnd w:id="192"/>
      <w:bookmarkEnd w:id="193"/>
      <w:bookmarkEnd w:id="194"/>
      <w:bookmarkEnd w:id="19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1"/>
        <w:rPr>
          <w:rFonts w:hint="eastAsia" w:ascii="宋体" w:hAnsi="宋体" w:eastAsia="宋体" w:cs="宋体"/>
          <w:sz w:val="24"/>
          <w:szCs w:val="24"/>
        </w:rPr>
      </w:pPr>
    </w:p>
    <w:p w14:paraId="00E5D813">
      <w:pPr>
        <w:rPr>
          <w:rFonts w:hint="eastAsia" w:ascii="宋体" w:hAnsi="宋体" w:eastAsia="宋体" w:cs="宋体"/>
          <w:sz w:val="24"/>
          <w:szCs w:val="24"/>
        </w:rPr>
      </w:pPr>
    </w:p>
    <w:p w14:paraId="716E776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6DD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182D2C">
                          <w:pPr>
                            <w:pStyle w:val="1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2D182D2C">
                    <w:pPr>
                      <w:pStyle w:val="12"/>
                    </w:pPr>
                    <w:r>
                      <w:fldChar w:fldCharType="begin"/>
                    </w:r>
                    <w:r>
                      <w:instrText xml:space="preserve"> PAGE  \* MERGEFORMAT </w:instrText>
                    </w:r>
                    <w:r>
                      <w:fldChar w:fldCharType="separate"/>
                    </w:r>
                    <w:r>
                      <w:t>5</w:t>
                    </w:r>
                    <w:r>
                      <w:fldChar w:fldCharType="end"/>
                    </w:r>
                  </w:p>
                </w:txbxContent>
              </v:textbox>
            </v:shape>
          </w:pict>
        </mc:Fallback>
      </mc:AlternateContent>
    </w:r>
  </w:p>
  <w:p w14:paraId="1EBFDD3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2"/>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C55C5B55"/>
    <w:multiLevelType w:val="singleLevel"/>
    <w:tmpl w:val="C55C5B55"/>
    <w:lvl w:ilvl="0" w:tentative="0">
      <w:start w:val="7"/>
      <w:numFmt w:val="decimal"/>
      <w:suff w:val="nothing"/>
      <w:lvlText w:val="%1）"/>
      <w:lvlJc w:val="left"/>
    </w:lvl>
  </w:abstractNum>
  <w:abstractNum w:abstractNumId="2">
    <w:nsid w:val="EBEB8EC6"/>
    <w:multiLevelType w:val="singleLevel"/>
    <w:tmpl w:val="EBEB8EC6"/>
    <w:lvl w:ilvl="0" w:tentative="0">
      <w:start w:val="1"/>
      <w:numFmt w:val="decimal"/>
      <w:suff w:val="nothing"/>
      <w:lvlText w:val="（%1）"/>
      <w:lvlJc w:val="left"/>
    </w:lvl>
  </w:abstractNum>
  <w:abstractNum w:abstractNumId="3">
    <w:nsid w:val="54664204"/>
    <w:multiLevelType w:val="singleLevel"/>
    <w:tmpl w:val="54664204"/>
    <w:lvl w:ilvl="0" w:tentative="0">
      <w:start w:val="1"/>
      <w:numFmt w:val="decimal"/>
      <w:lvlText w:val="%1."/>
      <w:lvlJc w:val="left"/>
      <w:pPr>
        <w:tabs>
          <w:tab w:val="left" w:pos="312"/>
        </w:tabs>
      </w:pPr>
    </w:lvl>
  </w:abstractNum>
  <w:abstractNum w:abstractNumId="4">
    <w:nsid w:val="67A2E723"/>
    <w:multiLevelType w:val="singleLevel"/>
    <w:tmpl w:val="67A2E723"/>
    <w:lvl w:ilvl="0" w:tentative="0">
      <w:start w:val="1"/>
      <w:numFmt w:val="decimal"/>
      <w:suff w:val="nothing"/>
      <w:lvlText w:val="%1、"/>
      <w:lvlJc w:val="left"/>
    </w:lvl>
  </w:abstractNum>
  <w:abstractNum w:abstractNumId="5">
    <w:nsid w:val="7A71EC2D"/>
    <w:multiLevelType w:val="singleLevel"/>
    <w:tmpl w:val="7A71EC2D"/>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4n0RdXxw/owy/sPArsJ0psWdg0o=" w:salt="G6ReoGjarjSj5qF1QJpE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6C0D"/>
    <w:rsid w:val="03F17867"/>
    <w:rsid w:val="0DE9051D"/>
    <w:rsid w:val="0F262685"/>
    <w:rsid w:val="12AA7B7B"/>
    <w:rsid w:val="22902BB9"/>
    <w:rsid w:val="2DE03FF9"/>
    <w:rsid w:val="31FC4811"/>
    <w:rsid w:val="3EB73883"/>
    <w:rsid w:val="514D2002"/>
    <w:rsid w:val="5D7243BE"/>
    <w:rsid w:val="681854AD"/>
    <w:rsid w:val="73B771AF"/>
    <w:rsid w:val="75547420"/>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9"/>
    <w:pPr>
      <w:keepNext/>
      <w:keepLines/>
      <w:spacing w:line="360" w:lineRule="auto"/>
      <w:jc w:val="center"/>
      <w:outlineLvl w:val="0"/>
    </w:pPr>
    <w:rPr>
      <w:rFonts w:asciiTheme="minorAscii" w:hAnsiTheme="minorAscii"/>
      <w:b/>
      <w:bCs/>
      <w:kern w:val="44"/>
      <w:sz w:val="44"/>
      <w:szCs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spacing w:after="120" w:line="276" w:lineRule="auto"/>
      <w:ind w:left="420" w:leftChars="200"/>
    </w:pPr>
    <w:rPr>
      <w:rFonts w:ascii="宋体" w:hAnsi="Calibri" w:eastAsia="仿宋"/>
      <w:sz w:val="24"/>
      <w:szCs w:val="21"/>
    </w:r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0">
    <w:name w:val="Salutation"/>
    <w:basedOn w:val="1"/>
    <w:next w:val="1"/>
    <w:unhideWhenUsed/>
    <w:qFormat/>
    <w:uiPriority w:val="99"/>
    <w:rPr>
      <w:rFonts w:ascii="宋体" w:hAnsi="宋体" w:eastAsia="仿宋_GB2312" w:cs="Times New Roman"/>
      <w:kern w:val="0"/>
      <w:sz w:val="20"/>
      <w:szCs w:val="21"/>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Normal (Web)"/>
    <w:basedOn w:val="1"/>
    <w:unhideWhenUsed/>
    <w:qFormat/>
    <w:uiPriority w:val="99"/>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19">
    <w:name w:val="*正文_1_0_0_0_0"/>
    <w:basedOn w:val="1"/>
    <w:next w:val="1"/>
    <w:qFormat/>
    <w:uiPriority w:val="0"/>
    <w:pPr>
      <w:widowControl/>
      <w:ind w:firstLine="482"/>
    </w:pPr>
    <w:rPr>
      <w:rFonts w:ascii="微软雅黑" w:hAnsi="微软雅黑" w:eastAsia="微软雅黑"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19213</Words>
  <Characters>20605</Characters>
  <Lines>0</Lines>
  <Paragraphs>0</Paragraphs>
  <TotalTime>0</TotalTime>
  <ScaleCrop>false</ScaleCrop>
  <LinksUpToDate>false</LinksUpToDate>
  <CharactersWithSpaces>21184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2026-04-20T00:45:00Z</dcterms:created>
  <dc:creator>Administrator</dc:creator>
  <cp:lastModifiedBy>Administrator</cp:lastModifiedBy>
  <dcterms:modified xsi:type="dcterms:W3CDTF">2026-04-29T07:40:38Z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eyJoZGlkIjoiNzQ5ZGI0OTlhNzVkYTI3NDIyNjM5OGE4OTE2MTQyMmEiLCJ1c2VySWQiOiIxMTU5MzQwNTUxIn0=</vt:lpwstr>
  </property>
  <property fmtid="{D5CDD505-2E9C-101B-9397-08002B2CF9AE}" pid="4" name="ICV">
    <vt:lpwstr>83BCB500CEEF4B73AB211AD02529F5AE_13</vt:lpwstr>
  </property>
</Properties>
</file>